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38C1" w:rsidRPr="00CF1A14" w:rsidRDefault="000938C1" w:rsidP="00646840">
      <w:pPr>
        <w:pStyle w:val="TOC1"/>
        <w:rPr>
          <w:color w:val="0070C0"/>
        </w:rPr>
      </w:pPr>
      <w:bookmarkStart w:id="0" w:name="_Toc136519958"/>
      <w:bookmarkStart w:id="1" w:name="_Toc136597726"/>
      <w:bookmarkStart w:id="2" w:name="_Toc136601629"/>
    </w:p>
    <w:p w:rsidR="000938C1" w:rsidRPr="00DF270A" w:rsidRDefault="000938C1" w:rsidP="0031172F">
      <w:pPr>
        <w:pStyle w:val="Title"/>
        <w:spacing w:before="840" w:after="120" w:line="360" w:lineRule="auto"/>
        <w:ind w:firstLine="0"/>
        <w:rPr>
          <w:sz w:val="52"/>
          <w:szCs w:val="52"/>
        </w:rPr>
      </w:pPr>
      <w:r w:rsidRPr="00F1484D">
        <w:rPr>
          <w:sz w:val="52"/>
          <w:szCs w:val="52"/>
        </w:rPr>
        <w:t>ДОКЛАД</w:t>
      </w:r>
    </w:p>
    <w:p w:rsidR="000938C1" w:rsidRPr="00DF270A" w:rsidRDefault="000938C1" w:rsidP="0031172F">
      <w:pPr>
        <w:pStyle w:val="Title"/>
        <w:spacing w:before="120" w:after="0"/>
        <w:ind w:firstLine="0"/>
        <w:rPr>
          <w:sz w:val="36"/>
          <w:szCs w:val="36"/>
        </w:rPr>
      </w:pPr>
    </w:p>
    <w:p w:rsidR="000938C1" w:rsidRPr="00DF270A" w:rsidRDefault="000938C1" w:rsidP="0031172F">
      <w:pPr>
        <w:pStyle w:val="Title"/>
        <w:spacing w:before="120" w:after="0"/>
        <w:ind w:firstLine="0"/>
        <w:rPr>
          <w:sz w:val="36"/>
          <w:szCs w:val="36"/>
        </w:rPr>
      </w:pPr>
      <w:r w:rsidRPr="00DF270A">
        <w:rPr>
          <w:sz w:val="36"/>
          <w:szCs w:val="36"/>
        </w:rPr>
        <w:t>ПО ОТЧЕТА ЗА ИЗПЪЛНЕНИЕТО НА</w:t>
      </w:r>
    </w:p>
    <w:p w:rsidR="000938C1" w:rsidRPr="00DF270A" w:rsidRDefault="000938C1" w:rsidP="0031172F">
      <w:pPr>
        <w:pStyle w:val="Title"/>
        <w:spacing w:before="120" w:after="0"/>
        <w:ind w:firstLine="0"/>
        <w:rPr>
          <w:sz w:val="36"/>
          <w:szCs w:val="36"/>
        </w:rPr>
      </w:pPr>
      <w:r w:rsidRPr="00DF270A">
        <w:rPr>
          <w:sz w:val="36"/>
          <w:szCs w:val="36"/>
        </w:rPr>
        <w:t>ДЪРЖАВНИЯ БЮДЖЕТ НА</w:t>
      </w:r>
    </w:p>
    <w:p w:rsidR="000938C1" w:rsidRPr="00DF270A" w:rsidRDefault="000938C1" w:rsidP="0031172F">
      <w:pPr>
        <w:pStyle w:val="Title"/>
        <w:spacing w:before="120" w:after="0"/>
        <w:ind w:firstLine="0"/>
        <w:rPr>
          <w:sz w:val="36"/>
          <w:szCs w:val="36"/>
        </w:rPr>
      </w:pPr>
      <w:r w:rsidRPr="00DF270A">
        <w:rPr>
          <w:sz w:val="36"/>
          <w:szCs w:val="36"/>
        </w:rPr>
        <w:t>РЕПУБЛИКА БЪЛГАРИЯ</w:t>
      </w:r>
    </w:p>
    <w:p w:rsidR="000938C1" w:rsidRPr="00DF270A" w:rsidRDefault="000938C1" w:rsidP="0031172F">
      <w:pPr>
        <w:pStyle w:val="Title"/>
        <w:spacing w:before="120" w:after="0"/>
        <w:ind w:firstLine="0"/>
        <w:rPr>
          <w:sz w:val="36"/>
          <w:szCs w:val="36"/>
        </w:rPr>
      </w:pPr>
      <w:r w:rsidRPr="00DF270A">
        <w:rPr>
          <w:sz w:val="36"/>
          <w:szCs w:val="36"/>
        </w:rPr>
        <w:t>ЗА 201</w:t>
      </w:r>
      <w:r w:rsidRPr="002255D3">
        <w:rPr>
          <w:sz w:val="36"/>
          <w:szCs w:val="36"/>
          <w:lang w:val="ru-RU"/>
        </w:rPr>
        <w:t>3</w:t>
      </w:r>
      <w:r w:rsidRPr="00DF270A">
        <w:rPr>
          <w:sz w:val="36"/>
          <w:szCs w:val="36"/>
        </w:rPr>
        <w:t xml:space="preserve"> ГОДИНА</w:t>
      </w:r>
    </w:p>
    <w:p w:rsidR="000938C1" w:rsidRPr="00CF1A14" w:rsidRDefault="000938C1" w:rsidP="0031172F">
      <w:pPr>
        <w:jc w:val="center"/>
        <w:rPr>
          <w:color w:val="0070C0"/>
          <w:highlight w:val="yellow"/>
        </w:rPr>
      </w:pPr>
    </w:p>
    <w:p w:rsidR="000938C1" w:rsidRPr="00CF1A14" w:rsidRDefault="000938C1" w:rsidP="008E5000">
      <w:pPr>
        <w:jc w:val="center"/>
        <w:rPr>
          <w:color w:val="0070C0"/>
          <w:highlight w:val="yellow"/>
        </w:rPr>
      </w:pPr>
    </w:p>
    <w:p w:rsidR="000938C1" w:rsidRPr="00CF1A14" w:rsidRDefault="000938C1" w:rsidP="008E5000">
      <w:pPr>
        <w:jc w:val="center"/>
        <w:rPr>
          <w:color w:val="0070C0"/>
          <w:highlight w:val="yellow"/>
        </w:rPr>
      </w:pPr>
    </w:p>
    <w:p w:rsidR="000938C1" w:rsidRPr="00CF1A14" w:rsidRDefault="000938C1" w:rsidP="008E5000">
      <w:pPr>
        <w:jc w:val="center"/>
        <w:rPr>
          <w:color w:val="0070C0"/>
          <w:highlight w:val="yellow"/>
        </w:rPr>
      </w:pPr>
    </w:p>
    <w:p w:rsidR="000938C1" w:rsidRPr="00CF1A14" w:rsidRDefault="000938C1" w:rsidP="008E5000">
      <w:pPr>
        <w:jc w:val="center"/>
        <w:rPr>
          <w:color w:val="0070C0"/>
          <w:highlight w:val="yellow"/>
        </w:rPr>
      </w:pPr>
    </w:p>
    <w:p w:rsidR="000938C1" w:rsidRPr="00CF1A14" w:rsidRDefault="000938C1" w:rsidP="008E5000">
      <w:pPr>
        <w:jc w:val="center"/>
        <w:rPr>
          <w:color w:val="0070C0"/>
          <w:highlight w:val="yellow"/>
        </w:rPr>
      </w:pPr>
    </w:p>
    <w:p w:rsidR="000938C1" w:rsidRPr="00CF1A14" w:rsidRDefault="000938C1" w:rsidP="00600295">
      <w:pPr>
        <w:jc w:val="center"/>
        <w:rPr>
          <w:b/>
          <w:color w:val="0070C0"/>
        </w:rPr>
      </w:pPr>
      <w:r w:rsidRPr="00BC4ACD">
        <w:rPr>
          <w:b/>
          <w:noProof/>
          <w:color w:val="0070C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207pt;height:181.5pt;visibility:visible">
            <v:imagedata r:id="rId7" o:title=""/>
          </v:shape>
        </w:pict>
      </w: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pPr>
    </w:p>
    <w:p w:rsidR="000938C1" w:rsidRPr="00CF1A14" w:rsidRDefault="000938C1" w:rsidP="00017EB1">
      <w:pPr>
        <w:jc w:val="center"/>
        <w:rPr>
          <w:b/>
          <w:color w:val="0070C0"/>
        </w:rPr>
        <w:sectPr w:rsidR="000938C1" w:rsidRPr="00CF1A14" w:rsidSect="0022774B">
          <w:headerReference w:type="default" r:id="rId8"/>
          <w:footerReference w:type="even" r:id="rId9"/>
          <w:footerReference w:type="default" r:id="rId10"/>
          <w:pgSz w:w="11906" w:h="16838"/>
          <w:pgMar w:top="1417" w:right="1417" w:bottom="1417" w:left="1440" w:header="708" w:footer="708" w:gutter="0"/>
          <w:pgNumType w:start="1"/>
          <w:cols w:space="708"/>
          <w:titlePg/>
          <w:docGrid w:linePitch="360"/>
        </w:sectPr>
      </w:pPr>
    </w:p>
    <w:p w:rsidR="000938C1" w:rsidRPr="00CF1A14" w:rsidRDefault="000938C1" w:rsidP="00017EB1">
      <w:pPr>
        <w:jc w:val="center"/>
        <w:rPr>
          <w:b/>
          <w:color w:val="0070C0"/>
          <w:sz w:val="4"/>
          <w:szCs w:val="4"/>
        </w:rPr>
      </w:pPr>
    </w:p>
    <w:p w:rsidR="000938C1" w:rsidRPr="00CF1A14" w:rsidRDefault="000938C1" w:rsidP="00017EB1">
      <w:pPr>
        <w:jc w:val="center"/>
        <w:rPr>
          <w:b/>
          <w:color w:val="0070C0"/>
          <w:sz w:val="8"/>
          <w:szCs w:val="8"/>
        </w:rPr>
      </w:pPr>
    </w:p>
    <w:p w:rsidR="000938C1" w:rsidRPr="0045644D" w:rsidRDefault="000938C1" w:rsidP="00265B72">
      <w:pPr>
        <w:jc w:val="center"/>
        <w:rPr>
          <w:b/>
          <w:sz w:val="28"/>
          <w:szCs w:val="28"/>
        </w:rPr>
      </w:pPr>
      <w:bookmarkStart w:id="3" w:name="_Toc167005082"/>
      <w:bookmarkStart w:id="4" w:name="_Toc167181031"/>
      <w:r w:rsidRPr="0045644D">
        <w:rPr>
          <w:b/>
          <w:sz w:val="28"/>
          <w:szCs w:val="28"/>
        </w:rPr>
        <w:t>СЪДЪРЖАНИЕ</w:t>
      </w:r>
    </w:p>
    <w:p w:rsidR="000938C1" w:rsidRPr="00CF1A14" w:rsidRDefault="000938C1" w:rsidP="00265B72">
      <w:pPr>
        <w:jc w:val="center"/>
        <w:rPr>
          <w:b/>
          <w:color w:val="0070C0"/>
          <w:sz w:val="28"/>
          <w:szCs w:val="28"/>
        </w:rPr>
      </w:pPr>
    </w:p>
    <w:p w:rsidR="000938C1" w:rsidRDefault="000938C1">
      <w:pPr>
        <w:pStyle w:val="TOC1"/>
        <w:rPr>
          <w:rFonts w:ascii="Calibri" w:hAnsi="Calibri"/>
          <w:b w:val="0"/>
          <w:color w:val="auto"/>
          <w:sz w:val="22"/>
        </w:rPr>
      </w:pPr>
      <w:r w:rsidRPr="00CF1A14">
        <w:rPr>
          <w:bCs/>
          <w:noProof w:val="0"/>
          <w:color w:val="0070C0"/>
        </w:rPr>
        <w:fldChar w:fldCharType="begin"/>
      </w:r>
      <w:r w:rsidRPr="00CF1A14">
        <w:rPr>
          <w:bCs/>
          <w:noProof w:val="0"/>
          <w:color w:val="0070C0"/>
        </w:rPr>
        <w:instrText xml:space="preserve"> TOC \o "1-3" \h \z \u </w:instrText>
      </w:r>
      <w:r w:rsidRPr="00CF1A14">
        <w:rPr>
          <w:bCs/>
          <w:noProof w:val="0"/>
          <w:color w:val="0070C0"/>
        </w:rPr>
        <w:fldChar w:fldCharType="separate"/>
      </w:r>
      <w:hyperlink w:anchor="_Toc393728038" w:history="1">
        <w:r w:rsidRPr="00CA2B8F">
          <w:rPr>
            <w:rStyle w:val="Hyperlink"/>
          </w:rPr>
          <w:t>Използвани съкращения</w:t>
        </w:r>
        <w:r>
          <w:rPr>
            <w:webHidden/>
          </w:rPr>
          <w:tab/>
        </w:r>
        <w:r>
          <w:rPr>
            <w:webHidden/>
          </w:rPr>
          <w:fldChar w:fldCharType="begin"/>
        </w:r>
        <w:r>
          <w:rPr>
            <w:webHidden/>
          </w:rPr>
          <w:instrText xml:space="preserve"> PAGEREF _Toc393728038 \h </w:instrText>
        </w:r>
        <w:r>
          <w:rPr>
            <w:webHidden/>
          </w:rPr>
        </w:r>
        <w:r>
          <w:rPr>
            <w:webHidden/>
          </w:rPr>
          <w:fldChar w:fldCharType="separate"/>
        </w:r>
        <w:r>
          <w:rPr>
            <w:webHidden/>
          </w:rPr>
          <w:t>3</w:t>
        </w:r>
        <w:r>
          <w:rPr>
            <w:webHidden/>
          </w:rPr>
          <w:fldChar w:fldCharType="end"/>
        </w:r>
      </w:hyperlink>
    </w:p>
    <w:p w:rsidR="000938C1" w:rsidRDefault="000938C1">
      <w:pPr>
        <w:pStyle w:val="TOC1"/>
        <w:rPr>
          <w:rFonts w:ascii="Calibri" w:hAnsi="Calibri"/>
          <w:b w:val="0"/>
          <w:color w:val="auto"/>
          <w:sz w:val="22"/>
        </w:rPr>
      </w:pPr>
      <w:hyperlink w:anchor="_Toc393728039" w:history="1">
        <w:r w:rsidRPr="00CA2B8F">
          <w:rPr>
            <w:rStyle w:val="Hyperlink"/>
          </w:rPr>
          <w:t>I. АНАЛИЗ НА ОСНОВНИТЕ МАКРОИКОНОМИЧЕСКИ ПОКАЗАТЕЛИ И ТЕНДЕНЦИИ В РАЗВИТИЕТО НА ВЪНШНАТА И ВЪТРЕШНАТА ИКОНОМИЧЕСКА СРЕДА ПРЕЗ 2013 г.</w:t>
        </w:r>
        <w:r>
          <w:rPr>
            <w:webHidden/>
          </w:rPr>
          <w:tab/>
        </w:r>
        <w:r>
          <w:rPr>
            <w:webHidden/>
          </w:rPr>
          <w:fldChar w:fldCharType="begin"/>
        </w:r>
        <w:r>
          <w:rPr>
            <w:webHidden/>
          </w:rPr>
          <w:instrText xml:space="preserve"> PAGEREF _Toc393728039 \h </w:instrText>
        </w:r>
        <w:r>
          <w:rPr>
            <w:webHidden/>
          </w:rPr>
        </w:r>
        <w:r>
          <w:rPr>
            <w:webHidden/>
          </w:rPr>
          <w:fldChar w:fldCharType="separate"/>
        </w:r>
        <w:r>
          <w:rPr>
            <w:webHidden/>
          </w:rPr>
          <w:t>6</w:t>
        </w:r>
        <w:r>
          <w:rPr>
            <w:webHidden/>
          </w:rPr>
          <w:fldChar w:fldCharType="end"/>
        </w:r>
      </w:hyperlink>
    </w:p>
    <w:p w:rsidR="000938C1" w:rsidRDefault="000938C1">
      <w:pPr>
        <w:pStyle w:val="TOC1"/>
        <w:rPr>
          <w:rFonts w:ascii="Calibri" w:hAnsi="Calibri"/>
          <w:b w:val="0"/>
          <w:color w:val="auto"/>
          <w:sz w:val="22"/>
        </w:rPr>
      </w:pPr>
      <w:hyperlink w:anchor="_Toc393728040" w:history="1">
        <w:r w:rsidRPr="00CA2B8F">
          <w:rPr>
            <w:rStyle w:val="Hyperlink"/>
          </w:rPr>
          <w:t>1.</w:t>
        </w:r>
        <w:r>
          <w:rPr>
            <w:rFonts w:ascii="Calibri" w:hAnsi="Calibri"/>
            <w:b w:val="0"/>
            <w:color w:val="auto"/>
            <w:sz w:val="22"/>
          </w:rPr>
          <w:tab/>
        </w:r>
        <w:r w:rsidRPr="00CA2B8F">
          <w:rPr>
            <w:rStyle w:val="Hyperlink"/>
          </w:rPr>
          <w:t>Макроикономическо развитие в България през 2013 г.</w:t>
        </w:r>
        <w:r>
          <w:rPr>
            <w:webHidden/>
          </w:rPr>
          <w:tab/>
        </w:r>
        <w:r>
          <w:rPr>
            <w:webHidden/>
          </w:rPr>
          <w:fldChar w:fldCharType="begin"/>
        </w:r>
        <w:r>
          <w:rPr>
            <w:webHidden/>
          </w:rPr>
          <w:instrText xml:space="preserve"> PAGEREF _Toc393728040 \h </w:instrText>
        </w:r>
        <w:r>
          <w:rPr>
            <w:webHidden/>
          </w:rPr>
        </w:r>
        <w:r>
          <w:rPr>
            <w:webHidden/>
          </w:rPr>
          <w:fldChar w:fldCharType="separate"/>
        </w:r>
        <w:r>
          <w:rPr>
            <w:webHidden/>
          </w:rPr>
          <w:t>7</w:t>
        </w:r>
        <w:r>
          <w:rPr>
            <w:webHidden/>
          </w:rPr>
          <w:fldChar w:fldCharType="end"/>
        </w:r>
      </w:hyperlink>
    </w:p>
    <w:p w:rsidR="000938C1" w:rsidRDefault="000938C1">
      <w:pPr>
        <w:pStyle w:val="TOC3"/>
        <w:rPr>
          <w:rFonts w:ascii="Calibri" w:hAnsi="Calibri"/>
          <w:color w:val="auto"/>
          <w:sz w:val="22"/>
          <w:szCs w:val="22"/>
        </w:rPr>
      </w:pPr>
      <w:hyperlink w:anchor="_Toc393728041" w:history="1">
        <w:r w:rsidRPr="00CA2B8F">
          <w:rPr>
            <w:rStyle w:val="Hyperlink"/>
          </w:rPr>
          <w:t>1.1</w:t>
        </w:r>
        <w:r>
          <w:rPr>
            <w:rFonts w:ascii="Calibri" w:hAnsi="Calibri"/>
            <w:color w:val="auto"/>
            <w:sz w:val="22"/>
            <w:szCs w:val="22"/>
          </w:rPr>
          <w:tab/>
        </w:r>
        <w:r w:rsidRPr="00CA2B8F">
          <w:rPr>
            <w:rStyle w:val="Hyperlink"/>
          </w:rPr>
          <w:t>Брутен вътрешен продукт</w:t>
        </w:r>
        <w:r>
          <w:rPr>
            <w:webHidden/>
          </w:rPr>
          <w:tab/>
        </w:r>
        <w:r>
          <w:rPr>
            <w:webHidden/>
          </w:rPr>
          <w:fldChar w:fldCharType="begin"/>
        </w:r>
        <w:r>
          <w:rPr>
            <w:webHidden/>
          </w:rPr>
          <w:instrText xml:space="preserve"> PAGEREF _Toc393728041 \h </w:instrText>
        </w:r>
        <w:r>
          <w:rPr>
            <w:webHidden/>
          </w:rPr>
        </w:r>
        <w:r>
          <w:rPr>
            <w:webHidden/>
          </w:rPr>
          <w:fldChar w:fldCharType="separate"/>
        </w:r>
        <w:r>
          <w:rPr>
            <w:webHidden/>
          </w:rPr>
          <w:t>7</w:t>
        </w:r>
        <w:r>
          <w:rPr>
            <w:webHidden/>
          </w:rPr>
          <w:fldChar w:fldCharType="end"/>
        </w:r>
      </w:hyperlink>
    </w:p>
    <w:p w:rsidR="000938C1" w:rsidRDefault="000938C1">
      <w:pPr>
        <w:pStyle w:val="TOC3"/>
        <w:rPr>
          <w:rFonts w:ascii="Calibri" w:hAnsi="Calibri"/>
          <w:color w:val="auto"/>
          <w:sz w:val="22"/>
          <w:szCs w:val="22"/>
        </w:rPr>
      </w:pPr>
      <w:hyperlink w:anchor="_Toc393728042" w:history="1">
        <w:r w:rsidRPr="00CA2B8F">
          <w:rPr>
            <w:rStyle w:val="Hyperlink"/>
          </w:rPr>
          <w:t>1.2</w:t>
        </w:r>
        <w:r>
          <w:rPr>
            <w:rFonts w:ascii="Calibri" w:hAnsi="Calibri"/>
            <w:color w:val="auto"/>
            <w:sz w:val="22"/>
            <w:szCs w:val="22"/>
          </w:rPr>
          <w:tab/>
        </w:r>
        <w:r w:rsidRPr="00CA2B8F">
          <w:rPr>
            <w:rStyle w:val="Hyperlink"/>
          </w:rPr>
          <w:t>Инфлация</w:t>
        </w:r>
        <w:r>
          <w:rPr>
            <w:webHidden/>
          </w:rPr>
          <w:tab/>
        </w:r>
        <w:r>
          <w:rPr>
            <w:webHidden/>
          </w:rPr>
          <w:fldChar w:fldCharType="begin"/>
        </w:r>
        <w:r>
          <w:rPr>
            <w:webHidden/>
          </w:rPr>
          <w:instrText xml:space="preserve"> PAGEREF _Toc393728042 \h </w:instrText>
        </w:r>
        <w:r>
          <w:rPr>
            <w:webHidden/>
          </w:rPr>
        </w:r>
        <w:r>
          <w:rPr>
            <w:webHidden/>
          </w:rPr>
          <w:fldChar w:fldCharType="separate"/>
        </w:r>
        <w:r>
          <w:rPr>
            <w:webHidden/>
          </w:rPr>
          <w:t>8</w:t>
        </w:r>
        <w:r>
          <w:rPr>
            <w:webHidden/>
          </w:rPr>
          <w:fldChar w:fldCharType="end"/>
        </w:r>
      </w:hyperlink>
    </w:p>
    <w:p w:rsidR="000938C1" w:rsidRDefault="000938C1">
      <w:pPr>
        <w:pStyle w:val="TOC3"/>
        <w:rPr>
          <w:rFonts w:ascii="Calibri" w:hAnsi="Calibri"/>
          <w:color w:val="auto"/>
          <w:sz w:val="22"/>
          <w:szCs w:val="22"/>
        </w:rPr>
      </w:pPr>
      <w:hyperlink w:anchor="_Toc393728043" w:history="1">
        <w:r w:rsidRPr="00CA2B8F">
          <w:rPr>
            <w:rStyle w:val="Hyperlink"/>
          </w:rPr>
          <w:t>1.3</w:t>
        </w:r>
        <w:r>
          <w:rPr>
            <w:rFonts w:ascii="Calibri" w:hAnsi="Calibri"/>
            <w:color w:val="auto"/>
            <w:sz w:val="22"/>
            <w:szCs w:val="22"/>
          </w:rPr>
          <w:tab/>
        </w:r>
        <w:r w:rsidRPr="00CA2B8F">
          <w:rPr>
            <w:rStyle w:val="Hyperlink"/>
          </w:rPr>
          <w:t>Пазар на труда и доходи</w:t>
        </w:r>
        <w:r>
          <w:rPr>
            <w:webHidden/>
          </w:rPr>
          <w:tab/>
        </w:r>
        <w:r>
          <w:rPr>
            <w:webHidden/>
          </w:rPr>
          <w:fldChar w:fldCharType="begin"/>
        </w:r>
        <w:r>
          <w:rPr>
            <w:webHidden/>
          </w:rPr>
          <w:instrText xml:space="preserve"> PAGEREF _Toc393728043 \h </w:instrText>
        </w:r>
        <w:r>
          <w:rPr>
            <w:webHidden/>
          </w:rPr>
        </w:r>
        <w:r>
          <w:rPr>
            <w:webHidden/>
          </w:rPr>
          <w:fldChar w:fldCharType="separate"/>
        </w:r>
        <w:r>
          <w:rPr>
            <w:webHidden/>
          </w:rPr>
          <w:t>9</w:t>
        </w:r>
        <w:r>
          <w:rPr>
            <w:webHidden/>
          </w:rPr>
          <w:fldChar w:fldCharType="end"/>
        </w:r>
      </w:hyperlink>
    </w:p>
    <w:p w:rsidR="000938C1" w:rsidRDefault="000938C1">
      <w:pPr>
        <w:pStyle w:val="TOC3"/>
        <w:rPr>
          <w:rFonts w:ascii="Calibri" w:hAnsi="Calibri"/>
          <w:color w:val="auto"/>
          <w:sz w:val="22"/>
          <w:szCs w:val="22"/>
        </w:rPr>
      </w:pPr>
      <w:hyperlink w:anchor="_Toc393728044" w:history="1">
        <w:r w:rsidRPr="00CA2B8F">
          <w:rPr>
            <w:rStyle w:val="Hyperlink"/>
            <w:lang w:val="en-US"/>
          </w:rPr>
          <w:t>1.4</w:t>
        </w:r>
        <w:r>
          <w:rPr>
            <w:rFonts w:ascii="Calibri" w:hAnsi="Calibri"/>
            <w:color w:val="auto"/>
            <w:sz w:val="22"/>
            <w:szCs w:val="22"/>
          </w:rPr>
          <w:tab/>
        </w:r>
        <w:r w:rsidRPr="00CA2B8F">
          <w:rPr>
            <w:rStyle w:val="Hyperlink"/>
          </w:rPr>
          <w:t>Платежен баланс</w:t>
        </w:r>
        <w:r>
          <w:rPr>
            <w:webHidden/>
          </w:rPr>
          <w:tab/>
        </w:r>
        <w:r>
          <w:rPr>
            <w:webHidden/>
          </w:rPr>
          <w:fldChar w:fldCharType="begin"/>
        </w:r>
        <w:r>
          <w:rPr>
            <w:webHidden/>
          </w:rPr>
          <w:instrText xml:space="preserve"> PAGEREF _Toc393728044 \h </w:instrText>
        </w:r>
        <w:r>
          <w:rPr>
            <w:webHidden/>
          </w:rPr>
        </w:r>
        <w:r>
          <w:rPr>
            <w:webHidden/>
          </w:rPr>
          <w:fldChar w:fldCharType="separate"/>
        </w:r>
        <w:r>
          <w:rPr>
            <w:webHidden/>
          </w:rPr>
          <w:t>10</w:t>
        </w:r>
        <w:r>
          <w:rPr>
            <w:webHidden/>
          </w:rPr>
          <w:fldChar w:fldCharType="end"/>
        </w:r>
      </w:hyperlink>
    </w:p>
    <w:p w:rsidR="000938C1" w:rsidRDefault="000938C1">
      <w:pPr>
        <w:pStyle w:val="TOC1"/>
        <w:rPr>
          <w:rFonts w:ascii="Calibri" w:hAnsi="Calibri"/>
          <w:b w:val="0"/>
          <w:color w:val="auto"/>
          <w:sz w:val="22"/>
        </w:rPr>
      </w:pPr>
      <w:hyperlink w:anchor="_Toc393728045" w:history="1">
        <w:r w:rsidRPr="00CA2B8F">
          <w:rPr>
            <w:rStyle w:val="Hyperlink"/>
          </w:rPr>
          <w:t>2.</w:t>
        </w:r>
        <w:r>
          <w:rPr>
            <w:rFonts w:ascii="Calibri" w:hAnsi="Calibri"/>
            <w:b w:val="0"/>
            <w:color w:val="auto"/>
            <w:sz w:val="22"/>
          </w:rPr>
          <w:tab/>
        </w:r>
        <w:r w:rsidRPr="00CA2B8F">
          <w:rPr>
            <w:rStyle w:val="Hyperlink"/>
          </w:rPr>
          <w:t>Финансов сектор</w:t>
        </w:r>
        <w:r>
          <w:rPr>
            <w:webHidden/>
          </w:rPr>
          <w:tab/>
        </w:r>
        <w:r>
          <w:rPr>
            <w:webHidden/>
          </w:rPr>
          <w:fldChar w:fldCharType="begin"/>
        </w:r>
        <w:r>
          <w:rPr>
            <w:webHidden/>
          </w:rPr>
          <w:instrText xml:space="preserve"> PAGEREF _Toc393728045 \h </w:instrText>
        </w:r>
        <w:r>
          <w:rPr>
            <w:webHidden/>
          </w:rPr>
        </w:r>
        <w:r>
          <w:rPr>
            <w:webHidden/>
          </w:rPr>
          <w:fldChar w:fldCharType="separate"/>
        </w:r>
        <w:r>
          <w:rPr>
            <w:webHidden/>
          </w:rPr>
          <w:t>11</w:t>
        </w:r>
        <w:r>
          <w:rPr>
            <w:webHidden/>
          </w:rPr>
          <w:fldChar w:fldCharType="end"/>
        </w:r>
      </w:hyperlink>
    </w:p>
    <w:p w:rsidR="000938C1" w:rsidRDefault="000938C1">
      <w:pPr>
        <w:pStyle w:val="TOC1"/>
        <w:rPr>
          <w:rFonts w:ascii="Calibri" w:hAnsi="Calibri"/>
          <w:b w:val="0"/>
          <w:color w:val="auto"/>
          <w:sz w:val="22"/>
        </w:rPr>
      </w:pPr>
      <w:hyperlink w:anchor="_Toc393728046" w:history="1">
        <w:r w:rsidRPr="00CA2B8F">
          <w:rPr>
            <w:rStyle w:val="Hyperlink"/>
          </w:rPr>
          <w:t>3.</w:t>
        </w:r>
        <w:r>
          <w:rPr>
            <w:rFonts w:ascii="Calibri" w:hAnsi="Calibri"/>
            <w:b w:val="0"/>
            <w:color w:val="auto"/>
            <w:sz w:val="22"/>
          </w:rPr>
          <w:tab/>
        </w:r>
        <w:r w:rsidRPr="00CA2B8F">
          <w:rPr>
            <w:rStyle w:val="Hyperlink"/>
          </w:rPr>
          <w:t>Тенденции при основните макроикономически показатели и съпоставка с допусканията и параметрите, заложени в макрорамката по ЗДБРБ за 2013 г.</w:t>
        </w:r>
        <w:r>
          <w:rPr>
            <w:webHidden/>
          </w:rPr>
          <w:tab/>
        </w:r>
        <w:r>
          <w:rPr>
            <w:webHidden/>
          </w:rPr>
          <w:fldChar w:fldCharType="begin"/>
        </w:r>
        <w:r>
          <w:rPr>
            <w:webHidden/>
          </w:rPr>
          <w:instrText xml:space="preserve"> PAGEREF _Toc393728046 \h </w:instrText>
        </w:r>
        <w:r>
          <w:rPr>
            <w:webHidden/>
          </w:rPr>
        </w:r>
        <w:r>
          <w:rPr>
            <w:webHidden/>
          </w:rPr>
          <w:fldChar w:fldCharType="separate"/>
        </w:r>
        <w:r>
          <w:rPr>
            <w:webHidden/>
          </w:rPr>
          <w:t>14</w:t>
        </w:r>
        <w:r>
          <w:rPr>
            <w:webHidden/>
          </w:rPr>
          <w:fldChar w:fldCharType="end"/>
        </w:r>
      </w:hyperlink>
    </w:p>
    <w:p w:rsidR="000938C1" w:rsidRDefault="000938C1">
      <w:pPr>
        <w:pStyle w:val="TOC1"/>
        <w:rPr>
          <w:rFonts w:ascii="Calibri" w:hAnsi="Calibri"/>
          <w:b w:val="0"/>
          <w:color w:val="auto"/>
          <w:sz w:val="22"/>
        </w:rPr>
      </w:pPr>
      <w:hyperlink w:anchor="_Toc393728047" w:history="1">
        <w:r w:rsidRPr="00CA2B8F">
          <w:rPr>
            <w:rStyle w:val="Hyperlink"/>
          </w:rPr>
          <w:t>4.</w:t>
        </w:r>
        <w:r>
          <w:rPr>
            <w:rFonts w:ascii="Calibri" w:hAnsi="Calibri"/>
            <w:b w:val="0"/>
            <w:color w:val="auto"/>
            <w:sz w:val="22"/>
          </w:rPr>
          <w:tab/>
        </w:r>
        <w:r w:rsidRPr="00CA2B8F">
          <w:rPr>
            <w:rStyle w:val="Hyperlink"/>
          </w:rPr>
          <w:t>Оценка на въздействието на данъчната политика и политиката на разходите в бюджетния сектор върху развитието на националната икономика</w:t>
        </w:r>
        <w:r>
          <w:rPr>
            <w:webHidden/>
          </w:rPr>
          <w:tab/>
        </w:r>
        <w:r>
          <w:rPr>
            <w:webHidden/>
          </w:rPr>
          <w:fldChar w:fldCharType="begin"/>
        </w:r>
        <w:r>
          <w:rPr>
            <w:webHidden/>
          </w:rPr>
          <w:instrText xml:space="preserve"> PAGEREF _Toc393728047 \h </w:instrText>
        </w:r>
        <w:r>
          <w:rPr>
            <w:webHidden/>
          </w:rPr>
        </w:r>
        <w:r>
          <w:rPr>
            <w:webHidden/>
          </w:rPr>
          <w:fldChar w:fldCharType="separate"/>
        </w:r>
        <w:r>
          <w:rPr>
            <w:webHidden/>
          </w:rPr>
          <w:t>16</w:t>
        </w:r>
        <w:r>
          <w:rPr>
            <w:webHidden/>
          </w:rPr>
          <w:fldChar w:fldCharType="end"/>
        </w:r>
      </w:hyperlink>
    </w:p>
    <w:p w:rsidR="000938C1" w:rsidRDefault="000938C1">
      <w:pPr>
        <w:pStyle w:val="TOC1"/>
        <w:rPr>
          <w:rFonts w:ascii="Calibri" w:hAnsi="Calibri"/>
          <w:b w:val="0"/>
          <w:color w:val="auto"/>
          <w:sz w:val="22"/>
        </w:rPr>
      </w:pPr>
      <w:hyperlink w:anchor="_Toc393728048" w:history="1">
        <w:r w:rsidRPr="00CA2B8F">
          <w:rPr>
            <w:rStyle w:val="Hyperlink"/>
          </w:rPr>
          <w:t>5.</w:t>
        </w:r>
        <w:r>
          <w:rPr>
            <w:rFonts w:ascii="Calibri" w:hAnsi="Calibri"/>
            <w:b w:val="0"/>
            <w:color w:val="auto"/>
            <w:sz w:val="22"/>
          </w:rPr>
          <w:tab/>
        </w:r>
        <w:r w:rsidRPr="00CA2B8F">
          <w:rPr>
            <w:rStyle w:val="Hyperlink"/>
          </w:rPr>
          <w:t>Макроикономически ефект от усвояването на европейските средства</w:t>
        </w:r>
        <w:r>
          <w:rPr>
            <w:webHidden/>
          </w:rPr>
          <w:tab/>
        </w:r>
        <w:r>
          <w:rPr>
            <w:webHidden/>
          </w:rPr>
          <w:fldChar w:fldCharType="begin"/>
        </w:r>
        <w:r>
          <w:rPr>
            <w:webHidden/>
          </w:rPr>
          <w:instrText xml:space="preserve"> PAGEREF _Toc393728048 \h </w:instrText>
        </w:r>
        <w:r>
          <w:rPr>
            <w:webHidden/>
          </w:rPr>
        </w:r>
        <w:r>
          <w:rPr>
            <w:webHidden/>
          </w:rPr>
          <w:fldChar w:fldCharType="separate"/>
        </w:r>
        <w:r>
          <w:rPr>
            <w:webHidden/>
          </w:rPr>
          <w:t>17</w:t>
        </w:r>
        <w:r>
          <w:rPr>
            <w:webHidden/>
          </w:rPr>
          <w:fldChar w:fldCharType="end"/>
        </w:r>
      </w:hyperlink>
    </w:p>
    <w:p w:rsidR="000938C1" w:rsidRDefault="000938C1">
      <w:pPr>
        <w:pStyle w:val="TOC1"/>
        <w:rPr>
          <w:rFonts w:ascii="Calibri" w:hAnsi="Calibri"/>
          <w:b w:val="0"/>
          <w:color w:val="auto"/>
          <w:sz w:val="22"/>
        </w:rPr>
      </w:pPr>
      <w:hyperlink w:anchor="_Toc393728049" w:history="1">
        <w:r w:rsidRPr="00CA2B8F">
          <w:rPr>
            <w:rStyle w:val="Hyperlink"/>
          </w:rPr>
          <w:t>ІІ. ФИСКАЛНА ПОЛИТИКА</w:t>
        </w:r>
        <w:r>
          <w:rPr>
            <w:webHidden/>
          </w:rPr>
          <w:tab/>
        </w:r>
        <w:r>
          <w:rPr>
            <w:webHidden/>
          </w:rPr>
          <w:fldChar w:fldCharType="begin"/>
        </w:r>
        <w:r>
          <w:rPr>
            <w:webHidden/>
          </w:rPr>
          <w:instrText xml:space="preserve"> PAGEREF _Toc393728049 \h </w:instrText>
        </w:r>
        <w:r>
          <w:rPr>
            <w:webHidden/>
          </w:rPr>
        </w:r>
        <w:r>
          <w:rPr>
            <w:webHidden/>
          </w:rPr>
          <w:fldChar w:fldCharType="separate"/>
        </w:r>
        <w:r>
          <w:rPr>
            <w:webHidden/>
          </w:rPr>
          <w:t>20</w:t>
        </w:r>
        <w:r>
          <w:rPr>
            <w:webHidden/>
          </w:rPr>
          <w:fldChar w:fldCharType="end"/>
        </w:r>
      </w:hyperlink>
    </w:p>
    <w:p w:rsidR="000938C1" w:rsidRDefault="000938C1">
      <w:pPr>
        <w:pStyle w:val="TOC1"/>
        <w:rPr>
          <w:rFonts w:ascii="Calibri" w:hAnsi="Calibri"/>
          <w:b w:val="0"/>
          <w:color w:val="auto"/>
          <w:sz w:val="22"/>
        </w:rPr>
      </w:pPr>
      <w:hyperlink w:anchor="_Toc393728050" w:history="1">
        <w:r w:rsidRPr="00CA2B8F">
          <w:rPr>
            <w:rStyle w:val="Hyperlink"/>
            <w:bCs/>
            <w:lang w:eastAsia="en-US"/>
          </w:rPr>
          <w:t>1.</w:t>
        </w:r>
        <w:r>
          <w:rPr>
            <w:rFonts w:ascii="Calibri" w:hAnsi="Calibri"/>
            <w:b w:val="0"/>
            <w:color w:val="auto"/>
            <w:sz w:val="22"/>
          </w:rPr>
          <w:tab/>
        </w:r>
        <w:r w:rsidRPr="00CA2B8F">
          <w:rPr>
            <w:rStyle w:val="Hyperlink"/>
            <w:bCs/>
            <w:lang w:eastAsia="en-US"/>
          </w:rPr>
          <w:t>Основни акценти на фискалната политика по отношение на бюджетното изпълнение през 201</w:t>
        </w:r>
        <w:r w:rsidRPr="00CA2B8F">
          <w:rPr>
            <w:rStyle w:val="Hyperlink"/>
            <w:bCs/>
            <w:lang w:val="ru-RU" w:eastAsia="en-US"/>
          </w:rPr>
          <w:t>3</w:t>
        </w:r>
        <w:r w:rsidRPr="00CA2B8F">
          <w:rPr>
            <w:rStyle w:val="Hyperlink"/>
            <w:bCs/>
            <w:lang w:eastAsia="en-US"/>
          </w:rPr>
          <w:t xml:space="preserve"> г.</w:t>
        </w:r>
        <w:r>
          <w:rPr>
            <w:webHidden/>
          </w:rPr>
          <w:tab/>
        </w:r>
        <w:r>
          <w:rPr>
            <w:webHidden/>
          </w:rPr>
          <w:fldChar w:fldCharType="begin"/>
        </w:r>
        <w:r>
          <w:rPr>
            <w:webHidden/>
          </w:rPr>
          <w:instrText xml:space="preserve"> PAGEREF _Toc393728050 \h </w:instrText>
        </w:r>
        <w:r>
          <w:rPr>
            <w:webHidden/>
          </w:rPr>
        </w:r>
        <w:r>
          <w:rPr>
            <w:webHidden/>
          </w:rPr>
          <w:fldChar w:fldCharType="separate"/>
        </w:r>
        <w:r>
          <w:rPr>
            <w:webHidden/>
          </w:rPr>
          <w:t>20</w:t>
        </w:r>
        <w:r>
          <w:rPr>
            <w:webHidden/>
          </w:rPr>
          <w:fldChar w:fldCharType="end"/>
        </w:r>
      </w:hyperlink>
    </w:p>
    <w:p w:rsidR="000938C1" w:rsidRDefault="000938C1">
      <w:pPr>
        <w:pStyle w:val="TOC3"/>
        <w:rPr>
          <w:rFonts w:ascii="Calibri" w:hAnsi="Calibri"/>
          <w:color w:val="auto"/>
          <w:sz w:val="22"/>
          <w:szCs w:val="22"/>
        </w:rPr>
      </w:pPr>
      <w:hyperlink w:anchor="_Toc393728051" w:history="1">
        <w:r w:rsidRPr="00CA2B8F">
          <w:rPr>
            <w:rStyle w:val="Hyperlink"/>
          </w:rPr>
          <w:t>1.1</w:t>
        </w:r>
        <w:r>
          <w:rPr>
            <w:rFonts w:ascii="Calibri" w:hAnsi="Calibri"/>
            <w:color w:val="auto"/>
            <w:sz w:val="22"/>
            <w:szCs w:val="22"/>
          </w:rPr>
          <w:tab/>
        </w:r>
        <w:r w:rsidRPr="00CA2B8F">
          <w:rPr>
            <w:rStyle w:val="Hyperlink"/>
          </w:rPr>
          <w:t>Промени в данъчното облагане през 201</w:t>
        </w:r>
        <w:r w:rsidRPr="00CA2B8F">
          <w:rPr>
            <w:rStyle w:val="Hyperlink"/>
            <w:lang w:val="en-US"/>
          </w:rPr>
          <w:t>3</w:t>
        </w:r>
        <w:r w:rsidRPr="00CA2B8F">
          <w:rPr>
            <w:rStyle w:val="Hyperlink"/>
          </w:rPr>
          <w:t xml:space="preserve"> г.</w:t>
        </w:r>
        <w:r>
          <w:rPr>
            <w:webHidden/>
          </w:rPr>
          <w:tab/>
        </w:r>
        <w:r>
          <w:rPr>
            <w:webHidden/>
          </w:rPr>
          <w:fldChar w:fldCharType="begin"/>
        </w:r>
        <w:r>
          <w:rPr>
            <w:webHidden/>
          </w:rPr>
          <w:instrText xml:space="preserve"> PAGEREF _Toc393728051 \h </w:instrText>
        </w:r>
        <w:r>
          <w:rPr>
            <w:webHidden/>
          </w:rPr>
        </w:r>
        <w:r>
          <w:rPr>
            <w:webHidden/>
          </w:rPr>
          <w:fldChar w:fldCharType="separate"/>
        </w:r>
        <w:r>
          <w:rPr>
            <w:webHidden/>
          </w:rPr>
          <w:t>22</w:t>
        </w:r>
        <w:r>
          <w:rPr>
            <w:webHidden/>
          </w:rPr>
          <w:fldChar w:fldCharType="end"/>
        </w:r>
      </w:hyperlink>
    </w:p>
    <w:p w:rsidR="000938C1" w:rsidRDefault="000938C1">
      <w:pPr>
        <w:pStyle w:val="TOC3"/>
        <w:rPr>
          <w:rFonts w:ascii="Calibri" w:hAnsi="Calibri"/>
          <w:color w:val="auto"/>
          <w:sz w:val="22"/>
          <w:szCs w:val="22"/>
        </w:rPr>
      </w:pPr>
      <w:hyperlink w:anchor="_Toc393728052" w:history="1">
        <w:r w:rsidRPr="00CA2B8F">
          <w:rPr>
            <w:rStyle w:val="Hyperlink"/>
          </w:rPr>
          <w:t>1.2</w:t>
        </w:r>
        <w:r>
          <w:rPr>
            <w:rFonts w:ascii="Calibri" w:hAnsi="Calibri"/>
            <w:color w:val="auto"/>
            <w:sz w:val="22"/>
            <w:szCs w:val="22"/>
          </w:rPr>
          <w:tab/>
        </w:r>
        <w:r w:rsidRPr="00CA2B8F">
          <w:rPr>
            <w:rStyle w:val="Hyperlink"/>
          </w:rPr>
          <w:t>Инвестиционна политика</w:t>
        </w:r>
        <w:r>
          <w:rPr>
            <w:webHidden/>
          </w:rPr>
          <w:tab/>
        </w:r>
        <w:r>
          <w:rPr>
            <w:webHidden/>
          </w:rPr>
          <w:fldChar w:fldCharType="begin"/>
        </w:r>
        <w:r>
          <w:rPr>
            <w:webHidden/>
          </w:rPr>
          <w:instrText xml:space="preserve"> PAGEREF _Toc393728052 \h </w:instrText>
        </w:r>
        <w:r>
          <w:rPr>
            <w:webHidden/>
          </w:rPr>
        </w:r>
        <w:r>
          <w:rPr>
            <w:webHidden/>
          </w:rPr>
          <w:fldChar w:fldCharType="separate"/>
        </w:r>
        <w:r>
          <w:rPr>
            <w:webHidden/>
          </w:rPr>
          <w:t>26</w:t>
        </w:r>
        <w:r>
          <w:rPr>
            <w:webHidden/>
          </w:rPr>
          <w:fldChar w:fldCharType="end"/>
        </w:r>
      </w:hyperlink>
    </w:p>
    <w:p w:rsidR="000938C1" w:rsidRDefault="000938C1">
      <w:pPr>
        <w:pStyle w:val="TOC1"/>
        <w:rPr>
          <w:rFonts w:ascii="Calibri" w:hAnsi="Calibri"/>
          <w:b w:val="0"/>
          <w:color w:val="auto"/>
          <w:sz w:val="22"/>
        </w:rPr>
      </w:pPr>
      <w:hyperlink w:anchor="_Toc393728053" w:history="1">
        <w:r w:rsidRPr="00CA2B8F">
          <w:rPr>
            <w:rStyle w:val="Hyperlink"/>
          </w:rPr>
          <w:t>2.</w:t>
        </w:r>
        <w:r>
          <w:rPr>
            <w:rFonts w:ascii="Calibri" w:hAnsi="Calibri"/>
            <w:b w:val="0"/>
            <w:color w:val="auto"/>
            <w:sz w:val="22"/>
          </w:rPr>
          <w:tab/>
        </w:r>
        <w:r w:rsidRPr="00CA2B8F">
          <w:rPr>
            <w:rStyle w:val="Hyperlink"/>
          </w:rPr>
          <w:t>Основни параметри на консолидираната фискална програма за 201</w:t>
        </w:r>
        <w:r w:rsidRPr="00CA2B8F">
          <w:rPr>
            <w:rStyle w:val="Hyperlink"/>
            <w:lang w:val="en-US"/>
          </w:rPr>
          <w:t>3</w:t>
        </w:r>
        <w:r w:rsidRPr="00CA2B8F">
          <w:rPr>
            <w:rStyle w:val="Hyperlink"/>
          </w:rPr>
          <w:t xml:space="preserve"> г.</w:t>
        </w:r>
        <w:r>
          <w:rPr>
            <w:webHidden/>
          </w:rPr>
          <w:tab/>
        </w:r>
        <w:r>
          <w:rPr>
            <w:webHidden/>
          </w:rPr>
          <w:fldChar w:fldCharType="begin"/>
        </w:r>
        <w:r>
          <w:rPr>
            <w:webHidden/>
          </w:rPr>
          <w:instrText xml:space="preserve"> PAGEREF _Toc393728053 \h </w:instrText>
        </w:r>
        <w:r>
          <w:rPr>
            <w:webHidden/>
          </w:rPr>
        </w:r>
        <w:r>
          <w:rPr>
            <w:webHidden/>
          </w:rPr>
          <w:fldChar w:fldCharType="separate"/>
        </w:r>
        <w:r>
          <w:rPr>
            <w:webHidden/>
          </w:rPr>
          <w:t>29</w:t>
        </w:r>
        <w:r>
          <w:rPr>
            <w:webHidden/>
          </w:rPr>
          <w:fldChar w:fldCharType="end"/>
        </w:r>
      </w:hyperlink>
    </w:p>
    <w:p w:rsidR="000938C1" w:rsidRDefault="000938C1">
      <w:pPr>
        <w:pStyle w:val="TOC3"/>
        <w:rPr>
          <w:rFonts w:ascii="Calibri" w:hAnsi="Calibri"/>
          <w:color w:val="auto"/>
          <w:sz w:val="22"/>
          <w:szCs w:val="22"/>
        </w:rPr>
      </w:pPr>
      <w:hyperlink w:anchor="_Toc393728054" w:history="1">
        <w:r w:rsidRPr="00CA2B8F">
          <w:rPr>
            <w:rStyle w:val="Hyperlink"/>
          </w:rPr>
          <w:t>2.1</w:t>
        </w:r>
        <w:r>
          <w:rPr>
            <w:rFonts w:ascii="Calibri" w:hAnsi="Calibri"/>
            <w:color w:val="auto"/>
            <w:sz w:val="22"/>
            <w:szCs w:val="22"/>
          </w:rPr>
          <w:tab/>
        </w:r>
        <w:r w:rsidRPr="00CA2B8F">
          <w:rPr>
            <w:rStyle w:val="Hyperlink"/>
          </w:rPr>
          <w:t>Мерки на НАП и АМ за повишаване на събираемостта на приходите</w:t>
        </w:r>
        <w:r>
          <w:rPr>
            <w:webHidden/>
          </w:rPr>
          <w:tab/>
        </w:r>
        <w:r>
          <w:rPr>
            <w:webHidden/>
          </w:rPr>
          <w:fldChar w:fldCharType="begin"/>
        </w:r>
        <w:r>
          <w:rPr>
            <w:webHidden/>
          </w:rPr>
          <w:instrText xml:space="preserve"> PAGEREF _Toc393728054 \h </w:instrText>
        </w:r>
        <w:r>
          <w:rPr>
            <w:webHidden/>
          </w:rPr>
        </w:r>
        <w:r>
          <w:rPr>
            <w:webHidden/>
          </w:rPr>
          <w:fldChar w:fldCharType="separate"/>
        </w:r>
        <w:r>
          <w:rPr>
            <w:webHidden/>
          </w:rPr>
          <w:t>34</w:t>
        </w:r>
        <w:r>
          <w:rPr>
            <w:webHidden/>
          </w:rPr>
          <w:fldChar w:fldCharType="end"/>
        </w:r>
      </w:hyperlink>
    </w:p>
    <w:p w:rsidR="000938C1" w:rsidRDefault="000938C1">
      <w:pPr>
        <w:pStyle w:val="TOC3"/>
        <w:rPr>
          <w:rFonts w:ascii="Calibri" w:hAnsi="Calibri"/>
          <w:color w:val="auto"/>
          <w:sz w:val="22"/>
          <w:szCs w:val="22"/>
        </w:rPr>
      </w:pPr>
      <w:hyperlink w:anchor="_Toc393728055" w:history="1">
        <w:r w:rsidRPr="00CA2B8F">
          <w:rPr>
            <w:rStyle w:val="Hyperlink"/>
          </w:rPr>
          <w:t>2.2</w:t>
        </w:r>
        <w:r>
          <w:rPr>
            <w:rFonts w:ascii="Calibri" w:hAnsi="Calibri"/>
            <w:color w:val="auto"/>
            <w:sz w:val="22"/>
            <w:szCs w:val="22"/>
          </w:rPr>
          <w:tab/>
        </w:r>
        <w:r w:rsidRPr="00CA2B8F">
          <w:rPr>
            <w:rStyle w:val="Hyperlink"/>
          </w:rPr>
          <w:t>Изпълнение на приходите по консолидираната фискална програма</w:t>
        </w:r>
        <w:r>
          <w:rPr>
            <w:webHidden/>
          </w:rPr>
          <w:tab/>
        </w:r>
        <w:r>
          <w:rPr>
            <w:webHidden/>
          </w:rPr>
          <w:fldChar w:fldCharType="begin"/>
        </w:r>
        <w:r>
          <w:rPr>
            <w:webHidden/>
          </w:rPr>
          <w:instrText xml:space="preserve"> PAGEREF _Toc393728055 \h </w:instrText>
        </w:r>
        <w:r>
          <w:rPr>
            <w:webHidden/>
          </w:rPr>
        </w:r>
        <w:r>
          <w:rPr>
            <w:webHidden/>
          </w:rPr>
          <w:fldChar w:fldCharType="separate"/>
        </w:r>
        <w:r>
          <w:rPr>
            <w:webHidden/>
          </w:rPr>
          <w:t>43</w:t>
        </w:r>
        <w:r>
          <w:rPr>
            <w:webHidden/>
          </w:rPr>
          <w:fldChar w:fldCharType="end"/>
        </w:r>
      </w:hyperlink>
    </w:p>
    <w:p w:rsidR="000938C1" w:rsidRDefault="000938C1">
      <w:pPr>
        <w:pStyle w:val="TOC3"/>
        <w:rPr>
          <w:rFonts w:ascii="Calibri" w:hAnsi="Calibri"/>
          <w:color w:val="auto"/>
          <w:sz w:val="22"/>
          <w:szCs w:val="22"/>
        </w:rPr>
      </w:pPr>
      <w:hyperlink w:anchor="_Toc393728056" w:history="1">
        <w:r w:rsidRPr="00CA2B8F">
          <w:rPr>
            <w:rStyle w:val="Hyperlink"/>
          </w:rPr>
          <w:t>2.2.1</w:t>
        </w:r>
        <w:r>
          <w:rPr>
            <w:rFonts w:ascii="Calibri" w:hAnsi="Calibri"/>
            <w:color w:val="auto"/>
            <w:sz w:val="22"/>
            <w:szCs w:val="22"/>
          </w:rPr>
          <w:tab/>
        </w:r>
        <w:r w:rsidRPr="00CA2B8F">
          <w:rPr>
            <w:rStyle w:val="Hyperlink"/>
          </w:rPr>
          <w:t>Корпоративни данъци</w:t>
        </w:r>
        <w:r>
          <w:rPr>
            <w:webHidden/>
          </w:rPr>
          <w:tab/>
        </w:r>
        <w:r>
          <w:rPr>
            <w:webHidden/>
          </w:rPr>
          <w:fldChar w:fldCharType="begin"/>
        </w:r>
        <w:r>
          <w:rPr>
            <w:webHidden/>
          </w:rPr>
          <w:instrText xml:space="preserve"> PAGEREF _Toc393728056 \h </w:instrText>
        </w:r>
        <w:r>
          <w:rPr>
            <w:webHidden/>
          </w:rPr>
        </w:r>
        <w:r>
          <w:rPr>
            <w:webHidden/>
          </w:rPr>
          <w:fldChar w:fldCharType="separate"/>
        </w:r>
        <w:r>
          <w:rPr>
            <w:webHidden/>
          </w:rPr>
          <w:t>44</w:t>
        </w:r>
        <w:r>
          <w:rPr>
            <w:webHidden/>
          </w:rPr>
          <w:fldChar w:fldCharType="end"/>
        </w:r>
      </w:hyperlink>
    </w:p>
    <w:p w:rsidR="000938C1" w:rsidRDefault="000938C1">
      <w:pPr>
        <w:pStyle w:val="TOC3"/>
        <w:rPr>
          <w:rFonts w:ascii="Calibri" w:hAnsi="Calibri"/>
          <w:color w:val="auto"/>
          <w:sz w:val="22"/>
          <w:szCs w:val="22"/>
        </w:rPr>
      </w:pPr>
      <w:hyperlink w:anchor="_Toc393728057" w:history="1">
        <w:r w:rsidRPr="00CA2B8F">
          <w:rPr>
            <w:rStyle w:val="Hyperlink"/>
          </w:rPr>
          <w:t>2.2.2</w:t>
        </w:r>
        <w:r>
          <w:rPr>
            <w:rFonts w:ascii="Calibri" w:hAnsi="Calibri"/>
            <w:color w:val="auto"/>
            <w:sz w:val="22"/>
            <w:szCs w:val="22"/>
          </w:rPr>
          <w:tab/>
        </w:r>
        <w:r w:rsidRPr="00CA2B8F">
          <w:rPr>
            <w:rStyle w:val="Hyperlink"/>
          </w:rPr>
          <w:t>Данък върху доходите на физическите лица</w:t>
        </w:r>
        <w:r>
          <w:rPr>
            <w:webHidden/>
          </w:rPr>
          <w:tab/>
        </w:r>
        <w:r>
          <w:rPr>
            <w:webHidden/>
          </w:rPr>
          <w:fldChar w:fldCharType="begin"/>
        </w:r>
        <w:r>
          <w:rPr>
            <w:webHidden/>
          </w:rPr>
          <w:instrText xml:space="preserve"> PAGEREF _Toc393728057 \h </w:instrText>
        </w:r>
        <w:r>
          <w:rPr>
            <w:webHidden/>
          </w:rPr>
        </w:r>
        <w:r>
          <w:rPr>
            <w:webHidden/>
          </w:rPr>
          <w:fldChar w:fldCharType="separate"/>
        </w:r>
        <w:r>
          <w:rPr>
            <w:webHidden/>
          </w:rPr>
          <w:t>47</w:t>
        </w:r>
        <w:r>
          <w:rPr>
            <w:webHidden/>
          </w:rPr>
          <w:fldChar w:fldCharType="end"/>
        </w:r>
      </w:hyperlink>
    </w:p>
    <w:p w:rsidR="000938C1" w:rsidRDefault="000938C1">
      <w:pPr>
        <w:pStyle w:val="TOC3"/>
        <w:rPr>
          <w:rFonts w:ascii="Calibri" w:hAnsi="Calibri"/>
          <w:color w:val="auto"/>
          <w:sz w:val="22"/>
          <w:szCs w:val="22"/>
        </w:rPr>
      </w:pPr>
      <w:hyperlink w:anchor="_Toc393728058" w:history="1">
        <w:r w:rsidRPr="00CA2B8F">
          <w:rPr>
            <w:rStyle w:val="Hyperlink"/>
          </w:rPr>
          <w:t>2.2.3</w:t>
        </w:r>
        <w:r>
          <w:rPr>
            <w:rFonts w:ascii="Calibri" w:hAnsi="Calibri"/>
            <w:color w:val="auto"/>
            <w:sz w:val="22"/>
            <w:szCs w:val="22"/>
          </w:rPr>
          <w:tab/>
        </w:r>
        <w:r w:rsidRPr="00CA2B8F">
          <w:rPr>
            <w:rStyle w:val="Hyperlink"/>
          </w:rPr>
          <w:t>Приходи от осигурителни вноски</w:t>
        </w:r>
        <w:r>
          <w:rPr>
            <w:webHidden/>
          </w:rPr>
          <w:tab/>
        </w:r>
        <w:r>
          <w:rPr>
            <w:webHidden/>
          </w:rPr>
          <w:fldChar w:fldCharType="begin"/>
        </w:r>
        <w:r>
          <w:rPr>
            <w:webHidden/>
          </w:rPr>
          <w:instrText xml:space="preserve"> PAGEREF _Toc393728058 \h </w:instrText>
        </w:r>
        <w:r>
          <w:rPr>
            <w:webHidden/>
          </w:rPr>
        </w:r>
        <w:r>
          <w:rPr>
            <w:webHidden/>
          </w:rPr>
          <w:fldChar w:fldCharType="separate"/>
        </w:r>
        <w:r>
          <w:rPr>
            <w:webHidden/>
          </w:rPr>
          <w:t>48</w:t>
        </w:r>
        <w:r>
          <w:rPr>
            <w:webHidden/>
          </w:rPr>
          <w:fldChar w:fldCharType="end"/>
        </w:r>
      </w:hyperlink>
    </w:p>
    <w:p w:rsidR="000938C1" w:rsidRDefault="000938C1">
      <w:pPr>
        <w:pStyle w:val="TOC3"/>
        <w:rPr>
          <w:rFonts w:ascii="Calibri" w:hAnsi="Calibri"/>
          <w:color w:val="auto"/>
          <w:sz w:val="22"/>
          <w:szCs w:val="22"/>
        </w:rPr>
      </w:pPr>
      <w:hyperlink w:anchor="_Toc393728059" w:history="1">
        <w:r w:rsidRPr="00CA2B8F">
          <w:rPr>
            <w:rStyle w:val="Hyperlink"/>
          </w:rPr>
          <w:t>2.2.4</w:t>
        </w:r>
        <w:r>
          <w:rPr>
            <w:rFonts w:ascii="Calibri" w:hAnsi="Calibri"/>
            <w:color w:val="auto"/>
            <w:sz w:val="22"/>
            <w:szCs w:val="22"/>
          </w:rPr>
          <w:tab/>
        </w:r>
        <w:r w:rsidRPr="00CA2B8F">
          <w:rPr>
            <w:rStyle w:val="Hyperlink"/>
          </w:rPr>
          <w:t>Данък върху добавената стойност</w:t>
        </w:r>
        <w:r>
          <w:rPr>
            <w:webHidden/>
          </w:rPr>
          <w:tab/>
        </w:r>
        <w:r>
          <w:rPr>
            <w:webHidden/>
          </w:rPr>
          <w:fldChar w:fldCharType="begin"/>
        </w:r>
        <w:r>
          <w:rPr>
            <w:webHidden/>
          </w:rPr>
          <w:instrText xml:space="preserve"> PAGEREF _Toc393728059 \h </w:instrText>
        </w:r>
        <w:r>
          <w:rPr>
            <w:webHidden/>
          </w:rPr>
        </w:r>
        <w:r>
          <w:rPr>
            <w:webHidden/>
          </w:rPr>
          <w:fldChar w:fldCharType="separate"/>
        </w:r>
        <w:r>
          <w:rPr>
            <w:webHidden/>
          </w:rPr>
          <w:t>49</w:t>
        </w:r>
        <w:r>
          <w:rPr>
            <w:webHidden/>
          </w:rPr>
          <w:fldChar w:fldCharType="end"/>
        </w:r>
      </w:hyperlink>
    </w:p>
    <w:p w:rsidR="000938C1" w:rsidRDefault="000938C1">
      <w:pPr>
        <w:pStyle w:val="TOC3"/>
        <w:rPr>
          <w:rFonts w:ascii="Calibri" w:hAnsi="Calibri"/>
          <w:color w:val="auto"/>
          <w:sz w:val="22"/>
          <w:szCs w:val="22"/>
        </w:rPr>
      </w:pPr>
      <w:hyperlink w:anchor="_Toc393728060" w:history="1">
        <w:r w:rsidRPr="00CA2B8F">
          <w:rPr>
            <w:rStyle w:val="Hyperlink"/>
          </w:rPr>
          <w:t>2.2.5</w:t>
        </w:r>
        <w:r>
          <w:rPr>
            <w:rFonts w:ascii="Calibri" w:hAnsi="Calibri"/>
            <w:color w:val="auto"/>
            <w:sz w:val="22"/>
            <w:szCs w:val="22"/>
          </w:rPr>
          <w:tab/>
        </w:r>
        <w:r w:rsidRPr="00CA2B8F">
          <w:rPr>
            <w:rStyle w:val="Hyperlink"/>
          </w:rPr>
          <w:t>Акцизи</w:t>
        </w:r>
        <w:r>
          <w:rPr>
            <w:webHidden/>
          </w:rPr>
          <w:tab/>
        </w:r>
        <w:r>
          <w:rPr>
            <w:webHidden/>
          </w:rPr>
          <w:fldChar w:fldCharType="begin"/>
        </w:r>
        <w:r>
          <w:rPr>
            <w:webHidden/>
          </w:rPr>
          <w:instrText xml:space="preserve"> PAGEREF _Toc393728060 \h </w:instrText>
        </w:r>
        <w:r>
          <w:rPr>
            <w:webHidden/>
          </w:rPr>
        </w:r>
        <w:r>
          <w:rPr>
            <w:webHidden/>
          </w:rPr>
          <w:fldChar w:fldCharType="separate"/>
        </w:r>
        <w:r>
          <w:rPr>
            <w:webHidden/>
          </w:rPr>
          <w:t>52</w:t>
        </w:r>
        <w:r>
          <w:rPr>
            <w:webHidden/>
          </w:rPr>
          <w:fldChar w:fldCharType="end"/>
        </w:r>
      </w:hyperlink>
    </w:p>
    <w:p w:rsidR="000938C1" w:rsidRDefault="000938C1">
      <w:pPr>
        <w:pStyle w:val="TOC3"/>
        <w:rPr>
          <w:rFonts w:ascii="Calibri" w:hAnsi="Calibri"/>
          <w:color w:val="auto"/>
          <w:sz w:val="22"/>
          <w:szCs w:val="22"/>
        </w:rPr>
      </w:pPr>
      <w:hyperlink w:anchor="_Toc393728061" w:history="1">
        <w:r w:rsidRPr="00CA2B8F">
          <w:rPr>
            <w:rStyle w:val="Hyperlink"/>
          </w:rPr>
          <w:t>2.2.6</w:t>
        </w:r>
        <w:r>
          <w:rPr>
            <w:rFonts w:ascii="Calibri" w:hAnsi="Calibri"/>
            <w:color w:val="auto"/>
            <w:sz w:val="22"/>
            <w:szCs w:val="22"/>
          </w:rPr>
          <w:tab/>
        </w:r>
        <w:r w:rsidRPr="00CA2B8F">
          <w:rPr>
            <w:rStyle w:val="Hyperlink"/>
          </w:rPr>
          <w:t>Мита</w:t>
        </w:r>
        <w:r>
          <w:rPr>
            <w:webHidden/>
          </w:rPr>
          <w:tab/>
        </w:r>
        <w:r>
          <w:rPr>
            <w:webHidden/>
          </w:rPr>
          <w:fldChar w:fldCharType="begin"/>
        </w:r>
        <w:r>
          <w:rPr>
            <w:webHidden/>
          </w:rPr>
          <w:instrText xml:space="preserve"> PAGEREF _Toc393728061 \h </w:instrText>
        </w:r>
        <w:r>
          <w:rPr>
            <w:webHidden/>
          </w:rPr>
        </w:r>
        <w:r>
          <w:rPr>
            <w:webHidden/>
          </w:rPr>
          <w:fldChar w:fldCharType="separate"/>
        </w:r>
        <w:r>
          <w:rPr>
            <w:webHidden/>
          </w:rPr>
          <w:t>54</w:t>
        </w:r>
        <w:r>
          <w:rPr>
            <w:webHidden/>
          </w:rPr>
          <w:fldChar w:fldCharType="end"/>
        </w:r>
      </w:hyperlink>
    </w:p>
    <w:p w:rsidR="000938C1" w:rsidRDefault="000938C1">
      <w:pPr>
        <w:pStyle w:val="TOC3"/>
        <w:rPr>
          <w:rFonts w:ascii="Calibri" w:hAnsi="Calibri"/>
          <w:color w:val="auto"/>
          <w:sz w:val="22"/>
          <w:szCs w:val="22"/>
        </w:rPr>
      </w:pPr>
      <w:hyperlink w:anchor="_Toc393728062" w:history="1">
        <w:r w:rsidRPr="00CA2B8F">
          <w:rPr>
            <w:rStyle w:val="Hyperlink"/>
          </w:rPr>
          <w:t>2.2.7</w:t>
        </w:r>
        <w:r>
          <w:rPr>
            <w:rFonts w:ascii="Calibri" w:hAnsi="Calibri"/>
            <w:color w:val="auto"/>
            <w:sz w:val="22"/>
            <w:szCs w:val="22"/>
          </w:rPr>
          <w:tab/>
        </w:r>
        <w:r w:rsidRPr="00CA2B8F">
          <w:rPr>
            <w:rStyle w:val="Hyperlink"/>
          </w:rPr>
          <w:t>Данък върху застрахователните премии</w:t>
        </w:r>
        <w:r>
          <w:rPr>
            <w:webHidden/>
          </w:rPr>
          <w:tab/>
        </w:r>
        <w:r>
          <w:rPr>
            <w:webHidden/>
          </w:rPr>
          <w:fldChar w:fldCharType="begin"/>
        </w:r>
        <w:r>
          <w:rPr>
            <w:webHidden/>
          </w:rPr>
          <w:instrText xml:space="preserve"> PAGEREF _Toc393728062 \h </w:instrText>
        </w:r>
        <w:r>
          <w:rPr>
            <w:webHidden/>
          </w:rPr>
        </w:r>
        <w:r>
          <w:rPr>
            <w:webHidden/>
          </w:rPr>
          <w:fldChar w:fldCharType="separate"/>
        </w:r>
        <w:r>
          <w:rPr>
            <w:webHidden/>
          </w:rPr>
          <w:t>54</w:t>
        </w:r>
        <w:r>
          <w:rPr>
            <w:webHidden/>
          </w:rPr>
          <w:fldChar w:fldCharType="end"/>
        </w:r>
      </w:hyperlink>
    </w:p>
    <w:p w:rsidR="000938C1" w:rsidRDefault="000938C1">
      <w:pPr>
        <w:pStyle w:val="TOC3"/>
        <w:rPr>
          <w:rFonts w:ascii="Calibri" w:hAnsi="Calibri"/>
          <w:color w:val="auto"/>
          <w:sz w:val="22"/>
          <w:szCs w:val="22"/>
        </w:rPr>
      </w:pPr>
      <w:hyperlink w:anchor="_Toc393728063" w:history="1">
        <w:r w:rsidRPr="00CA2B8F">
          <w:rPr>
            <w:rStyle w:val="Hyperlink"/>
          </w:rPr>
          <w:t>2.2.8</w:t>
        </w:r>
        <w:r>
          <w:rPr>
            <w:rFonts w:ascii="Calibri" w:hAnsi="Calibri"/>
            <w:color w:val="auto"/>
            <w:sz w:val="22"/>
            <w:szCs w:val="22"/>
          </w:rPr>
          <w:tab/>
        </w:r>
        <w:r w:rsidRPr="00CA2B8F">
          <w:rPr>
            <w:rStyle w:val="Hyperlink"/>
          </w:rPr>
          <w:t>Други данъци</w:t>
        </w:r>
        <w:r>
          <w:rPr>
            <w:webHidden/>
          </w:rPr>
          <w:tab/>
        </w:r>
        <w:r>
          <w:rPr>
            <w:webHidden/>
          </w:rPr>
          <w:fldChar w:fldCharType="begin"/>
        </w:r>
        <w:r>
          <w:rPr>
            <w:webHidden/>
          </w:rPr>
          <w:instrText xml:space="preserve"> PAGEREF _Toc393728063 \h </w:instrText>
        </w:r>
        <w:r>
          <w:rPr>
            <w:webHidden/>
          </w:rPr>
        </w:r>
        <w:r>
          <w:rPr>
            <w:webHidden/>
          </w:rPr>
          <w:fldChar w:fldCharType="separate"/>
        </w:r>
        <w:r>
          <w:rPr>
            <w:webHidden/>
          </w:rPr>
          <w:t>54</w:t>
        </w:r>
        <w:r>
          <w:rPr>
            <w:webHidden/>
          </w:rPr>
          <w:fldChar w:fldCharType="end"/>
        </w:r>
      </w:hyperlink>
    </w:p>
    <w:p w:rsidR="000938C1" w:rsidRDefault="000938C1">
      <w:pPr>
        <w:pStyle w:val="TOC3"/>
        <w:rPr>
          <w:rFonts w:ascii="Calibri" w:hAnsi="Calibri"/>
          <w:color w:val="auto"/>
          <w:sz w:val="22"/>
          <w:szCs w:val="22"/>
        </w:rPr>
      </w:pPr>
      <w:hyperlink w:anchor="_Toc393728064" w:history="1">
        <w:r w:rsidRPr="00CA2B8F">
          <w:rPr>
            <w:rStyle w:val="Hyperlink"/>
          </w:rPr>
          <w:t>2.2.9</w:t>
        </w:r>
        <w:r>
          <w:rPr>
            <w:rFonts w:ascii="Calibri" w:hAnsi="Calibri"/>
            <w:color w:val="auto"/>
            <w:sz w:val="22"/>
            <w:szCs w:val="22"/>
          </w:rPr>
          <w:tab/>
        </w:r>
        <w:r w:rsidRPr="00CA2B8F">
          <w:rPr>
            <w:rStyle w:val="Hyperlink"/>
          </w:rPr>
          <w:t>Неданъчни приходи</w:t>
        </w:r>
        <w:r>
          <w:rPr>
            <w:webHidden/>
          </w:rPr>
          <w:tab/>
        </w:r>
        <w:r>
          <w:rPr>
            <w:webHidden/>
          </w:rPr>
          <w:fldChar w:fldCharType="begin"/>
        </w:r>
        <w:r>
          <w:rPr>
            <w:webHidden/>
          </w:rPr>
          <w:instrText xml:space="preserve"> PAGEREF _Toc393728064 \h </w:instrText>
        </w:r>
        <w:r>
          <w:rPr>
            <w:webHidden/>
          </w:rPr>
        </w:r>
        <w:r>
          <w:rPr>
            <w:webHidden/>
          </w:rPr>
          <w:fldChar w:fldCharType="separate"/>
        </w:r>
        <w:r>
          <w:rPr>
            <w:webHidden/>
          </w:rPr>
          <w:t>55</w:t>
        </w:r>
        <w:r>
          <w:rPr>
            <w:webHidden/>
          </w:rPr>
          <w:fldChar w:fldCharType="end"/>
        </w:r>
      </w:hyperlink>
    </w:p>
    <w:p w:rsidR="000938C1" w:rsidRDefault="000938C1">
      <w:pPr>
        <w:pStyle w:val="TOC3"/>
        <w:rPr>
          <w:rFonts w:ascii="Calibri" w:hAnsi="Calibri"/>
          <w:color w:val="auto"/>
          <w:sz w:val="22"/>
          <w:szCs w:val="22"/>
        </w:rPr>
      </w:pPr>
      <w:hyperlink w:anchor="_Toc393728065" w:history="1">
        <w:r w:rsidRPr="00CA2B8F">
          <w:rPr>
            <w:rStyle w:val="Hyperlink"/>
          </w:rPr>
          <w:t>2.2.10</w:t>
        </w:r>
        <w:r>
          <w:rPr>
            <w:rFonts w:ascii="Calibri" w:hAnsi="Calibri"/>
            <w:color w:val="auto"/>
            <w:sz w:val="22"/>
            <w:szCs w:val="22"/>
          </w:rPr>
          <w:tab/>
        </w:r>
        <w:r w:rsidRPr="00CA2B8F">
          <w:rPr>
            <w:rStyle w:val="Hyperlink"/>
          </w:rPr>
          <w:t>Помощи, дарения и други безвъзмездно получени суми</w:t>
        </w:r>
        <w:r>
          <w:rPr>
            <w:webHidden/>
          </w:rPr>
          <w:tab/>
        </w:r>
        <w:r>
          <w:rPr>
            <w:webHidden/>
          </w:rPr>
          <w:fldChar w:fldCharType="begin"/>
        </w:r>
        <w:r>
          <w:rPr>
            <w:webHidden/>
          </w:rPr>
          <w:instrText xml:space="preserve"> PAGEREF _Toc393728065 \h </w:instrText>
        </w:r>
        <w:r>
          <w:rPr>
            <w:webHidden/>
          </w:rPr>
        </w:r>
        <w:r>
          <w:rPr>
            <w:webHidden/>
          </w:rPr>
          <w:fldChar w:fldCharType="separate"/>
        </w:r>
        <w:r>
          <w:rPr>
            <w:webHidden/>
          </w:rPr>
          <w:t>58</w:t>
        </w:r>
        <w:r>
          <w:rPr>
            <w:webHidden/>
          </w:rPr>
          <w:fldChar w:fldCharType="end"/>
        </w:r>
      </w:hyperlink>
    </w:p>
    <w:p w:rsidR="000938C1" w:rsidRDefault="000938C1">
      <w:pPr>
        <w:pStyle w:val="TOC3"/>
        <w:rPr>
          <w:rFonts w:ascii="Calibri" w:hAnsi="Calibri"/>
          <w:color w:val="auto"/>
          <w:sz w:val="22"/>
          <w:szCs w:val="22"/>
        </w:rPr>
      </w:pPr>
      <w:hyperlink w:anchor="_Toc393728066" w:history="1">
        <w:r w:rsidRPr="00CA2B8F">
          <w:rPr>
            <w:rStyle w:val="Hyperlink"/>
          </w:rPr>
          <w:t>2.3</w:t>
        </w:r>
        <w:r>
          <w:rPr>
            <w:rFonts w:ascii="Calibri" w:hAnsi="Calibri"/>
            <w:color w:val="auto"/>
            <w:sz w:val="22"/>
            <w:szCs w:val="22"/>
          </w:rPr>
          <w:tab/>
        </w:r>
        <w:r w:rsidRPr="00CA2B8F">
          <w:rPr>
            <w:rStyle w:val="Hyperlink"/>
          </w:rPr>
          <w:t>Изпълнение на разходите по икономически елементи по консолидираната фискална програма за 2013 г.</w:t>
        </w:r>
        <w:r>
          <w:rPr>
            <w:webHidden/>
          </w:rPr>
          <w:tab/>
        </w:r>
        <w:r>
          <w:rPr>
            <w:webHidden/>
          </w:rPr>
          <w:fldChar w:fldCharType="begin"/>
        </w:r>
        <w:r>
          <w:rPr>
            <w:webHidden/>
          </w:rPr>
          <w:instrText xml:space="preserve"> PAGEREF _Toc393728066 \h </w:instrText>
        </w:r>
        <w:r>
          <w:rPr>
            <w:webHidden/>
          </w:rPr>
        </w:r>
        <w:r>
          <w:rPr>
            <w:webHidden/>
          </w:rPr>
          <w:fldChar w:fldCharType="separate"/>
        </w:r>
        <w:r>
          <w:rPr>
            <w:webHidden/>
          </w:rPr>
          <w:t>59</w:t>
        </w:r>
        <w:r>
          <w:rPr>
            <w:webHidden/>
          </w:rPr>
          <w:fldChar w:fldCharType="end"/>
        </w:r>
      </w:hyperlink>
    </w:p>
    <w:p w:rsidR="000938C1" w:rsidRDefault="000938C1">
      <w:pPr>
        <w:pStyle w:val="TOC3"/>
        <w:rPr>
          <w:rFonts w:ascii="Calibri" w:hAnsi="Calibri"/>
          <w:color w:val="auto"/>
          <w:sz w:val="22"/>
          <w:szCs w:val="22"/>
        </w:rPr>
      </w:pPr>
      <w:hyperlink w:anchor="_Toc393728067" w:history="1">
        <w:r w:rsidRPr="00CA2B8F">
          <w:rPr>
            <w:rStyle w:val="Hyperlink"/>
          </w:rPr>
          <w:t>2.3.1</w:t>
        </w:r>
        <w:r>
          <w:rPr>
            <w:rFonts w:ascii="Calibri" w:hAnsi="Calibri"/>
            <w:color w:val="auto"/>
            <w:sz w:val="22"/>
            <w:szCs w:val="22"/>
          </w:rPr>
          <w:tab/>
        </w:r>
        <w:r w:rsidRPr="00CA2B8F">
          <w:rPr>
            <w:rStyle w:val="Hyperlink"/>
          </w:rPr>
          <w:t>Текущи нелихвени разходи</w:t>
        </w:r>
        <w:r>
          <w:rPr>
            <w:webHidden/>
          </w:rPr>
          <w:tab/>
        </w:r>
        <w:r>
          <w:rPr>
            <w:webHidden/>
          </w:rPr>
          <w:fldChar w:fldCharType="begin"/>
        </w:r>
        <w:r>
          <w:rPr>
            <w:webHidden/>
          </w:rPr>
          <w:instrText xml:space="preserve"> PAGEREF _Toc393728067 \h </w:instrText>
        </w:r>
        <w:r>
          <w:rPr>
            <w:webHidden/>
          </w:rPr>
        </w:r>
        <w:r>
          <w:rPr>
            <w:webHidden/>
          </w:rPr>
          <w:fldChar w:fldCharType="separate"/>
        </w:r>
        <w:r>
          <w:rPr>
            <w:webHidden/>
          </w:rPr>
          <w:t>59</w:t>
        </w:r>
        <w:r>
          <w:rPr>
            <w:webHidden/>
          </w:rPr>
          <w:fldChar w:fldCharType="end"/>
        </w:r>
      </w:hyperlink>
    </w:p>
    <w:p w:rsidR="000938C1" w:rsidRDefault="000938C1">
      <w:pPr>
        <w:pStyle w:val="TOC3"/>
        <w:rPr>
          <w:rFonts w:ascii="Calibri" w:hAnsi="Calibri"/>
          <w:color w:val="auto"/>
          <w:sz w:val="22"/>
          <w:szCs w:val="22"/>
        </w:rPr>
      </w:pPr>
      <w:hyperlink w:anchor="_Toc393728068" w:history="1">
        <w:r w:rsidRPr="00CA2B8F">
          <w:rPr>
            <w:rStyle w:val="Hyperlink"/>
          </w:rPr>
          <w:t>2.3.2</w:t>
        </w:r>
        <w:r>
          <w:rPr>
            <w:rFonts w:ascii="Calibri" w:hAnsi="Calibri"/>
            <w:color w:val="auto"/>
            <w:sz w:val="22"/>
            <w:szCs w:val="22"/>
          </w:rPr>
          <w:tab/>
        </w:r>
        <w:r w:rsidRPr="00CA2B8F">
          <w:rPr>
            <w:rStyle w:val="Hyperlink"/>
          </w:rPr>
          <w:t>Капиталови разходи</w:t>
        </w:r>
        <w:r>
          <w:rPr>
            <w:webHidden/>
          </w:rPr>
          <w:tab/>
        </w:r>
        <w:r>
          <w:rPr>
            <w:webHidden/>
          </w:rPr>
          <w:fldChar w:fldCharType="begin"/>
        </w:r>
        <w:r>
          <w:rPr>
            <w:webHidden/>
          </w:rPr>
          <w:instrText xml:space="preserve"> PAGEREF _Toc393728068 \h </w:instrText>
        </w:r>
        <w:r>
          <w:rPr>
            <w:webHidden/>
          </w:rPr>
        </w:r>
        <w:r>
          <w:rPr>
            <w:webHidden/>
          </w:rPr>
          <w:fldChar w:fldCharType="separate"/>
        </w:r>
        <w:r>
          <w:rPr>
            <w:webHidden/>
          </w:rPr>
          <w:t>66</w:t>
        </w:r>
        <w:r>
          <w:rPr>
            <w:webHidden/>
          </w:rPr>
          <w:fldChar w:fldCharType="end"/>
        </w:r>
      </w:hyperlink>
    </w:p>
    <w:p w:rsidR="000938C1" w:rsidRDefault="000938C1">
      <w:pPr>
        <w:pStyle w:val="TOC3"/>
        <w:rPr>
          <w:rFonts w:ascii="Calibri" w:hAnsi="Calibri"/>
          <w:color w:val="auto"/>
          <w:sz w:val="22"/>
          <w:szCs w:val="22"/>
        </w:rPr>
      </w:pPr>
      <w:hyperlink w:anchor="_Toc393728069" w:history="1">
        <w:r w:rsidRPr="00CA2B8F">
          <w:rPr>
            <w:rStyle w:val="Hyperlink"/>
          </w:rPr>
          <w:t>2.3.3</w:t>
        </w:r>
        <w:r>
          <w:rPr>
            <w:rFonts w:ascii="Calibri" w:hAnsi="Calibri"/>
            <w:color w:val="auto"/>
            <w:sz w:val="22"/>
            <w:szCs w:val="22"/>
          </w:rPr>
          <w:tab/>
        </w:r>
        <w:r w:rsidRPr="00CA2B8F">
          <w:rPr>
            <w:rStyle w:val="Hyperlink"/>
          </w:rPr>
          <w:t>Лихвени разходи</w:t>
        </w:r>
        <w:r>
          <w:rPr>
            <w:webHidden/>
          </w:rPr>
          <w:tab/>
        </w:r>
        <w:r>
          <w:rPr>
            <w:webHidden/>
          </w:rPr>
          <w:fldChar w:fldCharType="begin"/>
        </w:r>
        <w:r>
          <w:rPr>
            <w:webHidden/>
          </w:rPr>
          <w:instrText xml:space="preserve"> PAGEREF _Toc393728069 \h </w:instrText>
        </w:r>
        <w:r>
          <w:rPr>
            <w:webHidden/>
          </w:rPr>
        </w:r>
        <w:r>
          <w:rPr>
            <w:webHidden/>
          </w:rPr>
          <w:fldChar w:fldCharType="separate"/>
        </w:r>
        <w:r>
          <w:rPr>
            <w:webHidden/>
          </w:rPr>
          <w:t>68</w:t>
        </w:r>
        <w:r>
          <w:rPr>
            <w:webHidden/>
          </w:rPr>
          <w:fldChar w:fldCharType="end"/>
        </w:r>
      </w:hyperlink>
    </w:p>
    <w:p w:rsidR="000938C1" w:rsidRDefault="000938C1">
      <w:pPr>
        <w:pStyle w:val="TOC3"/>
        <w:rPr>
          <w:rFonts w:ascii="Calibri" w:hAnsi="Calibri"/>
          <w:color w:val="auto"/>
          <w:sz w:val="22"/>
          <w:szCs w:val="22"/>
        </w:rPr>
      </w:pPr>
      <w:hyperlink w:anchor="_Toc393728070" w:history="1">
        <w:r w:rsidRPr="00CA2B8F">
          <w:rPr>
            <w:rStyle w:val="Hyperlink"/>
          </w:rPr>
          <w:t>2.3.4</w:t>
        </w:r>
        <w:r>
          <w:rPr>
            <w:rFonts w:ascii="Calibri" w:hAnsi="Calibri"/>
            <w:color w:val="auto"/>
            <w:sz w:val="22"/>
            <w:szCs w:val="22"/>
          </w:rPr>
          <w:tab/>
        </w:r>
        <w:r w:rsidRPr="00CA2B8F">
          <w:rPr>
            <w:rStyle w:val="Hyperlink"/>
          </w:rPr>
          <w:t>Вноска на Република България в общия бюджет на ЕС</w:t>
        </w:r>
        <w:r>
          <w:rPr>
            <w:webHidden/>
          </w:rPr>
          <w:tab/>
        </w:r>
        <w:r>
          <w:rPr>
            <w:webHidden/>
          </w:rPr>
          <w:fldChar w:fldCharType="begin"/>
        </w:r>
        <w:r>
          <w:rPr>
            <w:webHidden/>
          </w:rPr>
          <w:instrText xml:space="preserve"> PAGEREF _Toc393728070 \h </w:instrText>
        </w:r>
        <w:r>
          <w:rPr>
            <w:webHidden/>
          </w:rPr>
        </w:r>
        <w:r>
          <w:rPr>
            <w:webHidden/>
          </w:rPr>
          <w:fldChar w:fldCharType="separate"/>
        </w:r>
        <w:r>
          <w:rPr>
            <w:webHidden/>
          </w:rPr>
          <w:t>69</w:t>
        </w:r>
        <w:r>
          <w:rPr>
            <w:webHidden/>
          </w:rPr>
          <w:fldChar w:fldCharType="end"/>
        </w:r>
      </w:hyperlink>
    </w:p>
    <w:p w:rsidR="000938C1" w:rsidRDefault="000938C1">
      <w:pPr>
        <w:pStyle w:val="TOC3"/>
        <w:rPr>
          <w:rFonts w:ascii="Calibri" w:hAnsi="Calibri"/>
          <w:color w:val="auto"/>
          <w:sz w:val="22"/>
          <w:szCs w:val="22"/>
        </w:rPr>
      </w:pPr>
      <w:hyperlink w:anchor="_Toc393728071" w:history="1">
        <w:r w:rsidRPr="00CA2B8F">
          <w:rPr>
            <w:rStyle w:val="Hyperlink"/>
          </w:rPr>
          <w:t>2.3.5</w:t>
        </w:r>
        <w:r>
          <w:rPr>
            <w:rFonts w:ascii="Calibri" w:hAnsi="Calibri"/>
            <w:color w:val="auto"/>
            <w:sz w:val="22"/>
            <w:szCs w:val="22"/>
          </w:rPr>
          <w:tab/>
        </w:r>
        <w:r w:rsidRPr="00CA2B8F">
          <w:rPr>
            <w:rStyle w:val="Hyperlink"/>
          </w:rPr>
          <w:t>Мерки за намаляване размера на задълженията на ПРБК</w:t>
        </w:r>
        <w:r>
          <w:rPr>
            <w:webHidden/>
          </w:rPr>
          <w:tab/>
        </w:r>
        <w:r>
          <w:rPr>
            <w:webHidden/>
          </w:rPr>
          <w:fldChar w:fldCharType="begin"/>
        </w:r>
        <w:r>
          <w:rPr>
            <w:webHidden/>
          </w:rPr>
          <w:instrText xml:space="preserve"> PAGEREF _Toc393728071 \h </w:instrText>
        </w:r>
        <w:r>
          <w:rPr>
            <w:webHidden/>
          </w:rPr>
        </w:r>
        <w:r>
          <w:rPr>
            <w:webHidden/>
          </w:rPr>
          <w:fldChar w:fldCharType="separate"/>
        </w:r>
        <w:r>
          <w:rPr>
            <w:webHidden/>
          </w:rPr>
          <w:t>69</w:t>
        </w:r>
        <w:r>
          <w:rPr>
            <w:webHidden/>
          </w:rPr>
          <w:fldChar w:fldCharType="end"/>
        </w:r>
      </w:hyperlink>
    </w:p>
    <w:p w:rsidR="000938C1" w:rsidRDefault="000938C1">
      <w:pPr>
        <w:pStyle w:val="TOC3"/>
        <w:rPr>
          <w:rFonts w:ascii="Calibri" w:hAnsi="Calibri"/>
          <w:color w:val="auto"/>
          <w:sz w:val="22"/>
          <w:szCs w:val="22"/>
        </w:rPr>
      </w:pPr>
      <w:hyperlink w:anchor="_Toc393728072" w:history="1">
        <w:r w:rsidRPr="00CA2B8F">
          <w:rPr>
            <w:rStyle w:val="Hyperlink"/>
          </w:rPr>
          <w:t>2.4</w:t>
        </w:r>
        <w:r>
          <w:rPr>
            <w:rFonts w:ascii="Calibri" w:hAnsi="Calibri"/>
            <w:color w:val="auto"/>
            <w:sz w:val="22"/>
            <w:szCs w:val="22"/>
          </w:rPr>
          <w:tab/>
        </w:r>
        <w:r w:rsidRPr="00CA2B8F">
          <w:rPr>
            <w:rStyle w:val="Hyperlink"/>
          </w:rPr>
          <w:t>Изпълнение на разходите по функции по консолидираната фискална програма за 201</w:t>
        </w:r>
        <w:r w:rsidRPr="00CA2B8F">
          <w:rPr>
            <w:rStyle w:val="Hyperlink"/>
            <w:lang w:val="en-US"/>
          </w:rPr>
          <w:t>3</w:t>
        </w:r>
        <w:r w:rsidRPr="00CA2B8F">
          <w:rPr>
            <w:rStyle w:val="Hyperlink"/>
          </w:rPr>
          <w:t xml:space="preserve"> г.</w:t>
        </w:r>
        <w:r>
          <w:rPr>
            <w:webHidden/>
          </w:rPr>
          <w:tab/>
        </w:r>
        <w:r>
          <w:rPr>
            <w:webHidden/>
          </w:rPr>
          <w:fldChar w:fldCharType="begin"/>
        </w:r>
        <w:r>
          <w:rPr>
            <w:webHidden/>
          </w:rPr>
          <w:instrText xml:space="preserve"> PAGEREF _Toc393728072 \h </w:instrText>
        </w:r>
        <w:r>
          <w:rPr>
            <w:webHidden/>
          </w:rPr>
        </w:r>
        <w:r>
          <w:rPr>
            <w:webHidden/>
          </w:rPr>
          <w:fldChar w:fldCharType="separate"/>
        </w:r>
        <w:r>
          <w:rPr>
            <w:webHidden/>
          </w:rPr>
          <w:t>71</w:t>
        </w:r>
        <w:r>
          <w:rPr>
            <w:webHidden/>
          </w:rPr>
          <w:fldChar w:fldCharType="end"/>
        </w:r>
      </w:hyperlink>
    </w:p>
    <w:p w:rsidR="000938C1" w:rsidRDefault="000938C1">
      <w:pPr>
        <w:pStyle w:val="TOC3"/>
        <w:rPr>
          <w:rFonts w:ascii="Calibri" w:hAnsi="Calibri"/>
          <w:color w:val="auto"/>
          <w:sz w:val="22"/>
          <w:szCs w:val="22"/>
        </w:rPr>
      </w:pPr>
      <w:hyperlink w:anchor="_Toc393728073" w:history="1">
        <w:r w:rsidRPr="00CA2B8F">
          <w:rPr>
            <w:rStyle w:val="Hyperlink"/>
          </w:rPr>
          <w:t>2.4.1</w:t>
        </w:r>
        <w:r>
          <w:rPr>
            <w:rFonts w:ascii="Calibri" w:hAnsi="Calibri"/>
            <w:color w:val="auto"/>
            <w:sz w:val="22"/>
            <w:szCs w:val="22"/>
          </w:rPr>
          <w:tab/>
        </w:r>
        <w:r w:rsidRPr="00CA2B8F">
          <w:rPr>
            <w:rStyle w:val="Hyperlink"/>
          </w:rPr>
          <w:t>Общи държавни служби</w:t>
        </w:r>
        <w:r>
          <w:rPr>
            <w:webHidden/>
          </w:rPr>
          <w:tab/>
        </w:r>
        <w:r>
          <w:rPr>
            <w:webHidden/>
          </w:rPr>
          <w:fldChar w:fldCharType="begin"/>
        </w:r>
        <w:r>
          <w:rPr>
            <w:webHidden/>
          </w:rPr>
          <w:instrText xml:space="preserve"> PAGEREF _Toc393728073 \h </w:instrText>
        </w:r>
        <w:r>
          <w:rPr>
            <w:webHidden/>
          </w:rPr>
        </w:r>
        <w:r>
          <w:rPr>
            <w:webHidden/>
          </w:rPr>
          <w:fldChar w:fldCharType="separate"/>
        </w:r>
        <w:r>
          <w:rPr>
            <w:webHidden/>
          </w:rPr>
          <w:t>72</w:t>
        </w:r>
        <w:r>
          <w:rPr>
            <w:webHidden/>
          </w:rPr>
          <w:fldChar w:fldCharType="end"/>
        </w:r>
      </w:hyperlink>
    </w:p>
    <w:p w:rsidR="000938C1" w:rsidRDefault="000938C1">
      <w:pPr>
        <w:pStyle w:val="TOC3"/>
        <w:rPr>
          <w:rFonts w:ascii="Calibri" w:hAnsi="Calibri"/>
          <w:color w:val="auto"/>
          <w:sz w:val="22"/>
          <w:szCs w:val="22"/>
        </w:rPr>
      </w:pPr>
      <w:hyperlink w:anchor="_Toc393728074" w:history="1">
        <w:r w:rsidRPr="00CA2B8F">
          <w:rPr>
            <w:rStyle w:val="Hyperlink"/>
            <w:lang w:val="en-US"/>
          </w:rPr>
          <w:t>2.4.2</w:t>
        </w:r>
        <w:r>
          <w:rPr>
            <w:rFonts w:ascii="Calibri" w:hAnsi="Calibri"/>
            <w:color w:val="auto"/>
            <w:sz w:val="22"/>
            <w:szCs w:val="22"/>
          </w:rPr>
          <w:tab/>
        </w:r>
        <w:r w:rsidRPr="00CA2B8F">
          <w:rPr>
            <w:rStyle w:val="Hyperlink"/>
          </w:rPr>
          <w:t>Отбрана и сигурност</w:t>
        </w:r>
        <w:r>
          <w:rPr>
            <w:webHidden/>
          </w:rPr>
          <w:tab/>
        </w:r>
        <w:r>
          <w:rPr>
            <w:webHidden/>
          </w:rPr>
          <w:fldChar w:fldCharType="begin"/>
        </w:r>
        <w:r>
          <w:rPr>
            <w:webHidden/>
          </w:rPr>
          <w:instrText xml:space="preserve"> PAGEREF _Toc393728074 \h </w:instrText>
        </w:r>
        <w:r>
          <w:rPr>
            <w:webHidden/>
          </w:rPr>
        </w:r>
        <w:r>
          <w:rPr>
            <w:webHidden/>
          </w:rPr>
          <w:fldChar w:fldCharType="separate"/>
        </w:r>
        <w:r>
          <w:rPr>
            <w:webHidden/>
          </w:rPr>
          <w:t>77</w:t>
        </w:r>
        <w:r>
          <w:rPr>
            <w:webHidden/>
          </w:rPr>
          <w:fldChar w:fldCharType="end"/>
        </w:r>
      </w:hyperlink>
    </w:p>
    <w:p w:rsidR="000938C1" w:rsidRDefault="000938C1">
      <w:pPr>
        <w:pStyle w:val="TOC3"/>
        <w:rPr>
          <w:rFonts w:ascii="Calibri" w:hAnsi="Calibri"/>
          <w:color w:val="auto"/>
          <w:sz w:val="22"/>
          <w:szCs w:val="22"/>
        </w:rPr>
      </w:pPr>
      <w:hyperlink w:anchor="_Toc393728075" w:history="1">
        <w:r w:rsidRPr="00CA2B8F">
          <w:rPr>
            <w:rStyle w:val="Hyperlink"/>
          </w:rPr>
          <w:t>2.4.3</w:t>
        </w:r>
        <w:r>
          <w:rPr>
            <w:rFonts w:ascii="Calibri" w:hAnsi="Calibri"/>
            <w:color w:val="auto"/>
            <w:sz w:val="22"/>
            <w:szCs w:val="22"/>
          </w:rPr>
          <w:tab/>
        </w:r>
        <w:r w:rsidRPr="00CA2B8F">
          <w:rPr>
            <w:rStyle w:val="Hyperlink"/>
          </w:rPr>
          <w:t>Образование</w:t>
        </w:r>
        <w:r>
          <w:rPr>
            <w:webHidden/>
          </w:rPr>
          <w:tab/>
        </w:r>
        <w:r>
          <w:rPr>
            <w:webHidden/>
          </w:rPr>
          <w:fldChar w:fldCharType="begin"/>
        </w:r>
        <w:r>
          <w:rPr>
            <w:webHidden/>
          </w:rPr>
          <w:instrText xml:space="preserve"> PAGEREF _Toc393728075 \h </w:instrText>
        </w:r>
        <w:r>
          <w:rPr>
            <w:webHidden/>
          </w:rPr>
        </w:r>
        <w:r>
          <w:rPr>
            <w:webHidden/>
          </w:rPr>
          <w:fldChar w:fldCharType="separate"/>
        </w:r>
        <w:r>
          <w:rPr>
            <w:webHidden/>
          </w:rPr>
          <w:t>83</w:t>
        </w:r>
        <w:r>
          <w:rPr>
            <w:webHidden/>
          </w:rPr>
          <w:fldChar w:fldCharType="end"/>
        </w:r>
      </w:hyperlink>
    </w:p>
    <w:p w:rsidR="000938C1" w:rsidRDefault="000938C1">
      <w:pPr>
        <w:pStyle w:val="TOC3"/>
        <w:rPr>
          <w:rFonts w:ascii="Calibri" w:hAnsi="Calibri"/>
          <w:color w:val="auto"/>
          <w:sz w:val="22"/>
          <w:szCs w:val="22"/>
        </w:rPr>
      </w:pPr>
      <w:hyperlink w:anchor="_Toc393728076" w:history="1">
        <w:r w:rsidRPr="00CA2B8F">
          <w:rPr>
            <w:rStyle w:val="Hyperlink"/>
          </w:rPr>
          <w:t>2.4.4</w:t>
        </w:r>
        <w:r>
          <w:rPr>
            <w:rFonts w:ascii="Calibri" w:hAnsi="Calibri"/>
            <w:color w:val="auto"/>
            <w:sz w:val="22"/>
            <w:szCs w:val="22"/>
          </w:rPr>
          <w:tab/>
        </w:r>
        <w:r w:rsidRPr="00CA2B8F">
          <w:rPr>
            <w:rStyle w:val="Hyperlink"/>
          </w:rPr>
          <w:t>Здравеопазване</w:t>
        </w:r>
        <w:r>
          <w:rPr>
            <w:webHidden/>
          </w:rPr>
          <w:tab/>
        </w:r>
        <w:r>
          <w:rPr>
            <w:webHidden/>
          </w:rPr>
          <w:fldChar w:fldCharType="begin"/>
        </w:r>
        <w:r>
          <w:rPr>
            <w:webHidden/>
          </w:rPr>
          <w:instrText xml:space="preserve"> PAGEREF _Toc393728076 \h </w:instrText>
        </w:r>
        <w:r>
          <w:rPr>
            <w:webHidden/>
          </w:rPr>
        </w:r>
        <w:r>
          <w:rPr>
            <w:webHidden/>
          </w:rPr>
          <w:fldChar w:fldCharType="separate"/>
        </w:r>
        <w:r>
          <w:rPr>
            <w:webHidden/>
          </w:rPr>
          <w:t>85</w:t>
        </w:r>
        <w:r>
          <w:rPr>
            <w:webHidden/>
          </w:rPr>
          <w:fldChar w:fldCharType="end"/>
        </w:r>
      </w:hyperlink>
    </w:p>
    <w:p w:rsidR="000938C1" w:rsidRDefault="000938C1">
      <w:pPr>
        <w:pStyle w:val="TOC3"/>
        <w:rPr>
          <w:rFonts w:ascii="Calibri" w:hAnsi="Calibri"/>
          <w:color w:val="auto"/>
          <w:sz w:val="22"/>
          <w:szCs w:val="22"/>
        </w:rPr>
      </w:pPr>
      <w:hyperlink w:anchor="_Toc393728077" w:history="1">
        <w:r w:rsidRPr="00CA2B8F">
          <w:rPr>
            <w:rStyle w:val="Hyperlink"/>
            <w:lang w:val="en-US"/>
          </w:rPr>
          <w:t>2.4.5</w:t>
        </w:r>
        <w:r>
          <w:rPr>
            <w:rFonts w:ascii="Calibri" w:hAnsi="Calibri"/>
            <w:color w:val="auto"/>
            <w:sz w:val="22"/>
            <w:szCs w:val="22"/>
          </w:rPr>
          <w:tab/>
        </w:r>
        <w:r w:rsidRPr="00CA2B8F">
          <w:rPr>
            <w:rStyle w:val="Hyperlink"/>
          </w:rPr>
          <w:t>Социално осигуряване, подпомагане и грижи</w:t>
        </w:r>
        <w:r>
          <w:rPr>
            <w:webHidden/>
          </w:rPr>
          <w:tab/>
        </w:r>
        <w:r>
          <w:rPr>
            <w:webHidden/>
          </w:rPr>
          <w:fldChar w:fldCharType="begin"/>
        </w:r>
        <w:r>
          <w:rPr>
            <w:webHidden/>
          </w:rPr>
          <w:instrText xml:space="preserve"> PAGEREF _Toc393728077 \h </w:instrText>
        </w:r>
        <w:r>
          <w:rPr>
            <w:webHidden/>
          </w:rPr>
        </w:r>
        <w:r>
          <w:rPr>
            <w:webHidden/>
          </w:rPr>
          <w:fldChar w:fldCharType="separate"/>
        </w:r>
        <w:r>
          <w:rPr>
            <w:webHidden/>
          </w:rPr>
          <w:t>87</w:t>
        </w:r>
        <w:r>
          <w:rPr>
            <w:webHidden/>
          </w:rPr>
          <w:fldChar w:fldCharType="end"/>
        </w:r>
      </w:hyperlink>
    </w:p>
    <w:p w:rsidR="000938C1" w:rsidRDefault="000938C1">
      <w:pPr>
        <w:pStyle w:val="TOC3"/>
        <w:rPr>
          <w:rFonts w:ascii="Calibri" w:hAnsi="Calibri"/>
          <w:color w:val="auto"/>
          <w:sz w:val="22"/>
          <w:szCs w:val="22"/>
        </w:rPr>
      </w:pPr>
      <w:hyperlink w:anchor="_Toc393728078" w:history="1">
        <w:r w:rsidRPr="00CA2B8F">
          <w:rPr>
            <w:rStyle w:val="Hyperlink"/>
          </w:rPr>
          <w:t>2.4.6</w:t>
        </w:r>
        <w:r>
          <w:rPr>
            <w:rFonts w:ascii="Calibri" w:hAnsi="Calibri"/>
            <w:color w:val="auto"/>
            <w:sz w:val="22"/>
            <w:szCs w:val="22"/>
          </w:rPr>
          <w:tab/>
        </w:r>
        <w:r w:rsidRPr="00CA2B8F">
          <w:rPr>
            <w:rStyle w:val="Hyperlink"/>
          </w:rPr>
          <w:t>Жилищно строителство, благоустройство, комунално стопанство и опазване на околната среда</w:t>
        </w:r>
        <w:r>
          <w:rPr>
            <w:rStyle w:val="Hyperlink"/>
          </w:rPr>
          <w:tab/>
        </w:r>
        <w:r>
          <w:rPr>
            <w:webHidden/>
          </w:rPr>
          <w:tab/>
        </w:r>
        <w:r>
          <w:rPr>
            <w:webHidden/>
          </w:rPr>
          <w:fldChar w:fldCharType="begin"/>
        </w:r>
        <w:r>
          <w:rPr>
            <w:webHidden/>
          </w:rPr>
          <w:instrText xml:space="preserve"> PAGEREF _Toc393728078 \h </w:instrText>
        </w:r>
        <w:r>
          <w:rPr>
            <w:webHidden/>
          </w:rPr>
        </w:r>
        <w:r>
          <w:rPr>
            <w:webHidden/>
          </w:rPr>
          <w:fldChar w:fldCharType="separate"/>
        </w:r>
        <w:r>
          <w:rPr>
            <w:webHidden/>
          </w:rPr>
          <w:t>92</w:t>
        </w:r>
        <w:r>
          <w:rPr>
            <w:webHidden/>
          </w:rPr>
          <w:fldChar w:fldCharType="end"/>
        </w:r>
      </w:hyperlink>
    </w:p>
    <w:p w:rsidR="000938C1" w:rsidRDefault="000938C1">
      <w:pPr>
        <w:pStyle w:val="TOC3"/>
        <w:rPr>
          <w:rFonts w:ascii="Calibri" w:hAnsi="Calibri"/>
          <w:color w:val="auto"/>
          <w:sz w:val="22"/>
          <w:szCs w:val="22"/>
        </w:rPr>
      </w:pPr>
      <w:hyperlink w:anchor="_Toc393728079" w:history="1">
        <w:r w:rsidRPr="00CA2B8F">
          <w:rPr>
            <w:rStyle w:val="Hyperlink"/>
            <w:lang w:val="en-US"/>
          </w:rPr>
          <w:t>2.4.7</w:t>
        </w:r>
        <w:r>
          <w:rPr>
            <w:rFonts w:ascii="Calibri" w:hAnsi="Calibri"/>
            <w:color w:val="auto"/>
            <w:sz w:val="22"/>
            <w:szCs w:val="22"/>
          </w:rPr>
          <w:tab/>
        </w:r>
        <w:r w:rsidRPr="00CA2B8F">
          <w:rPr>
            <w:rStyle w:val="Hyperlink"/>
          </w:rPr>
          <w:t>Почивно дело, култура, религиозни дейности</w:t>
        </w:r>
        <w:r>
          <w:rPr>
            <w:webHidden/>
          </w:rPr>
          <w:tab/>
        </w:r>
        <w:r>
          <w:rPr>
            <w:webHidden/>
          </w:rPr>
          <w:fldChar w:fldCharType="begin"/>
        </w:r>
        <w:r>
          <w:rPr>
            <w:webHidden/>
          </w:rPr>
          <w:instrText xml:space="preserve"> PAGEREF _Toc393728079 \h </w:instrText>
        </w:r>
        <w:r>
          <w:rPr>
            <w:webHidden/>
          </w:rPr>
        </w:r>
        <w:r>
          <w:rPr>
            <w:webHidden/>
          </w:rPr>
          <w:fldChar w:fldCharType="separate"/>
        </w:r>
        <w:r>
          <w:rPr>
            <w:webHidden/>
          </w:rPr>
          <w:t>96</w:t>
        </w:r>
        <w:r>
          <w:rPr>
            <w:webHidden/>
          </w:rPr>
          <w:fldChar w:fldCharType="end"/>
        </w:r>
      </w:hyperlink>
    </w:p>
    <w:p w:rsidR="000938C1" w:rsidRDefault="000938C1">
      <w:pPr>
        <w:pStyle w:val="TOC3"/>
        <w:rPr>
          <w:rFonts w:ascii="Calibri" w:hAnsi="Calibri"/>
          <w:color w:val="auto"/>
          <w:sz w:val="22"/>
          <w:szCs w:val="22"/>
        </w:rPr>
      </w:pPr>
      <w:hyperlink w:anchor="_Toc393728080" w:history="1">
        <w:r w:rsidRPr="00CA2B8F">
          <w:rPr>
            <w:rStyle w:val="Hyperlink"/>
          </w:rPr>
          <w:t>2.4.8</w:t>
        </w:r>
        <w:r>
          <w:rPr>
            <w:rFonts w:ascii="Calibri" w:hAnsi="Calibri"/>
            <w:color w:val="auto"/>
            <w:sz w:val="22"/>
            <w:szCs w:val="22"/>
          </w:rPr>
          <w:tab/>
        </w:r>
        <w:r w:rsidRPr="00CA2B8F">
          <w:rPr>
            <w:rStyle w:val="Hyperlink"/>
          </w:rPr>
          <w:t>Икономически дейности и услуги</w:t>
        </w:r>
        <w:r>
          <w:rPr>
            <w:webHidden/>
          </w:rPr>
          <w:tab/>
        </w:r>
        <w:r>
          <w:rPr>
            <w:webHidden/>
          </w:rPr>
          <w:fldChar w:fldCharType="begin"/>
        </w:r>
        <w:r>
          <w:rPr>
            <w:webHidden/>
          </w:rPr>
          <w:instrText xml:space="preserve"> PAGEREF _Toc393728080 \h </w:instrText>
        </w:r>
        <w:r>
          <w:rPr>
            <w:webHidden/>
          </w:rPr>
        </w:r>
        <w:r>
          <w:rPr>
            <w:webHidden/>
          </w:rPr>
          <w:fldChar w:fldCharType="separate"/>
        </w:r>
        <w:r>
          <w:rPr>
            <w:webHidden/>
          </w:rPr>
          <w:t>101</w:t>
        </w:r>
        <w:r>
          <w:rPr>
            <w:webHidden/>
          </w:rPr>
          <w:fldChar w:fldCharType="end"/>
        </w:r>
      </w:hyperlink>
    </w:p>
    <w:p w:rsidR="000938C1" w:rsidRDefault="000938C1">
      <w:pPr>
        <w:pStyle w:val="TOC3"/>
        <w:rPr>
          <w:rFonts w:ascii="Calibri" w:hAnsi="Calibri"/>
          <w:color w:val="auto"/>
          <w:sz w:val="22"/>
          <w:szCs w:val="22"/>
        </w:rPr>
      </w:pPr>
      <w:hyperlink w:anchor="_Toc393728081" w:history="1">
        <w:r w:rsidRPr="00CA2B8F">
          <w:rPr>
            <w:rStyle w:val="Hyperlink"/>
          </w:rPr>
          <w:t>2.4.9</w:t>
        </w:r>
        <w:r>
          <w:rPr>
            <w:rFonts w:ascii="Calibri" w:hAnsi="Calibri"/>
            <w:color w:val="auto"/>
            <w:sz w:val="22"/>
            <w:szCs w:val="22"/>
          </w:rPr>
          <w:tab/>
        </w:r>
        <w:r w:rsidRPr="00CA2B8F">
          <w:rPr>
            <w:rStyle w:val="Hyperlink"/>
          </w:rPr>
          <w:t>Разходи некласифицирани в другите функции</w:t>
        </w:r>
        <w:r>
          <w:rPr>
            <w:webHidden/>
          </w:rPr>
          <w:tab/>
        </w:r>
        <w:r>
          <w:rPr>
            <w:webHidden/>
          </w:rPr>
          <w:fldChar w:fldCharType="begin"/>
        </w:r>
        <w:r>
          <w:rPr>
            <w:webHidden/>
          </w:rPr>
          <w:instrText xml:space="preserve"> PAGEREF _Toc393728081 \h </w:instrText>
        </w:r>
        <w:r>
          <w:rPr>
            <w:webHidden/>
          </w:rPr>
        </w:r>
        <w:r>
          <w:rPr>
            <w:webHidden/>
          </w:rPr>
          <w:fldChar w:fldCharType="separate"/>
        </w:r>
        <w:r>
          <w:rPr>
            <w:webHidden/>
          </w:rPr>
          <w:t>110</w:t>
        </w:r>
        <w:r>
          <w:rPr>
            <w:webHidden/>
          </w:rPr>
          <w:fldChar w:fldCharType="end"/>
        </w:r>
      </w:hyperlink>
    </w:p>
    <w:p w:rsidR="000938C1" w:rsidRDefault="000938C1">
      <w:pPr>
        <w:pStyle w:val="TOC3"/>
        <w:rPr>
          <w:rFonts w:ascii="Calibri" w:hAnsi="Calibri"/>
          <w:color w:val="auto"/>
          <w:sz w:val="22"/>
          <w:szCs w:val="22"/>
        </w:rPr>
      </w:pPr>
      <w:hyperlink w:anchor="_Toc393728082" w:history="1">
        <w:r w:rsidRPr="00CA2B8F">
          <w:rPr>
            <w:rStyle w:val="Hyperlink"/>
          </w:rPr>
          <w:t>2.5</w:t>
        </w:r>
        <w:r>
          <w:rPr>
            <w:rFonts w:ascii="Calibri" w:hAnsi="Calibri"/>
            <w:color w:val="auto"/>
            <w:sz w:val="22"/>
            <w:szCs w:val="22"/>
          </w:rPr>
          <w:tab/>
        </w:r>
        <w:r w:rsidRPr="00CA2B8F">
          <w:rPr>
            <w:rStyle w:val="Hyperlink"/>
          </w:rPr>
          <w:t>Изпълнение на показателите в частта на финансирането по консолидираната фискална програма за 2013 г.</w:t>
        </w:r>
        <w:r>
          <w:rPr>
            <w:webHidden/>
          </w:rPr>
          <w:tab/>
        </w:r>
        <w:r>
          <w:rPr>
            <w:webHidden/>
          </w:rPr>
          <w:fldChar w:fldCharType="begin"/>
        </w:r>
        <w:r>
          <w:rPr>
            <w:webHidden/>
          </w:rPr>
          <w:instrText xml:space="preserve"> PAGEREF _Toc393728082 \h </w:instrText>
        </w:r>
        <w:r>
          <w:rPr>
            <w:webHidden/>
          </w:rPr>
        </w:r>
        <w:r>
          <w:rPr>
            <w:webHidden/>
          </w:rPr>
          <w:fldChar w:fldCharType="separate"/>
        </w:r>
        <w:r>
          <w:rPr>
            <w:webHidden/>
          </w:rPr>
          <w:t>111</w:t>
        </w:r>
        <w:r>
          <w:rPr>
            <w:webHidden/>
          </w:rPr>
          <w:fldChar w:fldCharType="end"/>
        </w:r>
      </w:hyperlink>
    </w:p>
    <w:p w:rsidR="000938C1" w:rsidRDefault="000938C1">
      <w:pPr>
        <w:pStyle w:val="TOC3"/>
        <w:rPr>
          <w:rFonts w:ascii="Calibri" w:hAnsi="Calibri"/>
          <w:color w:val="auto"/>
          <w:sz w:val="22"/>
          <w:szCs w:val="22"/>
        </w:rPr>
      </w:pPr>
      <w:hyperlink w:anchor="_Toc393728083" w:history="1">
        <w:r w:rsidRPr="00CA2B8F">
          <w:rPr>
            <w:rStyle w:val="Hyperlink"/>
          </w:rPr>
          <w:t>2.5.1</w:t>
        </w:r>
        <w:r>
          <w:rPr>
            <w:rFonts w:ascii="Calibri" w:hAnsi="Calibri"/>
            <w:color w:val="auto"/>
            <w:sz w:val="22"/>
            <w:szCs w:val="22"/>
          </w:rPr>
          <w:tab/>
        </w:r>
        <w:r w:rsidRPr="00CA2B8F">
          <w:rPr>
            <w:rStyle w:val="Hyperlink"/>
          </w:rPr>
          <w:t>Външно финансиране</w:t>
        </w:r>
        <w:r>
          <w:rPr>
            <w:webHidden/>
          </w:rPr>
          <w:tab/>
        </w:r>
        <w:r>
          <w:rPr>
            <w:webHidden/>
          </w:rPr>
          <w:fldChar w:fldCharType="begin"/>
        </w:r>
        <w:r>
          <w:rPr>
            <w:webHidden/>
          </w:rPr>
          <w:instrText xml:space="preserve"> PAGEREF _Toc393728083 \h </w:instrText>
        </w:r>
        <w:r>
          <w:rPr>
            <w:webHidden/>
          </w:rPr>
        </w:r>
        <w:r>
          <w:rPr>
            <w:webHidden/>
          </w:rPr>
          <w:fldChar w:fldCharType="separate"/>
        </w:r>
        <w:r>
          <w:rPr>
            <w:webHidden/>
          </w:rPr>
          <w:t>111</w:t>
        </w:r>
        <w:r>
          <w:rPr>
            <w:webHidden/>
          </w:rPr>
          <w:fldChar w:fldCharType="end"/>
        </w:r>
      </w:hyperlink>
    </w:p>
    <w:p w:rsidR="000938C1" w:rsidRDefault="000938C1">
      <w:pPr>
        <w:pStyle w:val="TOC3"/>
        <w:rPr>
          <w:rFonts w:ascii="Calibri" w:hAnsi="Calibri"/>
          <w:color w:val="auto"/>
          <w:sz w:val="22"/>
          <w:szCs w:val="22"/>
        </w:rPr>
      </w:pPr>
      <w:hyperlink w:anchor="_Toc393728084" w:history="1">
        <w:r w:rsidRPr="00CA2B8F">
          <w:rPr>
            <w:rStyle w:val="Hyperlink"/>
          </w:rPr>
          <w:t>2.5.2</w:t>
        </w:r>
        <w:r>
          <w:rPr>
            <w:rFonts w:ascii="Calibri" w:hAnsi="Calibri"/>
            <w:color w:val="auto"/>
            <w:sz w:val="22"/>
            <w:szCs w:val="22"/>
          </w:rPr>
          <w:tab/>
        </w:r>
        <w:r w:rsidRPr="00CA2B8F">
          <w:rPr>
            <w:rStyle w:val="Hyperlink"/>
          </w:rPr>
          <w:t>Вътрешно финансиране</w:t>
        </w:r>
        <w:r>
          <w:rPr>
            <w:webHidden/>
          </w:rPr>
          <w:tab/>
        </w:r>
        <w:r>
          <w:rPr>
            <w:webHidden/>
          </w:rPr>
          <w:fldChar w:fldCharType="begin"/>
        </w:r>
        <w:r>
          <w:rPr>
            <w:webHidden/>
          </w:rPr>
          <w:instrText xml:space="preserve"> PAGEREF _Toc393728084 \h </w:instrText>
        </w:r>
        <w:r>
          <w:rPr>
            <w:webHidden/>
          </w:rPr>
        </w:r>
        <w:r>
          <w:rPr>
            <w:webHidden/>
          </w:rPr>
          <w:fldChar w:fldCharType="separate"/>
        </w:r>
        <w:r>
          <w:rPr>
            <w:webHidden/>
          </w:rPr>
          <w:t>113</w:t>
        </w:r>
        <w:r>
          <w:rPr>
            <w:webHidden/>
          </w:rPr>
          <w:fldChar w:fldCharType="end"/>
        </w:r>
      </w:hyperlink>
    </w:p>
    <w:p w:rsidR="000938C1" w:rsidRDefault="000938C1">
      <w:pPr>
        <w:pStyle w:val="TOC3"/>
        <w:rPr>
          <w:rFonts w:ascii="Calibri" w:hAnsi="Calibri"/>
          <w:color w:val="auto"/>
          <w:sz w:val="22"/>
          <w:szCs w:val="22"/>
        </w:rPr>
      </w:pPr>
      <w:hyperlink w:anchor="_Toc393728085" w:history="1">
        <w:r w:rsidRPr="00CA2B8F">
          <w:rPr>
            <w:rStyle w:val="Hyperlink"/>
          </w:rPr>
          <w:t>2.5.3</w:t>
        </w:r>
        <w:r>
          <w:rPr>
            <w:rFonts w:ascii="Calibri" w:hAnsi="Calibri"/>
            <w:color w:val="auto"/>
            <w:sz w:val="22"/>
            <w:szCs w:val="22"/>
          </w:rPr>
          <w:tab/>
        </w:r>
        <w:r w:rsidRPr="00CA2B8F">
          <w:rPr>
            <w:rStyle w:val="Hyperlink"/>
          </w:rPr>
          <w:t>Финансови операции по прилагане на стълб I от Общата селскостопанска политика</w:t>
        </w:r>
        <w:r>
          <w:rPr>
            <w:webHidden/>
          </w:rPr>
          <w:tab/>
        </w:r>
        <w:r>
          <w:rPr>
            <w:webHidden/>
          </w:rPr>
          <w:fldChar w:fldCharType="begin"/>
        </w:r>
        <w:r>
          <w:rPr>
            <w:webHidden/>
          </w:rPr>
          <w:instrText xml:space="preserve"> PAGEREF _Toc393728085 \h </w:instrText>
        </w:r>
        <w:r>
          <w:rPr>
            <w:webHidden/>
          </w:rPr>
        </w:r>
        <w:r>
          <w:rPr>
            <w:webHidden/>
          </w:rPr>
          <w:fldChar w:fldCharType="separate"/>
        </w:r>
        <w:r>
          <w:rPr>
            <w:webHidden/>
          </w:rPr>
          <w:t>116</w:t>
        </w:r>
        <w:r>
          <w:rPr>
            <w:webHidden/>
          </w:rPr>
          <w:fldChar w:fldCharType="end"/>
        </w:r>
      </w:hyperlink>
    </w:p>
    <w:p w:rsidR="000938C1" w:rsidRDefault="000938C1">
      <w:pPr>
        <w:pStyle w:val="TOC3"/>
        <w:rPr>
          <w:rFonts w:ascii="Calibri" w:hAnsi="Calibri"/>
          <w:color w:val="auto"/>
          <w:sz w:val="22"/>
          <w:szCs w:val="22"/>
        </w:rPr>
      </w:pPr>
      <w:hyperlink w:anchor="_Toc393728086" w:history="1">
        <w:r w:rsidRPr="00CA2B8F">
          <w:rPr>
            <w:rStyle w:val="Hyperlink"/>
          </w:rPr>
          <w:t>2.5.4</w:t>
        </w:r>
        <w:r>
          <w:rPr>
            <w:rFonts w:ascii="Calibri" w:hAnsi="Calibri"/>
            <w:color w:val="auto"/>
            <w:sz w:val="22"/>
            <w:szCs w:val="22"/>
          </w:rPr>
          <w:tab/>
        </w:r>
        <w:r w:rsidRPr="00CA2B8F">
          <w:rPr>
            <w:rStyle w:val="Hyperlink"/>
          </w:rPr>
          <w:t>Приватизация</w:t>
        </w:r>
        <w:r>
          <w:rPr>
            <w:webHidden/>
          </w:rPr>
          <w:tab/>
        </w:r>
        <w:r>
          <w:rPr>
            <w:webHidden/>
          </w:rPr>
          <w:fldChar w:fldCharType="begin"/>
        </w:r>
        <w:r>
          <w:rPr>
            <w:webHidden/>
          </w:rPr>
          <w:instrText xml:space="preserve"> PAGEREF _Toc393728086 \h </w:instrText>
        </w:r>
        <w:r>
          <w:rPr>
            <w:webHidden/>
          </w:rPr>
        </w:r>
        <w:r>
          <w:rPr>
            <w:webHidden/>
          </w:rPr>
          <w:fldChar w:fldCharType="separate"/>
        </w:r>
        <w:r>
          <w:rPr>
            <w:webHidden/>
          </w:rPr>
          <w:t>116</w:t>
        </w:r>
        <w:r>
          <w:rPr>
            <w:webHidden/>
          </w:rPr>
          <w:fldChar w:fldCharType="end"/>
        </w:r>
      </w:hyperlink>
    </w:p>
    <w:p w:rsidR="000938C1" w:rsidRDefault="000938C1">
      <w:pPr>
        <w:pStyle w:val="TOC3"/>
        <w:rPr>
          <w:rFonts w:ascii="Calibri" w:hAnsi="Calibri"/>
          <w:color w:val="auto"/>
          <w:sz w:val="22"/>
          <w:szCs w:val="22"/>
        </w:rPr>
      </w:pPr>
      <w:hyperlink w:anchor="_Toc393728087" w:history="1">
        <w:r w:rsidRPr="00CA2B8F">
          <w:rPr>
            <w:rStyle w:val="Hyperlink"/>
          </w:rPr>
          <w:t>2.5.5</w:t>
        </w:r>
        <w:r>
          <w:rPr>
            <w:rFonts w:ascii="Calibri" w:hAnsi="Calibri"/>
            <w:color w:val="auto"/>
            <w:sz w:val="22"/>
            <w:szCs w:val="22"/>
          </w:rPr>
          <w:tab/>
        </w:r>
        <w:r w:rsidRPr="00CA2B8F">
          <w:rPr>
            <w:rStyle w:val="Hyperlink"/>
          </w:rPr>
          <w:t>Средства, акумулирани по сметка на Държавния фонд за гарантиране  устойчивост на държавната пенсионна система</w:t>
        </w:r>
        <w:r>
          <w:rPr>
            <w:webHidden/>
          </w:rPr>
          <w:tab/>
        </w:r>
        <w:r>
          <w:rPr>
            <w:webHidden/>
          </w:rPr>
          <w:fldChar w:fldCharType="begin"/>
        </w:r>
        <w:r>
          <w:rPr>
            <w:webHidden/>
          </w:rPr>
          <w:instrText xml:space="preserve"> PAGEREF _Toc393728087 \h </w:instrText>
        </w:r>
        <w:r>
          <w:rPr>
            <w:webHidden/>
          </w:rPr>
        </w:r>
        <w:r>
          <w:rPr>
            <w:webHidden/>
          </w:rPr>
          <w:fldChar w:fldCharType="separate"/>
        </w:r>
        <w:r>
          <w:rPr>
            <w:webHidden/>
          </w:rPr>
          <w:t>117</w:t>
        </w:r>
        <w:r>
          <w:rPr>
            <w:webHidden/>
          </w:rPr>
          <w:fldChar w:fldCharType="end"/>
        </w:r>
      </w:hyperlink>
    </w:p>
    <w:p w:rsidR="000938C1" w:rsidRDefault="000938C1">
      <w:pPr>
        <w:pStyle w:val="TOC1"/>
        <w:rPr>
          <w:rFonts w:ascii="Calibri" w:hAnsi="Calibri"/>
          <w:b w:val="0"/>
          <w:color w:val="auto"/>
          <w:sz w:val="22"/>
        </w:rPr>
      </w:pPr>
      <w:hyperlink w:anchor="_Toc393728088" w:history="1">
        <w:r w:rsidRPr="00CA2B8F">
          <w:rPr>
            <w:rStyle w:val="Hyperlink"/>
          </w:rPr>
          <w:t>III. ИЗПЪЛНЕНИЕ НА КОНСОЛИДИРАНАТА ФИСКАЛНА ПРОГРАМА ПО СЪСТАВНИ БЮДЖЕТИ</w:t>
        </w:r>
        <w:r>
          <w:rPr>
            <w:webHidden/>
          </w:rPr>
          <w:tab/>
        </w:r>
        <w:r>
          <w:rPr>
            <w:webHidden/>
          </w:rPr>
          <w:fldChar w:fldCharType="begin"/>
        </w:r>
        <w:r>
          <w:rPr>
            <w:webHidden/>
          </w:rPr>
          <w:instrText xml:space="preserve"> PAGEREF _Toc393728088 \h </w:instrText>
        </w:r>
        <w:r>
          <w:rPr>
            <w:webHidden/>
          </w:rPr>
        </w:r>
        <w:r>
          <w:rPr>
            <w:webHidden/>
          </w:rPr>
          <w:fldChar w:fldCharType="separate"/>
        </w:r>
        <w:r>
          <w:rPr>
            <w:webHidden/>
          </w:rPr>
          <w:t>119</w:t>
        </w:r>
        <w:r>
          <w:rPr>
            <w:webHidden/>
          </w:rPr>
          <w:fldChar w:fldCharType="end"/>
        </w:r>
      </w:hyperlink>
    </w:p>
    <w:p w:rsidR="000938C1" w:rsidRDefault="000938C1">
      <w:pPr>
        <w:pStyle w:val="TOC2"/>
        <w:rPr>
          <w:rFonts w:ascii="Calibri" w:hAnsi="Calibri"/>
          <w:b w:val="0"/>
          <w:color w:val="auto"/>
        </w:rPr>
      </w:pPr>
      <w:hyperlink w:anchor="_Toc393728089" w:history="1">
        <w:r w:rsidRPr="00CA2B8F">
          <w:rPr>
            <w:rStyle w:val="Hyperlink"/>
          </w:rPr>
          <w:t>1.</w:t>
        </w:r>
        <w:r>
          <w:rPr>
            <w:rFonts w:ascii="Calibri" w:hAnsi="Calibri"/>
            <w:b w:val="0"/>
            <w:color w:val="auto"/>
          </w:rPr>
          <w:tab/>
        </w:r>
        <w:r w:rsidRPr="00CA2B8F">
          <w:rPr>
            <w:rStyle w:val="Hyperlink"/>
          </w:rPr>
          <w:t>Републикански бюджет</w:t>
        </w:r>
        <w:r>
          <w:rPr>
            <w:webHidden/>
          </w:rPr>
          <w:tab/>
        </w:r>
        <w:r>
          <w:rPr>
            <w:webHidden/>
          </w:rPr>
          <w:fldChar w:fldCharType="begin"/>
        </w:r>
        <w:r>
          <w:rPr>
            <w:webHidden/>
          </w:rPr>
          <w:instrText xml:space="preserve"> PAGEREF _Toc393728089 \h </w:instrText>
        </w:r>
        <w:r>
          <w:rPr>
            <w:webHidden/>
          </w:rPr>
        </w:r>
        <w:r>
          <w:rPr>
            <w:webHidden/>
          </w:rPr>
          <w:fldChar w:fldCharType="separate"/>
        </w:r>
        <w:r>
          <w:rPr>
            <w:webHidden/>
          </w:rPr>
          <w:t>119</w:t>
        </w:r>
        <w:r>
          <w:rPr>
            <w:webHidden/>
          </w:rPr>
          <w:fldChar w:fldCharType="end"/>
        </w:r>
      </w:hyperlink>
    </w:p>
    <w:p w:rsidR="000938C1" w:rsidRDefault="000938C1">
      <w:pPr>
        <w:pStyle w:val="TOC2"/>
        <w:rPr>
          <w:rFonts w:ascii="Calibri" w:hAnsi="Calibri"/>
          <w:b w:val="0"/>
          <w:color w:val="auto"/>
        </w:rPr>
      </w:pPr>
      <w:hyperlink w:anchor="_Toc393728090" w:history="1">
        <w:r w:rsidRPr="00CA2B8F">
          <w:rPr>
            <w:rStyle w:val="Hyperlink"/>
          </w:rPr>
          <w:t>2.</w:t>
        </w:r>
        <w:r>
          <w:rPr>
            <w:rFonts w:ascii="Calibri" w:hAnsi="Calibri"/>
            <w:b w:val="0"/>
            <w:color w:val="auto"/>
          </w:rPr>
          <w:tab/>
        </w:r>
        <w:r w:rsidRPr="00CA2B8F">
          <w:rPr>
            <w:rStyle w:val="Hyperlink"/>
          </w:rPr>
          <w:t>Съдебна власт</w:t>
        </w:r>
        <w:r>
          <w:rPr>
            <w:webHidden/>
          </w:rPr>
          <w:tab/>
        </w:r>
        <w:r>
          <w:rPr>
            <w:webHidden/>
          </w:rPr>
          <w:fldChar w:fldCharType="begin"/>
        </w:r>
        <w:r>
          <w:rPr>
            <w:webHidden/>
          </w:rPr>
          <w:instrText xml:space="preserve"> PAGEREF _Toc393728090 \h </w:instrText>
        </w:r>
        <w:r>
          <w:rPr>
            <w:webHidden/>
          </w:rPr>
        </w:r>
        <w:r>
          <w:rPr>
            <w:webHidden/>
          </w:rPr>
          <w:fldChar w:fldCharType="separate"/>
        </w:r>
        <w:r>
          <w:rPr>
            <w:webHidden/>
          </w:rPr>
          <w:t>121</w:t>
        </w:r>
        <w:r>
          <w:rPr>
            <w:webHidden/>
          </w:rPr>
          <w:fldChar w:fldCharType="end"/>
        </w:r>
      </w:hyperlink>
    </w:p>
    <w:p w:rsidR="000938C1" w:rsidRDefault="000938C1">
      <w:pPr>
        <w:pStyle w:val="TOC2"/>
        <w:rPr>
          <w:rFonts w:ascii="Calibri" w:hAnsi="Calibri"/>
          <w:b w:val="0"/>
          <w:color w:val="auto"/>
        </w:rPr>
      </w:pPr>
      <w:hyperlink w:anchor="_Toc393728091" w:history="1">
        <w:r w:rsidRPr="00CA2B8F">
          <w:rPr>
            <w:rStyle w:val="Hyperlink"/>
          </w:rPr>
          <w:t>3.</w:t>
        </w:r>
        <w:r>
          <w:rPr>
            <w:rFonts w:ascii="Calibri" w:hAnsi="Calibri"/>
            <w:b w:val="0"/>
            <w:color w:val="auto"/>
          </w:rPr>
          <w:tab/>
        </w:r>
        <w:r w:rsidRPr="00CA2B8F">
          <w:rPr>
            <w:rStyle w:val="Hyperlink"/>
          </w:rPr>
          <w:t>Социалноосигурителни фондове</w:t>
        </w:r>
        <w:r>
          <w:rPr>
            <w:webHidden/>
          </w:rPr>
          <w:tab/>
        </w:r>
        <w:r>
          <w:rPr>
            <w:webHidden/>
          </w:rPr>
          <w:fldChar w:fldCharType="begin"/>
        </w:r>
        <w:r>
          <w:rPr>
            <w:webHidden/>
          </w:rPr>
          <w:instrText xml:space="preserve"> PAGEREF _Toc393728091 \h </w:instrText>
        </w:r>
        <w:r>
          <w:rPr>
            <w:webHidden/>
          </w:rPr>
        </w:r>
        <w:r>
          <w:rPr>
            <w:webHidden/>
          </w:rPr>
          <w:fldChar w:fldCharType="separate"/>
        </w:r>
        <w:r>
          <w:rPr>
            <w:webHidden/>
          </w:rPr>
          <w:t>122</w:t>
        </w:r>
        <w:r>
          <w:rPr>
            <w:webHidden/>
          </w:rPr>
          <w:fldChar w:fldCharType="end"/>
        </w:r>
      </w:hyperlink>
    </w:p>
    <w:p w:rsidR="000938C1" w:rsidRDefault="000938C1">
      <w:pPr>
        <w:pStyle w:val="TOC3"/>
        <w:rPr>
          <w:rFonts w:ascii="Calibri" w:hAnsi="Calibri"/>
          <w:color w:val="auto"/>
          <w:sz w:val="22"/>
          <w:szCs w:val="22"/>
        </w:rPr>
      </w:pPr>
      <w:hyperlink w:anchor="_Toc393728092" w:history="1">
        <w:r w:rsidRPr="00CA2B8F">
          <w:rPr>
            <w:rStyle w:val="Hyperlink"/>
          </w:rPr>
          <w:t>3.1</w:t>
        </w:r>
        <w:r>
          <w:rPr>
            <w:rFonts w:ascii="Calibri" w:hAnsi="Calibri"/>
            <w:color w:val="auto"/>
            <w:sz w:val="22"/>
            <w:szCs w:val="22"/>
          </w:rPr>
          <w:tab/>
        </w:r>
        <w:r w:rsidRPr="00CA2B8F">
          <w:rPr>
            <w:rStyle w:val="Hyperlink"/>
          </w:rPr>
          <w:t>Държавно обществено осигуряване</w:t>
        </w:r>
        <w:r>
          <w:rPr>
            <w:webHidden/>
          </w:rPr>
          <w:tab/>
        </w:r>
        <w:r>
          <w:rPr>
            <w:webHidden/>
          </w:rPr>
          <w:fldChar w:fldCharType="begin"/>
        </w:r>
        <w:r>
          <w:rPr>
            <w:webHidden/>
          </w:rPr>
          <w:instrText xml:space="preserve"> PAGEREF _Toc393728092 \h </w:instrText>
        </w:r>
        <w:r>
          <w:rPr>
            <w:webHidden/>
          </w:rPr>
        </w:r>
        <w:r>
          <w:rPr>
            <w:webHidden/>
          </w:rPr>
          <w:fldChar w:fldCharType="separate"/>
        </w:r>
        <w:r>
          <w:rPr>
            <w:webHidden/>
          </w:rPr>
          <w:t>122</w:t>
        </w:r>
        <w:r>
          <w:rPr>
            <w:webHidden/>
          </w:rPr>
          <w:fldChar w:fldCharType="end"/>
        </w:r>
      </w:hyperlink>
    </w:p>
    <w:p w:rsidR="000938C1" w:rsidRDefault="000938C1">
      <w:pPr>
        <w:pStyle w:val="TOC3"/>
        <w:rPr>
          <w:rFonts w:ascii="Calibri" w:hAnsi="Calibri"/>
          <w:color w:val="auto"/>
          <w:sz w:val="22"/>
          <w:szCs w:val="22"/>
        </w:rPr>
      </w:pPr>
      <w:hyperlink w:anchor="_Toc393728093" w:history="1">
        <w:r w:rsidRPr="00CA2B8F">
          <w:rPr>
            <w:rStyle w:val="Hyperlink"/>
          </w:rPr>
          <w:t>3.2</w:t>
        </w:r>
        <w:r>
          <w:rPr>
            <w:rFonts w:ascii="Calibri" w:hAnsi="Calibri"/>
            <w:color w:val="auto"/>
            <w:sz w:val="22"/>
            <w:szCs w:val="22"/>
          </w:rPr>
          <w:tab/>
        </w:r>
        <w:r w:rsidRPr="00CA2B8F">
          <w:rPr>
            <w:rStyle w:val="Hyperlink"/>
          </w:rPr>
          <w:t>Учителски пенсионен фонд</w:t>
        </w:r>
        <w:r>
          <w:rPr>
            <w:webHidden/>
          </w:rPr>
          <w:tab/>
        </w:r>
        <w:r>
          <w:rPr>
            <w:webHidden/>
          </w:rPr>
          <w:fldChar w:fldCharType="begin"/>
        </w:r>
        <w:r>
          <w:rPr>
            <w:webHidden/>
          </w:rPr>
          <w:instrText xml:space="preserve"> PAGEREF _Toc393728093 \h </w:instrText>
        </w:r>
        <w:r>
          <w:rPr>
            <w:webHidden/>
          </w:rPr>
        </w:r>
        <w:r>
          <w:rPr>
            <w:webHidden/>
          </w:rPr>
          <w:fldChar w:fldCharType="separate"/>
        </w:r>
        <w:r>
          <w:rPr>
            <w:webHidden/>
          </w:rPr>
          <w:t>126</w:t>
        </w:r>
        <w:r>
          <w:rPr>
            <w:webHidden/>
          </w:rPr>
          <w:fldChar w:fldCharType="end"/>
        </w:r>
      </w:hyperlink>
    </w:p>
    <w:p w:rsidR="000938C1" w:rsidRDefault="000938C1">
      <w:pPr>
        <w:pStyle w:val="TOC3"/>
        <w:rPr>
          <w:rFonts w:ascii="Calibri" w:hAnsi="Calibri"/>
          <w:color w:val="auto"/>
          <w:sz w:val="22"/>
          <w:szCs w:val="22"/>
        </w:rPr>
      </w:pPr>
      <w:hyperlink w:anchor="_Toc393728094" w:history="1">
        <w:r w:rsidRPr="00CA2B8F">
          <w:rPr>
            <w:rStyle w:val="Hyperlink"/>
          </w:rPr>
          <w:t>3.3</w:t>
        </w:r>
        <w:r>
          <w:rPr>
            <w:rFonts w:ascii="Calibri" w:hAnsi="Calibri"/>
            <w:color w:val="auto"/>
            <w:sz w:val="22"/>
            <w:szCs w:val="22"/>
          </w:rPr>
          <w:tab/>
        </w:r>
        <w:r w:rsidRPr="00CA2B8F">
          <w:rPr>
            <w:rStyle w:val="Hyperlink"/>
          </w:rPr>
          <w:t>Фонд „Гарантирани вземания на работниците и служителите”</w:t>
        </w:r>
        <w:r>
          <w:rPr>
            <w:webHidden/>
          </w:rPr>
          <w:tab/>
        </w:r>
        <w:r>
          <w:rPr>
            <w:webHidden/>
          </w:rPr>
          <w:fldChar w:fldCharType="begin"/>
        </w:r>
        <w:r>
          <w:rPr>
            <w:webHidden/>
          </w:rPr>
          <w:instrText xml:space="preserve"> PAGEREF _Toc393728094 \h </w:instrText>
        </w:r>
        <w:r>
          <w:rPr>
            <w:webHidden/>
          </w:rPr>
        </w:r>
        <w:r>
          <w:rPr>
            <w:webHidden/>
          </w:rPr>
          <w:fldChar w:fldCharType="separate"/>
        </w:r>
        <w:r>
          <w:rPr>
            <w:webHidden/>
          </w:rPr>
          <w:t>126</w:t>
        </w:r>
        <w:r>
          <w:rPr>
            <w:webHidden/>
          </w:rPr>
          <w:fldChar w:fldCharType="end"/>
        </w:r>
      </w:hyperlink>
    </w:p>
    <w:p w:rsidR="000938C1" w:rsidRDefault="000938C1">
      <w:pPr>
        <w:pStyle w:val="TOC3"/>
        <w:rPr>
          <w:rFonts w:ascii="Calibri" w:hAnsi="Calibri"/>
          <w:color w:val="auto"/>
          <w:sz w:val="22"/>
          <w:szCs w:val="22"/>
        </w:rPr>
      </w:pPr>
      <w:hyperlink w:anchor="_Toc393728095" w:history="1">
        <w:r w:rsidRPr="00CA2B8F">
          <w:rPr>
            <w:rStyle w:val="Hyperlink"/>
          </w:rPr>
          <w:t>3.4</w:t>
        </w:r>
        <w:r>
          <w:rPr>
            <w:rFonts w:ascii="Calibri" w:hAnsi="Calibri"/>
            <w:color w:val="auto"/>
            <w:sz w:val="22"/>
            <w:szCs w:val="22"/>
          </w:rPr>
          <w:tab/>
        </w:r>
        <w:r w:rsidRPr="00CA2B8F">
          <w:rPr>
            <w:rStyle w:val="Hyperlink"/>
          </w:rPr>
          <w:t>Национална здравноосигурителна каса</w:t>
        </w:r>
        <w:r>
          <w:rPr>
            <w:webHidden/>
          </w:rPr>
          <w:tab/>
        </w:r>
        <w:r>
          <w:rPr>
            <w:webHidden/>
          </w:rPr>
          <w:fldChar w:fldCharType="begin"/>
        </w:r>
        <w:r>
          <w:rPr>
            <w:webHidden/>
          </w:rPr>
          <w:instrText xml:space="preserve"> PAGEREF _Toc393728095 \h </w:instrText>
        </w:r>
        <w:r>
          <w:rPr>
            <w:webHidden/>
          </w:rPr>
        </w:r>
        <w:r>
          <w:rPr>
            <w:webHidden/>
          </w:rPr>
          <w:fldChar w:fldCharType="separate"/>
        </w:r>
        <w:r>
          <w:rPr>
            <w:webHidden/>
          </w:rPr>
          <w:t>127</w:t>
        </w:r>
        <w:r>
          <w:rPr>
            <w:webHidden/>
          </w:rPr>
          <w:fldChar w:fldCharType="end"/>
        </w:r>
      </w:hyperlink>
    </w:p>
    <w:p w:rsidR="000938C1" w:rsidRDefault="000938C1">
      <w:pPr>
        <w:pStyle w:val="TOC2"/>
        <w:rPr>
          <w:rFonts w:ascii="Calibri" w:hAnsi="Calibri"/>
          <w:b w:val="0"/>
          <w:color w:val="auto"/>
        </w:rPr>
      </w:pPr>
      <w:hyperlink w:anchor="_Toc393728096" w:history="1">
        <w:r w:rsidRPr="00CA2B8F">
          <w:rPr>
            <w:rStyle w:val="Hyperlink"/>
          </w:rPr>
          <w:t>4.</w:t>
        </w:r>
        <w:r>
          <w:rPr>
            <w:rFonts w:ascii="Calibri" w:hAnsi="Calibri"/>
            <w:b w:val="0"/>
            <w:color w:val="auto"/>
          </w:rPr>
          <w:tab/>
        </w:r>
        <w:r w:rsidRPr="00CA2B8F">
          <w:rPr>
            <w:rStyle w:val="Hyperlink"/>
          </w:rPr>
          <w:t>Бюджети на общините</w:t>
        </w:r>
        <w:r>
          <w:rPr>
            <w:webHidden/>
          </w:rPr>
          <w:tab/>
        </w:r>
        <w:r>
          <w:rPr>
            <w:webHidden/>
          </w:rPr>
          <w:fldChar w:fldCharType="begin"/>
        </w:r>
        <w:r>
          <w:rPr>
            <w:webHidden/>
          </w:rPr>
          <w:instrText xml:space="preserve"> PAGEREF _Toc393728096 \h </w:instrText>
        </w:r>
        <w:r>
          <w:rPr>
            <w:webHidden/>
          </w:rPr>
        </w:r>
        <w:r>
          <w:rPr>
            <w:webHidden/>
          </w:rPr>
          <w:fldChar w:fldCharType="separate"/>
        </w:r>
        <w:r>
          <w:rPr>
            <w:webHidden/>
          </w:rPr>
          <w:t>129</w:t>
        </w:r>
        <w:r>
          <w:rPr>
            <w:webHidden/>
          </w:rPr>
          <w:fldChar w:fldCharType="end"/>
        </w:r>
      </w:hyperlink>
    </w:p>
    <w:p w:rsidR="000938C1" w:rsidRDefault="000938C1">
      <w:pPr>
        <w:pStyle w:val="TOC2"/>
        <w:rPr>
          <w:rFonts w:ascii="Calibri" w:hAnsi="Calibri"/>
          <w:b w:val="0"/>
          <w:color w:val="auto"/>
        </w:rPr>
      </w:pPr>
      <w:hyperlink w:anchor="_Toc393728097" w:history="1">
        <w:r w:rsidRPr="00CA2B8F">
          <w:rPr>
            <w:rStyle w:val="Hyperlink"/>
          </w:rPr>
          <w:t>5.</w:t>
        </w:r>
        <w:r>
          <w:rPr>
            <w:rFonts w:ascii="Calibri" w:hAnsi="Calibri"/>
            <w:b w:val="0"/>
            <w:color w:val="auto"/>
          </w:rPr>
          <w:tab/>
        </w:r>
        <w:r w:rsidRPr="00CA2B8F">
          <w:rPr>
            <w:rStyle w:val="Hyperlink"/>
          </w:rPr>
          <w:t>Българско национално радио</w:t>
        </w:r>
        <w:r>
          <w:rPr>
            <w:webHidden/>
          </w:rPr>
          <w:tab/>
        </w:r>
        <w:r>
          <w:rPr>
            <w:webHidden/>
          </w:rPr>
          <w:fldChar w:fldCharType="begin"/>
        </w:r>
        <w:r>
          <w:rPr>
            <w:webHidden/>
          </w:rPr>
          <w:instrText xml:space="preserve"> PAGEREF _Toc393728097 \h </w:instrText>
        </w:r>
        <w:r>
          <w:rPr>
            <w:webHidden/>
          </w:rPr>
        </w:r>
        <w:r>
          <w:rPr>
            <w:webHidden/>
          </w:rPr>
          <w:fldChar w:fldCharType="separate"/>
        </w:r>
        <w:r>
          <w:rPr>
            <w:webHidden/>
          </w:rPr>
          <w:t>134</w:t>
        </w:r>
        <w:r>
          <w:rPr>
            <w:webHidden/>
          </w:rPr>
          <w:fldChar w:fldCharType="end"/>
        </w:r>
      </w:hyperlink>
    </w:p>
    <w:p w:rsidR="000938C1" w:rsidRDefault="000938C1">
      <w:pPr>
        <w:pStyle w:val="TOC2"/>
        <w:rPr>
          <w:rFonts w:ascii="Calibri" w:hAnsi="Calibri"/>
          <w:b w:val="0"/>
          <w:color w:val="auto"/>
        </w:rPr>
      </w:pPr>
      <w:hyperlink w:anchor="_Toc393728098" w:history="1">
        <w:r w:rsidRPr="00CA2B8F">
          <w:rPr>
            <w:rStyle w:val="Hyperlink"/>
          </w:rPr>
          <w:t>6.</w:t>
        </w:r>
        <w:r>
          <w:rPr>
            <w:rFonts w:ascii="Calibri" w:hAnsi="Calibri"/>
            <w:b w:val="0"/>
            <w:color w:val="auto"/>
          </w:rPr>
          <w:tab/>
        </w:r>
        <w:r w:rsidRPr="00CA2B8F">
          <w:rPr>
            <w:rStyle w:val="Hyperlink"/>
          </w:rPr>
          <w:t>Българска национална телевизия</w:t>
        </w:r>
        <w:r>
          <w:rPr>
            <w:webHidden/>
          </w:rPr>
          <w:tab/>
        </w:r>
        <w:r>
          <w:rPr>
            <w:webHidden/>
          </w:rPr>
          <w:fldChar w:fldCharType="begin"/>
        </w:r>
        <w:r>
          <w:rPr>
            <w:webHidden/>
          </w:rPr>
          <w:instrText xml:space="preserve"> PAGEREF _Toc393728098 \h </w:instrText>
        </w:r>
        <w:r>
          <w:rPr>
            <w:webHidden/>
          </w:rPr>
        </w:r>
        <w:r>
          <w:rPr>
            <w:webHidden/>
          </w:rPr>
          <w:fldChar w:fldCharType="separate"/>
        </w:r>
        <w:r>
          <w:rPr>
            <w:webHidden/>
          </w:rPr>
          <w:t>136</w:t>
        </w:r>
        <w:r>
          <w:rPr>
            <w:webHidden/>
          </w:rPr>
          <w:fldChar w:fldCharType="end"/>
        </w:r>
      </w:hyperlink>
    </w:p>
    <w:p w:rsidR="000938C1" w:rsidRDefault="000938C1">
      <w:pPr>
        <w:pStyle w:val="TOC2"/>
        <w:rPr>
          <w:rFonts w:ascii="Calibri" w:hAnsi="Calibri"/>
          <w:b w:val="0"/>
          <w:color w:val="auto"/>
        </w:rPr>
      </w:pPr>
      <w:hyperlink w:anchor="_Toc393728099" w:history="1">
        <w:r w:rsidRPr="00CA2B8F">
          <w:rPr>
            <w:rStyle w:val="Hyperlink"/>
          </w:rPr>
          <w:t>7.</w:t>
        </w:r>
        <w:r>
          <w:rPr>
            <w:rFonts w:ascii="Calibri" w:hAnsi="Calibri"/>
            <w:b w:val="0"/>
            <w:color w:val="auto"/>
          </w:rPr>
          <w:tab/>
        </w:r>
        <w:r w:rsidRPr="00CA2B8F">
          <w:rPr>
            <w:rStyle w:val="Hyperlink"/>
          </w:rPr>
          <w:t>Българска телеграфна агенция</w:t>
        </w:r>
        <w:r>
          <w:rPr>
            <w:webHidden/>
          </w:rPr>
          <w:tab/>
        </w:r>
        <w:r>
          <w:rPr>
            <w:webHidden/>
          </w:rPr>
          <w:fldChar w:fldCharType="begin"/>
        </w:r>
        <w:r>
          <w:rPr>
            <w:webHidden/>
          </w:rPr>
          <w:instrText xml:space="preserve"> PAGEREF _Toc393728099 \h </w:instrText>
        </w:r>
        <w:r>
          <w:rPr>
            <w:webHidden/>
          </w:rPr>
        </w:r>
        <w:r>
          <w:rPr>
            <w:webHidden/>
          </w:rPr>
          <w:fldChar w:fldCharType="separate"/>
        </w:r>
        <w:r>
          <w:rPr>
            <w:webHidden/>
          </w:rPr>
          <w:t>137</w:t>
        </w:r>
        <w:r>
          <w:rPr>
            <w:webHidden/>
          </w:rPr>
          <w:fldChar w:fldCharType="end"/>
        </w:r>
      </w:hyperlink>
    </w:p>
    <w:p w:rsidR="000938C1" w:rsidRDefault="000938C1">
      <w:pPr>
        <w:pStyle w:val="TOC2"/>
        <w:rPr>
          <w:rFonts w:ascii="Calibri" w:hAnsi="Calibri"/>
          <w:b w:val="0"/>
          <w:color w:val="auto"/>
        </w:rPr>
      </w:pPr>
      <w:hyperlink w:anchor="_Toc393728100" w:history="1">
        <w:r w:rsidRPr="00CA2B8F">
          <w:rPr>
            <w:rStyle w:val="Hyperlink"/>
          </w:rPr>
          <w:t>8.</w:t>
        </w:r>
        <w:r>
          <w:rPr>
            <w:rFonts w:ascii="Calibri" w:hAnsi="Calibri"/>
            <w:b w:val="0"/>
            <w:color w:val="auto"/>
          </w:rPr>
          <w:tab/>
        </w:r>
        <w:r w:rsidRPr="00CA2B8F">
          <w:rPr>
            <w:rStyle w:val="Hyperlink"/>
          </w:rPr>
          <w:t>Държавни висши училища</w:t>
        </w:r>
        <w:r>
          <w:rPr>
            <w:webHidden/>
          </w:rPr>
          <w:tab/>
        </w:r>
        <w:r>
          <w:rPr>
            <w:webHidden/>
          </w:rPr>
          <w:fldChar w:fldCharType="begin"/>
        </w:r>
        <w:r>
          <w:rPr>
            <w:webHidden/>
          </w:rPr>
          <w:instrText xml:space="preserve"> PAGEREF _Toc393728100 \h </w:instrText>
        </w:r>
        <w:r>
          <w:rPr>
            <w:webHidden/>
          </w:rPr>
        </w:r>
        <w:r>
          <w:rPr>
            <w:webHidden/>
          </w:rPr>
          <w:fldChar w:fldCharType="separate"/>
        </w:r>
        <w:r>
          <w:rPr>
            <w:webHidden/>
          </w:rPr>
          <w:t>137</w:t>
        </w:r>
        <w:r>
          <w:rPr>
            <w:webHidden/>
          </w:rPr>
          <w:fldChar w:fldCharType="end"/>
        </w:r>
      </w:hyperlink>
    </w:p>
    <w:p w:rsidR="000938C1" w:rsidRDefault="000938C1">
      <w:pPr>
        <w:pStyle w:val="TOC2"/>
        <w:rPr>
          <w:rFonts w:ascii="Calibri" w:hAnsi="Calibri"/>
          <w:b w:val="0"/>
          <w:color w:val="auto"/>
        </w:rPr>
      </w:pPr>
      <w:hyperlink w:anchor="_Toc393728101" w:history="1">
        <w:r w:rsidRPr="00CA2B8F">
          <w:rPr>
            <w:rStyle w:val="Hyperlink"/>
          </w:rPr>
          <w:t>9.</w:t>
        </w:r>
        <w:r>
          <w:rPr>
            <w:rFonts w:ascii="Calibri" w:hAnsi="Calibri"/>
            <w:b w:val="0"/>
            <w:color w:val="auto"/>
          </w:rPr>
          <w:tab/>
        </w:r>
        <w:r w:rsidRPr="00CA2B8F">
          <w:rPr>
            <w:rStyle w:val="Hyperlink"/>
          </w:rPr>
          <w:t>Държавни висши военни училища</w:t>
        </w:r>
        <w:r>
          <w:rPr>
            <w:webHidden/>
          </w:rPr>
          <w:tab/>
        </w:r>
        <w:r>
          <w:rPr>
            <w:webHidden/>
          </w:rPr>
          <w:fldChar w:fldCharType="begin"/>
        </w:r>
        <w:r>
          <w:rPr>
            <w:webHidden/>
          </w:rPr>
          <w:instrText xml:space="preserve"> PAGEREF _Toc393728101 \h </w:instrText>
        </w:r>
        <w:r>
          <w:rPr>
            <w:webHidden/>
          </w:rPr>
        </w:r>
        <w:r>
          <w:rPr>
            <w:webHidden/>
          </w:rPr>
          <w:fldChar w:fldCharType="separate"/>
        </w:r>
        <w:r>
          <w:rPr>
            <w:webHidden/>
          </w:rPr>
          <w:t>137</w:t>
        </w:r>
        <w:r>
          <w:rPr>
            <w:webHidden/>
          </w:rPr>
          <w:fldChar w:fldCharType="end"/>
        </w:r>
      </w:hyperlink>
    </w:p>
    <w:p w:rsidR="000938C1" w:rsidRDefault="000938C1">
      <w:pPr>
        <w:pStyle w:val="TOC2"/>
        <w:rPr>
          <w:rFonts w:ascii="Calibri" w:hAnsi="Calibri"/>
          <w:b w:val="0"/>
          <w:color w:val="auto"/>
        </w:rPr>
      </w:pPr>
      <w:hyperlink w:anchor="_Toc393728102" w:history="1">
        <w:r w:rsidRPr="00CA2B8F">
          <w:rPr>
            <w:rStyle w:val="Hyperlink"/>
          </w:rPr>
          <w:t>10.</w:t>
        </w:r>
        <w:r>
          <w:rPr>
            <w:rFonts w:ascii="Calibri" w:hAnsi="Calibri"/>
            <w:b w:val="0"/>
            <w:color w:val="auto"/>
          </w:rPr>
          <w:tab/>
        </w:r>
        <w:r w:rsidRPr="00CA2B8F">
          <w:rPr>
            <w:rStyle w:val="Hyperlink"/>
          </w:rPr>
          <w:t>Българска академия на науките</w:t>
        </w:r>
        <w:r>
          <w:rPr>
            <w:webHidden/>
          </w:rPr>
          <w:tab/>
        </w:r>
        <w:r>
          <w:rPr>
            <w:webHidden/>
          </w:rPr>
          <w:fldChar w:fldCharType="begin"/>
        </w:r>
        <w:r>
          <w:rPr>
            <w:webHidden/>
          </w:rPr>
          <w:instrText xml:space="preserve"> PAGEREF _Toc393728102 \h </w:instrText>
        </w:r>
        <w:r>
          <w:rPr>
            <w:webHidden/>
          </w:rPr>
        </w:r>
        <w:r>
          <w:rPr>
            <w:webHidden/>
          </w:rPr>
          <w:fldChar w:fldCharType="separate"/>
        </w:r>
        <w:r>
          <w:rPr>
            <w:webHidden/>
          </w:rPr>
          <w:t>138</w:t>
        </w:r>
        <w:r>
          <w:rPr>
            <w:webHidden/>
          </w:rPr>
          <w:fldChar w:fldCharType="end"/>
        </w:r>
      </w:hyperlink>
    </w:p>
    <w:p w:rsidR="000938C1" w:rsidRDefault="000938C1">
      <w:pPr>
        <w:pStyle w:val="TOC2"/>
        <w:rPr>
          <w:rFonts w:ascii="Calibri" w:hAnsi="Calibri"/>
          <w:b w:val="0"/>
          <w:color w:val="auto"/>
        </w:rPr>
      </w:pPr>
      <w:hyperlink w:anchor="_Toc393728103" w:history="1">
        <w:r w:rsidRPr="00CA2B8F">
          <w:rPr>
            <w:rStyle w:val="Hyperlink"/>
          </w:rPr>
          <w:t>11.</w:t>
        </w:r>
        <w:r>
          <w:rPr>
            <w:rFonts w:ascii="Calibri" w:hAnsi="Calibri"/>
            <w:b w:val="0"/>
            <w:color w:val="auto"/>
          </w:rPr>
          <w:tab/>
        </w:r>
        <w:r w:rsidRPr="00CA2B8F">
          <w:rPr>
            <w:rStyle w:val="Hyperlink"/>
          </w:rPr>
          <w:t>Национален фонд към Министерство на финансите</w:t>
        </w:r>
        <w:r>
          <w:rPr>
            <w:webHidden/>
          </w:rPr>
          <w:tab/>
        </w:r>
        <w:r>
          <w:rPr>
            <w:webHidden/>
          </w:rPr>
          <w:fldChar w:fldCharType="begin"/>
        </w:r>
        <w:r>
          <w:rPr>
            <w:webHidden/>
          </w:rPr>
          <w:instrText xml:space="preserve"> PAGEREF _Toc393728103 \h </w:instrText>
        </w:r>
        <w:r>
          <w:rPr>
            <w:webHidden/>
          </w:rPr>
        </w:r>
        <w:r>
          <w:rPr>
            <w:webHidden/>
          </w:rPr>
          <w:fldChar w:fldCharType="separate"/>
        </w:r>
        <w:r>
          <w:rPr>
            <w:webHidden/>
          </w:rPr>
          <w:t>138</w:t>
        </w:r>
        <w:r>
          <w:rPr>
            <w:webHidden/>
          </w:rPr>
          <w:fldChar w:fldCharType="end"/>
        </w:r>
      </w:hyperlink>
    </w:p>
    <w:p w:rsidR="000938C1" w:rsidRDefault="000938C1">
      <w:pPr>
        <w:pStyle w:val="TOC2"/>
        <w:rPr>
          <w:rFonts w:ascii="Calibri" w:hAnsi="Calibri"/>
          <w:b w:val="0"/>
          <w:color w:val="auto"/>
        </w:rPr>
      </w:pPr>
      <w:hyperlink w:anchor="_Toc393728104" w:history="1">
        <w:r w:rsidRPr="00CA2B8F">
          <w:rPr>
            <w:rStyle w:val="Hyperlink"/>
          </w:rPr>
          <w:t>12.</w:t>
        </w:r>
        <w:r>
          <w:rPr>
            <w:rFonts w:ascii="Calibri" w:hAnsi="Calibri"/>
            <w:b w:val="0"/>
            <w:color w:val="auto"/>
          </w:rPr>
          <w:tab/>
        </w:r>
        <w:r w:rsidRPr="00CA2B8F">
          <w:rPr>
            <w:rStyle w:val="Hyperlink"/>
          </w:rPr>
          <w:t>Държавен фонд “Земеделие”</w:t>
        </w:r>
        <w:r>
          <w:rPr>
            <w:webHidden/>
          </w:rPr>
          <w:tab/>
        </w:r>
        <w:r>
          <w:rPr>
            <w:webHidden/>
          </w:rPr>
          <w:fldChar w:fldCharType="begin"/>
        </w:r>
        <w:r>
          <w:rPr>
            <w:webHidden/>
          </w:rPr>
          <w:instrText xml:space="preserve"> PAGEREF _Toc393728104 \h </w:instrText>
        </w:r>
        <w:r>
          <w:rPr>
            <w:webHidden/>
          </w:rPr>
        </w:r>
        <w:r>
          <w:rPr>
            <w:webHidden/>
          </w:rPr>
          <w:fldChar w:fldCharType="separate"/>
        </w:r>
        <w:r>
          <w:rPr>
            <w:webHidden/>
          </w:rPr>
          <w:t>142</w:t>
        </w:r>
        <w:r>
          <w:rPr>
            <w:webHidden/>
          </w:rPr>
          <w:fldChar w:fldCharType="end"/>
        </w:r>
      </w:hyperlink>
    </w:p>
    <w:p w:rsidR="000938C1" w:rsidRDefault="000938C1">
      <w:pPr>
        <w:pStyle w:val="TOC2"/>
        <w:rPr>
          <w:rFonts w:ascii="Calibri" w:hAnsi="Calibri"/>
          <w:b w:val="0"/>
          <w:color w:val="auto"/>
        </w:rPr>
      </w:pPr>
      <w:hyperlink w:anchor="_Toc393728105" w:history="1">
        <w:r w:rsidRPr="00CA2B8F">
          <w:rPr>
            <w:rStyle w:val="Hyperlink"/>
          </w:rPr>
          <w:t>13.</w:t>
        </w:r>
        <w:r>
          <w:rPr>
            <w:rFonts w:ascii="Calibri" w:hAnsi="Calibri"/>
            <w:b w:val="0"/>
            <w:color w:val="auto"/>
          </w:rPr>
          <w:tab/>
        </w:r>
        <w:r w:rsidRPr="00CA2B8F">
          <w:rPr>
            <w:rStyle w:val="Hyperlink"/>
          </w:rPr>
          <w:t>Фонд за покриване на разходите за приватизация и следприватизационен контрол</w:t>
        </w:r>
        <w:r>
          <w:rPr>
            <w:webHidden/>
          </w:rPr>
          <w:tab/>
        </w:r>
        <w:r>
          <w:rPr>
            <w:webHidden/>
          </w:rPr>
          <w:fldChar w:fldCharType="begin"/>
        </w:r>
        <w:r>
          <w:rPr>
            <w:webHidden/>
          </w:rPr>
          <w:instrText xml:space="preserve"> PAGEREF _Toc393728105 \h </w:instrText>
        </w:r>
        <w:r>
          <w:rPr>
            <w:webHidden/>
          </w:rPr>
        </w:r>
        <w:r>
          <w:rPr>
            <w:webHidden/>
          </w:rPr>
          <w:fldChar w:fldCharType="separate"/>
        </w:r>
        <w:r>
          <w:rPr>
            <w:webHidden/>
          </w:rPr>
          <w:t>151</w:t>
        </w:r>
        <w:r>
          <w:rPr>
            <w:webHidden/>
          </w:rPr>
          <w:fldChar w:fldCharType="end"/>
        </w:r>
      </w:hyperlink>
    </w:p>
    <w:p w:rsidR="000938C1" w:rsidRDefault="000938C1">
      <w:pPr>
        <w:pStyle w:val="TOC2"/>
        <w:rPr>
          <w:rFonts w:ascii="Calibri" w:hAnsi="Calibri"/>
          <w:b w:val="0"/>
          <w:color w:val="auto"/>
        </w:rPr>
      </w:pPr>
      <w:hyperlink w:anchor="_Toc393728106" w:history="1">
        <w:r w:rsidRPr="00CA2B8F">
          <w:rPr>
            <w:rStyle w:val="Hyperlink"/>
          </w:rPr>
          <w:t>14.</w:t>
        </w:r>
        <w:r>
          <w:rPr>
            <w:rFonts w:ascii="Calibri" w:hAnsi="Calibri"/>
            <w:b w:val="0"/>
            <w:color w:val="auto"/>
          </w:rPr>
          <w:tab/>
        </w:r>
        <w:r w:rsidRPr="00CA2B8F">
          <w:rPr>
            <w:rStyle w:val="Hyperlink"/>
          </w:rPr>
          <w:t>Предприятие за управление на дейностите по опазване на околната среда</w:t>
        </w:r>
        <w:r>
          <w:rPr>
            <w:webHidden/>
          </w:rPr>
          <w:tab/>
        </w:r>
        <w:r>
          <w:rPr>
            <w:webHidden/>
          </w:rPr>
          <w:fldChar w:fldCharType="begin"/>
        </w:r>
        <w:r>
          <w:rPr>
            <w:webHidden/>
          </w:rPr>
          <w:instrText xml:space="preserve"> PAGEREF _Toc393728106 \h </w:instrText>
        </w:r>
        <w:r>
          <w:rPr>
            <w:webHidden/>
          </w:rPr>
        </w:r>
        <w:r>
          <w:rPr>
            <w:webHidden/>
          </w:rPr>
          <w:fldChar w:fldCharType="separate"/>
        </w:r>
        <w:r>
          <w:rPr>
            <w:webHidden/>
          </w:rPr>
          <w:t>151</w:t>
        </w:r>
        <w:r>
          <w:rPr>
            <w:webHidden/>
          </w:rPr>
          <w:fldChar w:fldCharType="end"/>
        </w:r>
      </w:hyperlink>
    </w:p>
    <w:p w:rsidR="000938C1" w:rsidRDefault="000938C1">
      <w:pPr>
        <w:pStyle w:val="TOC2"/>
        <w:rPr>
          <w:rFonts w:ascii="Calibri" w:hAnsi="Calibri"/>
          <w:b w:val="0"/>
          <w:color w:val="auto"/>
        </w:rPr>
      </w:pPr>
      <w:hyperlink w:anchor="_Toc393728107" w:history="1">
        <w:r w:rsidRPr="00CA2B8F">
          <w:rPr>
            <w:rStyle w:val="Hyperlink"/>
          </w:rPr>
          <w:t>15.</w:t>
        </w:r>
        <w:r>
          <w:rPr>
            <w:rFonts w:ascii="Calibri" w:hAnsi="Calibri"/>
            <w:b w:val="0"/>
            <w:color w:val="auto"/>
          </w:rPr>
          <w:tab/>
        </w:r>
        <w:r w:rsidRPr="00CA2B8F">
          <w:rPr>
            <w:rStyle w:val="Hyperlink"/>
          </w:rPr>
          <w:t>Извънбюджетна сметка към министъра на финансите за средствата от продажбата на предписани емисионни единици</w:t>
        </w:r>
        <w:r>
          <w:rPr>
            <w:webHidden/>
          </w:rPr>
          <w:tab/>
        </w:r>
        <w:r>
          <w:rPr>
            <w:webHidden/>
          </w:rPr>
          <w:fldChar w:fldCharType="begin"/>
        </w:r>
        <w:r>
          <w:rPr>
            <w:webHidden/>
          </w:rPr>
          <w:instrText xml:space="preserve"> PAGEREF _Toc393728107 \h </w:instrText>
        </w:r>
        <w:r>
          <w:rPr>
            <w:webHidden/>
          </w:rPr>
        </w:r>
        <w:r>
          <w:rPr>
            <w:webHidden/>
          </w:rPr>
          <w:fldChar w:fldCharType="separate"/>
        </w:r>
        <w:r>
          <w:rPr>
            <w:webHidden/>
          </w:rPr>
          <w:t>153</w:t>
        </w:r>
        <w:r>
          <w:rPr>
            <w:webHidden/>
          </w:rPr>
          <w:fldChar w:fldCharType="end"/>
        </w:r>
      </w:hyperlink>
    </w:p>
    <w:p w:rsidR="000938C1" w:rsidRDefault="000938C1">
      <w:pPr>
        <w:pStyle w:val="TOC2"/>
        <w:rPr>
          <w:rFonts w:ascii="Calibri" w:hAnsi="Calibri"/>
          <w:b w:val="0"/>
          <w:color w:val="auto"/>
        </w:rPr>
      </w:pPr>
      <w:hyperlink w:anchor="_Toc393728108" w:history="1">
        <w:r w:rsidRPr="00CA2B8F">
          <w:rPr>
            <w:rStyle w:val="Hyperlink"/>
          </w:rPr>
          <w:t>16.</w:t>
        </w:r>
        <w:r>
          <w:rPr>
            <w:rFonts w:ascii="Calibri" w:hAnsi="Calibri"/>
            <w:b w:val="0"/>
            <w:color w:val="auto"/>
          </w:rPr>
          <w:tab/>
        </w:r>
        <w:r w:rsidRPr="00CA2B8F">
          <w:rPr>
            <w:rStyle w:val="Hyperlink"/>
          </w:rPr>
          <w:t>Сметка за чужди средства на ММС</w:t>
        </w:r>
        <w:r>
          <w:rPr>
            <w:webHidden/>
          </w:rPr>
          <w:tab/>
        </w:r>
        <w:r>
          <w:rPr>
            <w:webHidden/>
          </w:rPr>
          <w:fldChar w:fldCharType="begin"/>
        </w:r>
        <w:r>
          <w:rPr>
            <w:webHidden/>
          </w:rPr>
          <w:instrText xml:space="preserve"> PAGEREF _Toc393728108 \h </w:instrText>
        </w:r>
        <w:r>
          <w:rPr>
            <w:webHidden/>
          </w:rPr>
        </w:r>
        <w:r>
          <w:rPr>
            <w:webHidden/>
          </w:rPr>
          <w:fldChar w:fldCharType="separate"/>
        </w:r>
        <w:r>
          <w:rPr>
            <w:webHidden/>
          </w:rPr>
          <w:t>153</w:t>
        </w:r>
        <w:r>
          <w:rPr>
            <w:webHidden/>
          </w:rPr>
          <w:fldChar w:fldCharType="end"/>
        </w:r>
      </w:hyperlink>
    </w:p>
    <w:p w:rsidR="000938C1" w:rsidRDefault="000938C1">
      <w:pPr>
        <w:pStyle w:val="TOC2"/>
        <w:rPr>
          <w:rFonts w:ascii="Calibri" w:hAnsi="Calibri"/>
          <w:b w:val="0"/>
          <w:color w:val="auto"/>
        </w:rPr>
      </w:pPr>
      <w:hyperlink w:anchor="_Toc393728109" w:history="1">
        <w:r w:rsidRPr="00CA2B8F">
          <w:rPr>
            <w:rStyle w:val="Hyperlink"/>
          </w:rPr>
          <w:t>17.</w:t>
        </w:r>
        <w:r>
          <w:rPr>
            <w:rFonts w:ascii="Calibri" w:hAnsi="Calibri"/>
            <w:b w:val="0"/>
            <w:color w:val="auto"/>
          </w:rPr>
          <w:tab/>
        </w:r>
        <w:r w:rsidRPr="00CA2B8F">
          <w:rPr>
            <w:rStyle w:val="Hyperlink"/>
          </w:rPr>
          <w:t>Сметка за чужди средства, открита съгласно §28 от Преходните и заключителните разпоредби на ЗИД на Закона за българските лични документи към МВР</w:t>
        </w:r>
        <w:r>
          <w:rPr>
            <w:webHidden/>
          </w:rPr>
          <w:tab/>
        </w:r>
        <w:r>
          <w:rPr>
            <w:webHidden/>
          </w:rPr>
          <w:fldChar w:fldCharType="begin"/>
        </w:r>
        <w:r>
          <w:rPr>
            <w:webHidden/>
          </w:rPr>
          <w:instrText xml:space="preserve"> PAGEREF _Toc393728109 \h </w:instrText>
        </w:r>
        <w:r>
          <w:rPr>
            <w:webHidden/>
          </w:rPr>
        </w:r>
        <w:r>
          <w:rPr>
            <w:webHidden/>
          </w:rPr>
          <w:fldChar w:fldCharType="separate"/>
        </w:r>
        <w:r>
          <w:rPr>
            <w:webHidden/>
          </w:rPr>
          <w:t>154</w:t>
        </w:r>
        <w:r>
          <w:rPr>
            <w:webHidden/>
          </w:rPr>
          <w:fldChar w:fldCharType="end"/>
        </w:r>
      </w:hyperlink>
    </w:p>
    <w:p w:rsidR="000938C1" w:rsidRDefault="000938C1">
      <w:pPr>
        <w:pStyle w:val="TOC1"/>
        <w:rPr>
          <w:rFonts w:ascii="Calibri" w:hAnsi="Calibri"/>
          <w:b w:val="0"/>
          <w:color w:val="auto"/>
          <w:sz w:val="22"/>
        </w:rPr>
      </w:pPr>
      <w:hyperlink w:anchor="_Toc393728110" w:history="1">
        <w:r w:rsidRPr="00CA2B8F">
          <w:rPr>
            <w:rStyle w:val="Hyperlink"/>
          </w:rPr>
          <w:t>ЗАКЛЮЧЕНИЕ</w:t>
        </w:r>
        <w:r>
          <w:rPr>
            <w:webHidden/>
          </w:rPr>
          <w:tab/>
        </w:r>
        <w:r>
          <w:rPr>
            <w:webHidden/>
          </w:rPr>
          <w:fldChar w:fldCharType="begin"/>
        </w:r>
        <w:r>
          <w:rPr>
            <w:webHidden/>
          </w:rPr>
          <w:instrText xml:space="preserve"> PAGEREF _Toc393728110 \h </w:instrText>
        </w:r>
        <w:r>
          <w:rPr>
            <w:webHidden/>
          </w:rPr>
        </w:r>
        <w:r>
          <w:rPr>
            <w:webHidden/>
          </w:rPr>
          <w:fldChar w:fldCharType="separate"/>
        </w:r>
        <w:r>
          <w:rPr>
            <w:webHidden/>
          </w:rPr>
          <w:t>155</w:t>
        </w:r>
        <w:r>
          <w:rPr>
            <w:webHidden/>
          </w:rPr>
          <w:fldChar w:fldCharType="end"/>
        </w:r>
      </w:hyperlink>
    </w:p>
    <w:p w:rsidR="000938C1" w:rsidRPr="00CF1A14" w:rsidRDefault="000938C1" w:rsidP="00646840">
      <w:pPr>
        <w:pStyle w:val="TOC1"/>
        <w:rPr>
          <w:color w:val="0070C0"/>
        </w:rPr>
      </w:pPr>
      <w:r w:rsidRPr="00CF1A14">
        <w:rPr>
          <w:bCs/>
          <w:noProof w:val="0"/>
          <w:color w:val="0070C0"/>
        </w:rPr>
        <w:fldChar w:fldCharType="end"/>
      </w:r>
    </w:p>
    <w:p w:rsidR="000938C1" w:rsidRPr="008B447C" w:rsidRDefault="000938C1" w:rsidP="00443121">
      <w:pPr>
        <w:pStyle w:val="Heading1"/>
      </w:pPr>
      <w:bookmarkStart w:id="5" w:name="_Toc261276548"/>
      <w:r w:rsidRPr="00CF1A14">
        <w:rPr>
          <w:color w:val="0070C0"/>
        </w:rPr>
        <w:br w:type="page"/>
      </w:r>
      <w:bookmarkStart w:id="6" w:name="_Toc324863379"/>
      <w:bookmarkStart w:id="7" w:name="_Toc393728038"/>
      <w:r w:rsidRPr="008B447C">
        <w:t>Използвани съкращения</w:t>
      </w:r>
      <w:bookmarkEnd w:id="5"/>
      <w:bookmarkEnd w:id="6"/>
      <w:bookmarkEnd w:id="7"/>
    </w:p>
    <w:p w:rsidR="000938C1" w:rsidRPr="00CF1A14" w:rsidRDefault="000938C1" w:rsidP="002130D9">
      <w:pPr>
        <w:rPr>
          <w:color w:val="0070C0"/>
          <w:sz w:val="8"/>
          <w:szCs w:val="8"/>
          <w:highlight w:val="yellow"/>
        </w:rPr>
      </w:pPr>
    </w:p>
    <w:p w:rsidR="000938C1" w:rsidRPr="00285CB9" w:rsidRDefault="000938C1" w:rsidP="002130D9">
      <w:r w:rsidRPr="00285CB9">
        <w:t>АМ – Агенция „Митници”</w:t>
      </w:r>
    </w:p>
    <w:p w:rsidR="000938C1" w:rsidRPr="00285CB9" w:rsidRDefault="000938C1" w:rsidP="002516EA">
      <w:pPr>
        <w:autoSpaceDE w:val="0"/>
        <w:autoSpaceDN w:val="0"/>
        <w:adjustRightInd w:val="0"/>
      </w:pPr>
      <w:r w:rsidRPr="00285CB9">
        <w:t>БВД – брутен външен дълг</w:t>
      </w:r>
    </w:p>
    <w:p w:rsidR="000938C1" w:rsidRPr="00285CB9" w:rsidRDefault="000938C1" w:rsidP="002516EA">
      <w:pPr>
        <w:autoSpaceDE w:val="0"/>
        <w:autoSpaceDN w:val="0"/>
        <w:adjustRightInd w:val="0"/>
      </w:pPr>
      <w:r w:rsidRPr="00285CB9">
        <w:t>БВП – брутен вътрешен продукт</w:t>
      </w:r>
    </w:p>
    <w:p w:rsidR="000938C1" w:rsidRPr="00285CB9" w:rsidRDefault="000938C1" w:rsidP="002516EA">
      <w:pPr>
        <w:autoSpaceDE w:val="0"/>
        <w:autoSpaceDN w:val="0"/>
        <w:adjustRightInd w:val="0"/>
      </w:pPr>
      <w:r w:rsidRPr="00285CB9">
        <w:t xml:space="preserve">БДЖ ЕАД – „Български държавни железници” ЕАД </w:t>
      </w:r>
    </w:p>
    <w:p w:rsidR="000938C1" w:rsidRPr="00285CB9" w:rsidRDefault="000938C1" w:rsidP="002516EA">
      <w:r w:rsidRPr="00285CB9">
        <w:t>БНБ – Българска народна банка</w:t>
      </w:r>
    </w:p>
    <w:p w:rsidR="000938C1" w:rsidRPr="00285CB9" w:rsidRDefault="000938C1" w:rsidP="002516EA">
      <w:r w:rsidRPr="00285CB9">
        <w:t>БРСЕ – Банка за развитие на Съвета на Европа</w:t>
      </w:r>
    </w:p>
    <w:p w:rsidR="000938C1" w:rsidRPr="00BF0774" w:rsidRDefault="000938C1" w:rsidP="002516EA">
      <w:r w:rsidRPr="00BF0774">
        <w:t>б. т. – базисни точки</w:t>
      </w:r>
    </w:p>
    <w:p w:rsidR="000938C1" w:rsidRPr="00BF0774" w:rsidRDefault="000938C1" w:rsidP="00F103BC">
      <w:r w:rsidRPr="00BF0774">
        <w:t>ВОП – вътреобщностни придобивания</w:t>
      </w:r>
    </w:p>
    <w:p w:rsidR="000938C1" w:rsidRPr="00BF0774" w:rsidRDefault="000938C1" w:rsidP="002516EA">
      <w:r w:rsidRPr="00BF0774">
        <w:t>ВСС – Висш съдебен съвет</w:t>
      </w:r>
    </w:p>
    <w:p w:rsidR="000938C1" w:rsidRPr="00BF0774" w:rsidRDefault="000938C1" w:rsidP="002516EA">
      <w:r w:rsidRPr="00BF0774">
        <w:t>ДАНС – Държавна агенция „Национална сигурност”</w:t>
      </w:r>
    </w:p>
    <w:p w:rsidR="000938C1" w:rsidRPr="00BF0774" w:rsidRDefault="000938C1" w:rsidP="002516EA">
      <w:r w:rsidRPr="00BF0774">
        <w:t>ДВ – Държавен вестник</w:t>
      </w:r>
    </w:p>
    <w:p w:rsidR="000938C1" w:rsidRPr="00BF0774" w:rsidRDefault="000938C1" w:rsidP="002516EA">
      <w:r w:rsidRPr="00BF0774">
        <w:t>ДДС – данък върху добавената стойност</w:t>
      </w:r>
    </w:p>
    <w:p w:rsidR="000938C1" w:rsidRPr="00BF0774" w:rsidRDefault="000938C1" w:rsidP="002516EA">
      <w:r w:rsidRPr="00BF0774">
        <w:t>ДИЗ – държавни инвестиционни заеми</w:t>
      </w:r>
    </w:p>
    <w:p w:rsidR="000938C1" w:rsidRPr="00BF0774" w:rsidRDefault="000938C1" w:rsidP="002516EA">
      <w:r w:rsidRPr="00BF0774">
        <w:t xml:space="preserve">ДМА – дълготрайни материални активи </w:t>
      </w:r>
    </w:p>
    <w:p w:rsidR="000938C1" w:rsidRPr="00BF0774" w:rsidRDefault="000938C1" w:rsidP="002516EA">
      <w:r w:rsidRPr="00BF0774">
        <w:t>ДОО – държавно обществено осигуряване</w:t>
      </w:r>
    </w:p>
    <w:p w:rsidR="000938C1" w:rsidRPr="00BF0774" w:rsidRDefault="000938C1" w:rsidP="002516EA">
      <w:r w:rsidRPr="00BF0774">
        <w:t>ДФЗ – Държавен фонд „Земеделие”</w:t>
      </w:r>
    </w:p>
    <w:p w:rsidR="000938C1" w:rsidRPr="00BF0774" w:rsidRDefault="000938C1" w:rsidP="002516EA">
      <w:r w:rsidRPr="00BF0774">
        <w:t>ЕК – Европейска комисия</w:t>
      </w:r>
    </w:p>
    <w:p w:rsidR="000938C1" w:rsidRPr="00BF0774" w:rsidRDefault="000938C1" w:rsidP="002516EA">
      <w:r w:rsidRPr="00BF0774">
        <w:t>ЕО – Европейска общност</w:t>
      </w:r>
    </w:p>
    <w:p w:rsidR="000938C1" w:rsidRPr="00BF0774" w:rsidRDefault="000938C1" w:rsidP="002516EA">
      <w:r w:rsidRPr="00BF0774">
        <w:t>ЕС – Европейски съюз</w:t>
      </w:r>
    </w:p>
    <w:p w:rsidR="000938C1" w:rsidRPr="00BF0774" w:rsidRDefault="000938C1" w:rsidP="00A94963">
      <w:r w:rsidRPr="00BF0774">
        <w:t>ЕИП – Европейско икономическо пространство</w:t>
      </w:r>
    </w:p>
    <w:p w:rsidR="000938C1" w:rsidRPr="00BF0774" w:rsidRDefault="000938C1" w:rsidP="002516EA">
      <w:r w:rsidRPr="00BF0774">
        <w:t>ЕФ – европейски фондове</w:t>
      </w:r>
    </w:p>
    <w:p w:rsidR="000938C1" w:rsidRPr="00BF0774" w:rsidRDefault="000938C1" w:rsidP="002516EA">
      <w:r w:rsidRPr="00BF0774">
        <w:t>ЗДБРБ – Закон за държавния бюджет на Република България</w:t>
      </w:r>
    </w:p>
    <w:p w:rsidR="000938C1" w:rsidRPr="00BF0774" w:rsidRDefault="000938C1" w:rsidP="002516EA">
      <w:r w:rsidRPr="00BF0774">
        <w:t>ЗДДС – Закон за данък върху добавената стойност</w:t>
      </w:r>
    </w:p>
    <w:p w:rsidR="000938C1" w:rsidRPr="00BF0774" w:rsidRDefault="000938C1" w:rsidP="002516EA">
      <w:r w:rsidRPr="00BF0774">
        <w:t>ЗДДФЛ – Закон за данъците върху доходите на физическите лица</w:t>
      </w:r>
    </w:p>
    <w:p w:rsidR="000938C1" w:rsidRPr="00BF0774" w:rsidRDefault="000938C1" w:rsidP="002516EA">
      <w:r w:rsidRPr="00BF0774">
        <w:t>ЗИД – Закон за изменение и допълнение</w:t>
      </w:r>
    </w:p>
    <w:p w:rsidR="000938C1" w:rsidRPr="00BF0774" w:rsidRDefault="000938C1" w:rsidP="002516EA">
      <w:r w:rsidRPr="00BF0774">
        <w:t>ЗКПО – Закон за корпоративното подоходно облагане</w:t>
      </w:r>
    </w:p>
    <w:p w:rsidR="000938C1" w:rsidRDefault="000938C1" w:rsidP="002516EA">
      <w:r w:rsidRPr="00BF0774">
        <w:t>ЗМДТ – Закон за местните данъци и такси</w:t>
      </w:r>
    </w:p>
    <w:p w:rsidR="000938C1" w:rsidRPr="000C2DD7" w:rsidRDefault="000938C1" w:rsidP="000C2DD7">
      <w:r w:rsidRPr="000C2DD7">
        <w:t xml:space="preserve">ЗУО </w:t>
      </w:r>
      <w:r w:rsidRPr="00BF0774">
        <w:t xml:space="preserve">– </w:t>
      </w:r>
      <w:r w:rsidRPr="000C2DD7">
        <w:rPr>
          <w:iCs/>
        </w:rPr>
        <w:t>Закон за управление на отпадъци</w:t>
      </w:r>
    </w:p>
    <w:p w:rsidR="000938C1" w:rsidRPr="00BF0774" w:rsidRDefault="000938C1" w:rsidP="002516EA">
      <w:r w:rsidRPr="00BF0774">
        <w:t xml:space="preserve">ИПЦ – индекс на потребителските цени </w:t>
      </w:r>
    </w:p>
    <w:p w:rsidR="000938C1" w:rsidRPr="00BF0774" w:rsidRDefault="000938C1" w:rsidP="002516EA">
      <w:r w:rsidRPr="00BF0774">
        <w:t>ИСПА – Инструмент на структурните политики за присъединяване</w:t>
      </w:r>
    </w:p>
    <w:p w:rsidR="000938C1" w:rsidRPr="00BF0774" w:rsidRDefault="000938C1" w:rsidP="00513975">
      <w:r w:rsidRPr="00BF0774">
        <w:t>ИА – Изпълнителна агенция</w:t>
      </w:r>
    </w:p>
    <w:p w:rsidR="000938C1" w:rsidRPr="00BF0774" w:rsidRDefault="000938C1" w:rsidP="00513975">
      <w:r w:rsidRPr="00BF0774">
        <w:t>ИПП – Инструмент за предприсъединителна помощ</w:t>
      </w:r>
    </w:p>
    <w:p w:rsidR="000938C1" w:rsidRPr="00BF0774" w:rsidRDefault="000938C1" w:rsidP="006E1D59">
      <w:r w:rsidRPr="00BF0774">
        <w:t>КРС – Комисия за регулиране на съобщенията</w:t>
      </w:r>
    </w:p>
    <w:p w:rsidR="000938C1" w:rsidRPr="00BF0774" w:rsidRDefault="000938C1" w:rsidP="006E1D59">
      <w:r w:rsidRPr="00BF0774">
        <w:t>КСО – Кодекс за социално осигуряване</w:t>
      </w:r>
    </w:p>
    <w:p w:rsidR="000938C1" w:rsidRPr="00BF0774" w:rsidRDefault="000938C1" w:rsidP="00443121">
      <w:r w:rsidRPr="00BF0774">
        <w:t>КФП – Консолидирана фискална програма</w:t>
      </w:r>
    </w:p>
    <w:p w:rsidR="000938C1" w:rsidRPr="00BF0774" w:rsidRDefault="000938C1" w:rsidP="006E1D59">
      <w:r w:rsidRPr="00BF0774">
        <w:t>МБВР – Международна банка за възстановяване и развитие</w:t>
      </w:r>
    </w:p>
    <w:p w:rsidR="000938C1" w:rsidRPr="00BF0774" w:rsidRDefault="000938C1" w:rsidP="006E1D59">
      <w:r w:rsidRPr="00BF0774">
        <w:t>МВР – Министерство на вътрешните работи</w:t>
      </w:r>
    </w:p>
    <w:p w:rsidR="000938C1" w:rsidRPr="00BF0774" w:rsidRDefault="000938C1" w:rsidP="006E1D59">
      <w:r w:rsidRPr="00BF0774">
        <w:t>МВнР – Министерство на външните работи</w:t>
      </w:r>
    </w:p>
    <w:p w:rsidR="000938C1" w:rsidRPr="00BF0774" w:rsidRDefault="000938C1" w:rsidP="006E1D59">
      <w:r w:rsidRPr="00BF0774">
        <w:t>МВФ – Международен валутен фонд</w:t>
      </w:r>
    </w:p>
    <w:p w:rsidR="000938C1" w:rsidRPr="00BF0774" w:rsidRDefault="000938C1" w:rsidP="006E1D59">
      <w:r w:rsidRPr="00BF0774">
        <w:t>МЗ – Министерство на здравеопазването</w:t>
      </w:r>
    </w:p>
    <w:p w:rsidR="000938C1" w:rsidRPr="00BF0774" w:rsidRDefault="000938C1" w:rsidP="006E1D59">
      <w:r w:rsidRPr="00BF0774">
        <w:t>МЗХ – Министерство на земеделието и храните</w:t>
      </w:r>
    </w:p>
    <w:p w:rsidR="000938C1" w:rsidRDefault="000938C1" w:rsidP="006E1D59">
      <w:r w:rsidRPr="00BF0774">
        <w:t>МИЕ – Министерство на икономиката и енергетиката</w:t>
      </w:r>
    </w:p>
    <w:p w:rsidR="000938C1" w:rsidRPr="006C2C34" w:rsidRDefault="000938C1" w:rsidP="006C2C34">
      <w:r w:rsidRPr="006C2C34">
        <w:t>МИП – Министерство на инвестиционното проектиране</w:t>
      </w:r>
    </w:p>
    <w:p w:rsidR="000938C1" w:rsidRPr="00BF0774" w:rsidRDefault="000938C1" w:rsidP="006E1D59">
      <w:r w:rsidRPr="00BF0774">
        <w:t>МК – Министерство на културата</w:t>
      </w:r>
    </w:p>
    <w:p w:rsidR="000938C1" w:rsidRPr="00BF0774" w:rsidRDefault="000938C1" w:rsidP="006E1D59">
      <w:r w:rsidRPr="00BF0774">
        <w:t>МО – Министерство на отбраната</w:t>
      </w:r>
    </w:p>
    <w:p w:rsidR="000938C1" w:rsidRPr="00B1111C" w:rsidRDefault="000938C1" w:rsidP="006E1D59">
      <w:r w:rsidRPr="00B1111C">
        <w:t>МОН – Министерство на образованието и науката</w:t>
      </w:r>
    </w:p>
    <w:p w:rsidR="000938C1" w:rsidRPr="00B1111C" w:rsidRDefault="000938C1" w:rsidP="006E1D59">
      <w:r w:rsidRPr="00B1111C">
        <w:t>МОСВ – Министерство на околната среда и водите</w:t>
      </w:r>
    </w:p>
    <w:p w:rsidR="000938C1" w:rsidRPr="00B1111C" w:rsidRDefault="000938C1" w:rsidP="006E1D59">
      <w:r w:rsidRPr="00B1111C">
        <w:t>МП – Министерство на правосъдието</w:t>
      </w:r>
    </w:p>
    <w:p w:rsidR="000938C1" w:rsidRPr="00B1111C" w:rsidRDefault="000938C1" w:rsidP="006E1D59">
      <w:r w:rsidRPr="00B1111C">
        <w:t xml:space="preserve">МРР – Министерство на регионалното развитие </w:t>
      </w:r>
    </w:p>
    <w:p w:rsidR="000938C1" w:rsidRPr="00B1111C" w:rsidRDefault="000938C1" w:rsidP="006E1D59">
      <w:r w:rsidRPr="00B1111C">
        <w:t>МС – Министерски съвет</w:t>
      </w:r>
    </w:p>
    <w:p w:rsidR="000938C1" w:rsidRPr="00B1111C" w:rsidRDefault="000938C1" w:rsidP="006E1D59">
      <w:r w:rsidRPr="00B1111C">
        <w:t>МТИТС – Министерство на транспорта, информационните технологии и съобщенията</w:t>
      </w:r>
    </w:p>
    <w:p w:rsidR="000938C1" w:rsidRPr="00B1111C" w:rsidRDefault="000938C1" w:rsidP="006E1D59">
      <w:r w:rsidRPr="00B1111C">
        <w:t>МТСП – Министерство на труда и социалната политика</w:t>
      </w:r>
    </w:p>
    <w:p w:rsidR="000938C1" w:rsidRPr="008D0DE2" w:rsidRDefault="000938C1" w:rsidP="006E1D59">
      <w:r w:rsidRPr="008D0DE2">
        <w:t>МФ – Министерство на финансите</w:t>
      </w:r>
    </w:p>
    <w:p w:rsidR="000938C1" w:rsidRPr="002412EF" w:rsidRDefault="000938C1" w:rsidP="006E1D59">
      <w:r w:rsidRPr="002412EF">
        <w:t>ММС – Министерство на младежта и спорта</w:t>
      </w:r>
    </w:p>
    <w:p w:rsidR="000938C1" w:rsidRPr="008D0DE2" w:rsidRDefault="000938C1" w:rsidP="006E1D59">
      <w:r w:rsidRPr="008D0DE2">
        <w:t>НАП – Национална агенция за приходите</w:t>
      </w:r>
    </w:p>
    <w:p w:rsidR="000938C1" w:rsidRPr="008D0DE2" w:rsidRDefault="000938C1" w:rsidP="006E1D59">
      <w:r w:rsidRPr="008D0DE2">
        <w:t>АПИ –Агенция „Пътна инфраструктура”</w:t>
      </w:r>
    </w:p>
    <w:p w:rsidR="000938C1" w:rsidRPr="008D0DE2" w:rsidRDefault="000938C1" w:rsidP="006E1D59">
      <w:r w:rsidRPr="008D0DE2">
        <w:t>НАТО – Организация на Северноатлантическия договор</w:t>
      </w:r>
    </w:p>
    <w:p w:rsidR="000938C1" w:rsidRPr="00DF2A6C" w:rsidRDefault="000938C1" w:rsidP="007F3C4F">
      <w:pPr>
        <w:jc w:val="both"/>
      </w:pPr>
      <w:r w:rsidRPr="00DF2A6C">
        <w:t>НДЖ1 – схема за национални доплащания за говеда, необвързани с производството</w:t>
      </w:r>
    </w:p>
    <w:p w:rsidR="000938C1" w:rsidRPr="00DF2A6C" w:rsidRDefault="000938C1" w:rsidP="007F3C4F">
      <w:pPr>
        <w:jc w:val="both"/>
      </w:pPr>
      <w:r w:rsidRPr="00DF2A6C">
        <w:t>НДЖ3 – схема за национални доплащания за овце майки и кози майки, обвързана с производството</w:t>
      </w:r>
    </w:p>
    <w:p w:rsidR="000938C1" w:rsidRPr="00DF2A6C" w:rsidRDefault="000938C1" w:rsidP="007F3C4F">
      <w:pPr>
        <w:jc w:val="both"/>
      </w:pPr>
      <w:r w:rsidRPr="00DF2A6C">
        <w:t>НДЖ4 – схема за отглеждане на овце майки и кози майки в икономически уязвими общини в Южна България</w:t>
      </w:r>
    </w:p>
    <w:p w:rsidR="000938C1" w:rsidRPr="00DF2A6C" w:rsidRDefault="000938C1" w:rsidP="007F3C4F">
      <w:pPr>
        <w:jc w:val="both"/>
      </w:pPr>
      <w:r w:rsidRPr="00DF2A6C">
        <w:t>НДЖ5 - схема за отглеждане на овце майки и кози майки в необлагодетелстваните райони</w:t>
      </w:r>
    </w:p>
    <w:p w:rsidR="000938C1" w:rsidRPr="00DF2A6C" w:rsidRDefault="000938C1" w:rsidP="007F3C4F">
      <w:pPr>
        <w:jc w:val="both"/>
      </w:pPr>
      <w:r w:rsidRPr="00DF2A6C">
        <w:t>НДК – схема за национални доплащания за крави с бозаещи телета, обвързана с производството</w:t>
      </w:r>
    </w:p>
    <w:p w:rsidR="000938C1" w:rsidRPr="00DF2A6C" w:rsidRDefault="000938C1" w:rsidP="007F3C4F">
      <w:pPr>
        <w:jc w:val="both"/>
      </w:pPr>
      <w:r w:rsidRPr="00DF2A6C">
        <w:t>НДКМ1 – схема за поддържане на производството на краве мляко и икономически уязвими ферми, обвързана с производството</w:t>
      </w:r>
    </w:p>
    <w:p w:rsidR="000938C1" w:rsidRPr="00DF2A6C" w:rsidRDefault="000938C1" w:rsidP="007F3C4F">
      <w:pPr>
        <w:jc w:val="both"/>
      </w:pPr>
      <w:r w:rsidRPr="00DF2A6C">
        <w:t>НДКМ2 – схема за поддържане на производството на краве мляко в необлагодетелстваните райони</w:t>
      </w:r>
    </w:p>
    <w:p w:rsidR="000938C1" w:rsidRDefault="000938C1" w:rsidP="007F3C4F">
      <w:pPr>
        <w:jc w:val="both"/>
      </w:pPr>
      <w:r w:rsidRPr="00DF2A6C">
        <w:t>НДКМ3 – схема за поддържане на производството на краве мляко в нитратно уязвимите райони</w:t>
      </w:r>
    </w:p>
    <w:p w:rsidR="000938C1" w:rsidRPr="000F39AE" w:rsidRDefault="000938C1" w:rsidP="007F3C4F">
      <w:pPr>
        <w:jc w:val="both"/>
      </w:pPr>
      <w:r w:rsidRPr="000F39AE">
        <w:t>НДТ –схема за национални доплащания на тютюн</w:t>
      </w:r>
    </w:p>
    <w:p w:rsidR="000938C1" w:rsidRPr="000F39AE" w:rsidRDefault="000938C1" w:rsidP="006E1D59">
      <w:r w:rsidRPr="000F39AE">
        <w:t>НЗОК – Национална здравноосигурителна каса</w:t>
      </w:r>
    </w:p>
    <w:p w:rsidR="000938C1" w:rsidRPr="000F39AE" w:rsidRDefault="000938C1" w:rsidP="00443121">
      <w:r w:rsidRPr="000F39AE">
        <w:t>НК ”ЖИ” – Национална компания „Железопътна инфраструктура”</w:t>
      </w:r>
    </w:p>
    <w:p w:rsidR="000938C1" w:rsidRPr="000F39AE" w:rsidRDefault="000938C1" w:rsidP="00443121">
      <w:r w:rsidRPr="000F39AE">
        <w:t>НОИ – Национален осигурителен институт</w:t>
      </w:r>
    </w:p>
    <w:p w:rsidR="000938C1" w:rsidRPr="000F39AE" w:rsidRDefault="000938C1" w:rsidP="006E1D59">
      <w:r w:rsidRPr="000F39AE">
        <w:t>НС – Народно събрание</w:t>
      </w:r>
    </w:p>
    <w:p w:rsidR="000938C1" w:rsidRPr="000F39AE" w:rsidRDefault="000938C1" w:rsidP="006E1D59">
      <w:r w:rsidRPr="000F39AE">
        <w:t>НСИ – Национален статистически институт</w:t>
      </w:r>
    </w:p>
    <w:p w:rsidR="000938C1" w:rsidRPr="00DF2A6C" w:rsidRDefault="000938C1" w:rsidP="006E1D59">
      <w:r w:rsidRPr="00DF2A6C">
        <w:t>НР1 – плащания на земеделски стопани в райони за природни ограничения в планинските райони</w:t>
      </w:r>
    </w:p>
    <w:p w:rsidR="000938C1" w:rsidRPr="000F39AE" w:rsidRDefault="000938C1" w:rsidP="006E1D59">
      <w:r w:rsidRPr="00DF2A6C">
        <w:t xml:space="preserve">НР2 - плащания на земеделски стопани в райони с ограничения, различни от планинските </w:t>
      </w:r>
      <w:r w:rsidRPr="000F39AE">
        <w:t>райони</w:t>
      </w:r>
    </w:p>
    <w:p w:rsidR="000938C1" w:rsidRPr="000F39AE" w:rsidRDefault="000938C1" w:rsidP="006E1D59">
      <w:r w:rsidRPr="000F39AE">
        <w:t>НРС – Национална разузнавателна служба</w:t>
      </w:r>
    </w:p>
    <w:p w:rsidR="000938C1" w:rsidRPr="000F39AE" w:rsidRDefault="000938C1" w:rsidP="006E1D59">
      <w:r w:rsidRPr="000F39AE">
        <w:t>НСО – Национална служба за охрана</w:t>
      </w:r>
    </w:p>
    <w:p w:rsidR="000938C1" w:rsidRPr="000F39AE" w:rsidRDefault="000938C1" w:rsidP="006E1D59">
      <w:r w:rsidRPr="000F39AE">
        <w:t xml:space="preserve">НСОРБ – Национално сдружение на общините в Република България </w:t>
      </w:r>
    </w:p>
    <w:p w:rsidR="000938C1" w:rsidRPr="000F39AE" w:rsidRDefault="000938C1" w:rsidP="004B53AD">
      <w:r w:rsidRPr="000F39AE">
        <w:t>НФ – Национален фонд</w:t>
      </w:r>
    </w:p>
    <w:p w:rsidR="000938C1" w:rsidRPr="000F39AE" w:rsidRDefault="000938C1" w:rsidP="004B53AD">
      <w:r w:rsidRPr="000F39AE">
        <w:t>ОП – Оперативна програма</w:t>
      </w:r>
    </w:p>
    <w:p w:rsidR="000938C1" w:rsidRPr="000F39AE" w:rsidRDefault="000938C1" w:rsidP="006E1D59">
      <w:r w:rsidRPr="000F39AE">
        <w:t>ПЗР – преходни и заключителни разпоредби</w:t>
      </w:r>
    </w:p>
    <w:p w:rsidR="000938C1" w:rsidRPr="000F39AE" w:rsidRDefault="000938C1" w:rsidP="006E1D59">
      <w:r w:rsidRPr="000F39AE">
        <w:t>ПРБК – първостепенни разпоредители с бюджетни кредити</w:t>
      </w:r>
    </w:p>
    <w:p w:rsidR="000938C1" w:rsidRPr="000F39AE" w:rsidRDefault="000938C1" w:rsidP="006E1D59">
      <w:r w:rsidRPr="000F39AE">
        <w:t>п.п. – процентни пункта</w:t>
      </w:r>
    </w:p>
    <w:p w:rsidR="000938C1" w:rsidRPr="000F39AE" w:rsidRDefault="000938C1" w:rsidP="006E1D59">
      <w:r w:rsidRPr="000F39AE">
        <w:t>ПП – програмен продукт</w:t>
      </w:r>
    </w:p>
    <w:p w:rsidR="000938C1" w:rsidRPr="000F39AE" w:rsidRDefault="000938C1" w:rsidP="00AC4E6C">
      <w:r w:rsidRPr="000F39AE">
        <w:t>ПУДООС – Предприятие за управление на дейностите по опазване на околната среда</w:t>
      </w:r>
    </w:p>
    <w:p w:rsidR="000938C1" w:rsidRPr="000F39AE" w:rsidRDefault="000938C1" w:rsidP="006E1D59">
      <w:r w:rsidRPr="000F39AE">
        <w:t>ПЧИ – преки чуждестранни инвестиции</w:t>
      </w:r>
    </w:p>
    <w:p w:rsidR="000938C1" w:rsidRPr="000F39AE" w:rsidRDefault="000938C1" w:rsidP="00E57F18">
      <w:r w:rsidRPr="000F39AE">
        <w:t>ПФИ – Преходен финансов инструмент</w:t>
      </w:r>
    </w:p>
    <w:p w:rsidR="000938C1" w:rsidRPr="000F39AE" w:rsidRDefault="000938C1" w:rsidP="00E57F18">
      <w:r w:rsidRPr="000F39AE">
        <w:t>ПМС – Постановление на Министерския съвет</w:t>
      </w:r>
    </w:p>
    <w:p w:rsidR="000938C1" w:rsidRPr="000F39AE" w:rsidRDefault="000938C1" w:rsidP="00903354">
      <w:r w:rsidRPr="000F39AE">
        <w:t>СЕПП – Схема за единно плащане на площ</w:t>
      </w:r>
    </w:p>
    <w:p w:rsidR="000938C1" w:rsidRPr="000F39AE" w:rsidRDefault="000938C1" w:rsidP="00903354">
      <w:r w:rsidRPr="000F39AE">
        <w:t>СКФ – Структурни фондове и Кохезионен фонд</w:t>
      </w:r>
    </w:p>
    <w:p w:rsidR="000938C1" w:rsidRPr="000F39AE" w:rsidRDefault="000938C1" w:rsidP="00E57F18">
      <w:r w:rsidRPr="000F39AE">
        <w:t>СНС – система на националните сметки</w:t>
      </w:r>
    </w:p>
    <w:p w:rsidR="000938C1" w:rsidRPr="000F39AE" w:rsidRDefault="000938C1" w:rsidP="00E57F18">
      <w:r w:rsidRPr="000F39AE">
        <w:t>СНДП – Схема за национални доплащания на хектар земеделска земя</w:t>
      </w:r>
    </w:p>
    <w:p w:rsidR="000938C1" w:rsidRPr="000F39AE" w:rsidRDefault="000938C1" w:rsidP="006E1D59">
      <w:r w:rsidRPr="000F39AE">
        <w:t>СП – Сметна палата</w:t>
      </w:r>
    </w:p>
    <w:p w:rsidR="000938C1" w:rsidRPr="00132A16" w:rsidRDefault="000938C1" w:rsidP="006E1D59">
      <w:r w:rsidRPr="00132A16">
        <w:t>СППЗ – Схема за специфично подпомагане на производителите на плодове и зеленчуци</w:t>
      </w:r>
    </w:p>
    <w:p w:rsidR="000938C1" w:rsidRPr="000F39AE" w:rsidRDefault="000938C1" w:rsidP="00DA48F2">
      <w:r w:rsidRPr="000F39AE">
        <w:t>УО – Управляващ орган</w:t>
      </w:r>
    </w:p>
    <w:p w:rsidR="000938C1" w:rsidRPr="000F39AE" w:rsidRDefault="000938C1" w:rsidP="002D0F3E">
      <w:r w:rsidRPr="000F39AE">
        <w:t>УПФ – Учителски пенсионен фонд</w:t>
      </w:r>
    </w:p>
    <w:p w:rsidR="000938C1" w:rsidRPr="000F39AE" w:rsidRDefault="000938C1" w:rsidP="006E1D59">
      <w:r w:rsidRPr="000F39AE">
        <w:t>ФГВРС –  Фонд „Гарантирани вземания на работниците и служителите”</w:t>
      </w:r>
    </w:p>
    <w:p w:rsidR="000938C1" w:rsidRPr="000F39AE" w:rsidRDefault="000938C1" w:rsidP="00460129">
      <w:pPr>
        <w:ind w:right="-108"/>
      </w:pPr>
      <w:r w:rsidRPr="000F39AE">
        <w:t>ФПРПСК– Фонд за покриване на разходите за приватизация към Агенцията за приватизация и следприватизационен контрол</w:t>
      </w:r>
    </w:p>
    <w:p w:rsidR="000938C1" w:rsidRPr="000F39AE" w:rsidRDefault="000938C1" w:rsidP="00480384">
      <w:pPr>
        <w:ind w:right="-108"/>
        <w:rPr>
          <w:lang w:val="ru-RU"/>
        </w:rPr>
      </w:pPr>
      <w:r w:rsidRPr="000F39AE">
        <w:t>ФМ на ЕИП – Финансов механизъм на Европейско икономическо пространство</w:t>
      </w:r>
    </w:p>
    <w:p w:rsidR="000938C1" w:rsidRPr="000F39AE" w:rsidRDefault="000938C1" w:rsidP="00480384">
      <w:pPr>
        <w:ind w:right="-108"/>
      </w:pPr>
      <w:r w:rsidRPr="000F39AE">
        <w:t>ХИПЦ – Хармонизиран индекс на потребителските цени</w:t>
      </w:r>
    </w:p>
    <w:p w:rsidR="000938C1" w:rsidRPr="000F39AE" w:rsidRDefault="000938C1" w:rsidP="006E1D59">
      <w:r w:rsidRPr="000F39AE">
        <w:t>ЦБ – Централен бюджет</w:t>
      </w:r>
    </w:p>
    <w:p w:rsidR="000938C1" w:rsidRPr="008F6E60" w:rsidRDefault="000938C1" w:rsidP="006E1D59">
      <w:r w:rsidRPr="00CF1A14">
        <w:rPr>
          <w:color w:val="0070C0"/>
          <w:lang w:val="ru-RU"/>
        </w:rPr>
        <w:tab/>
      </w:r>
      <w:r w:rsidRPr="00CF1A14">
        <w:rPr>
          <w:color w:val="0070C0"/>
          <w:lang w:val="ru-RU"/>
        </w:rPr>
        <w:tab/>
      </w:r>
      <w:r w:rsidRPr="00CF1A14">
        <w:rPr>
          <w:color w:val="0070C0"/>
        </w:rPr>
        <w:br w:type="page"/>
      </w:r>
    </w:p>
    <w:p w:rsidR="000938C1" w:rsidRPr="008F6E60" w:rsidRDefault="000938C1" w:rsidP="006E1D59">
      <w:pPr>
        <w:rPr>
          <w:sz w:val="2"/>
          <w:szCs w:val="2"/>
        </w:rPr>
      </w:pPr>
    </w:p>
    <w:p w:rsidR="000938C1" w:rsidRPr="008F6E60" w:rsidRDefault="000938C1" w:rsidP="00964429">
      <w:pPr>
        <w:pStyle w:val="Heading1"/>
      </w:pPr>
      <w:bookmarkStart w:id="8" w:name="_Toc261276549"/>
      <w:bookmarkStart w:id="9" w:name="_Toc324863380"/>
      <w:bookmarkStart w:id="10" w:name="_Toc393728039"/>
      <w:r w:rsidRPr="008F6E60">
        <w:t>I. АНАЛИЗ НА ОСНОВНИТЕ МАКРОИКОНОМИЧЕСКИ ПОКАЗАТЕЛИ И ТЕНДЕНЦИИ В РАЗВИТИЕТО НА ВЪНШНАТА И ВЪТРЕШНАТА ИКОНОМИЧЕСКА СРЕДА ПРЕЗ 2013 г.</w:t>
      </w:r>
      <w:bookmarkEnd w:id="3"/>
      <w:bookmarkEnd w:id="8"/>
      <w:bookmarkEnd w:id="9"/>
      <w:bookmarkEnd w:id="10"/>
    </w:p>
    <w:p w:rsidR="000938C1" w:rsidRPr="00CF1A14" w:rsidRDefault="000938C1" w:rsidP="00964429">
      <w:pPr>
        <w:spacing w:after="120"/>
        <w:ind w:firstLine="709"/>
        <w:jc w:val="both"/>
        <w:rPr>
          <w:color w:val="0070C0"/>
          <w:sz w:val="16"/>
          <w:szCs w:val="16"/>
        </w:rPr>
      </w:pPr>
    </w:p>
    <w:p w:rsidR="000938C1" w:rsidRPr="008F6E60" w:rsidRDefault="000938C1" w:rsidP="008F6E60">
      <w:pPr>
        <w:spacing w:before="120" w:after="120"/>
        <w:ind w:firstLine="709"/>
        <w:jc w:val="both"/>
        <w:outlineLvl w:val="3"/>
        <w:rPr>
          <w:bCs/>
        </w:rPr>
      </w:pPr>
      <w:r w:rsidRPr="008F6E60">
        <w:rPr>
          <w:bCs/>
        </w:rPr>
        <w:t>Растежът на световната икономика набра скорост през втората половина на 2013 г. Най-голям принос за отчетеното ускорение имаха страните с развита икономика, където засилването на активността бе подкрепено от подобрението на финансовите условия и п</w:t>
      </w:r>
      <w:r>
        <w:rPr>
          <w:bCs/>
        </w:rPr>
        <w:t>р</w:t>
      </w:r>
      <w:r w:rsidRPr="008F6E60">
        <w:rPr>
          <w:bCs/>
        </w:rPr>
        <w:t>овежданата монетарна политика.</w:t>
      </w:r>
    </w:p>
    <w:p w:rsidR="000938C1" w:rsidRPr="008F6E60" w:rsidRDefault="000938C1" w:rsidP="008F6E60">
      <w:pPr>
        <w:spacing w:after="120"/>
        <w:ind w:firstLine="709"/>
        <w:jc w:val="both"/>
        <w:outlineLvl w:val="3"/>
      </w:pPr>
      <w:r w:rsidRPr="008F6E60">
        <w:t>След забавяне в началото на годината, американската икономика постепенно ускори темпа си на нарастване и през втората половина на 2013 г. дори надмина очакванията, като даде значителен импулс за глобалната икономическа активност. Положителното развитие б</w:t>
      </w:r>
      <w:r>
        <w:t>е в</w:t>
      </w:r>
      <w:r w:rsidRPr="008F6E60">
        <w:t xml:space="preserve"> резултат </w:t>
      </w:r>
      <w:r>
        <w:t>на</w:t>
      </w:r>
      <w:r w:rsidRPr="008F6E60">
        <w:t xml:space="preserve"> силния растеж на износа и вътрешното търсене, както и повишението на запасите. Активността бе подкрепена също </w:t>
      </w:r>
      <w:r>
        <w:t xml:space="preserve">така </w:t>
      </w:r>
      <w:r w:rsidRPr="008F6E60">
        <w:t>от възстановяването на сектора на недвижимите имоти, подобреното благосъстояние на домакинствата и облекчените условия за кредитиране. По-умерената фискална консолидация също допринесе в тази посока.</w:t>
      </w:r>
    </w:p>
    <w:p w:rsidR="000938C1" w:rsidRPr="008F6E60" w:rsidRDefault="000938C1" w:rsidP="008F6E60">
      <w:pPr>
        <w:spacing w:before="120" w:after="120"/>
        <w:jc w:val="center"/>
        <w:outlineLvl w:val="3"/>
        <w:rPr>
          <w:b/>
          <w:bCs/>
          <w:i/>
          <w:noProof/>
        </w:rPr>
      </w:pPr>
      <w:r w:rsidRPr="008F6E60">
        <w:rPr>
          <w:b/>
          <w:bCs/>
          <w:i/>
          <w:noProof/>
        </w:rPr>
        <w:t xml:space="preserve">Реален растеж на БВП (в %) на годишна база </w:t>
      </w:r>
    </w:p>
    <w:tbl>
      <w:tblPr>
        <w:tblW w:w="8236" w:type="dxa"/>
        <w:jc w:val="center"/>
        <w:tblInd w:w="51" w:type="dxa"/>
        <w:tblLayout w:type="fixed"/>
        <w:tblCellMar>
          <w:left w:w="70" w:type="dxa"/>
          <w:right w:w="70" w:type="dxa"/>
        </w:tblCellMar>
        <w:tblLook w:val="0000"/>
      </w:tblPr>
      <w:tblGrid>
        <w:gridCol w:w="1742"/>
        <w:gridCol w:w="848"/>
        <w:gridCol w:w="941"/>
        <w:gridCol w:w="941"/>
        <w:gridCol w:w="941"/>
        <w:gridCol w:w="941"/>
        <w:gridCol w:w="941"/>
        <w:gridCol w:w="941"/>
      </w:tblGrid>
      <w:tr w:rsidR="000938C1" w:rsidRPr="008F6E60" w:rsidTr="00246730">
        <w:trPr>
          <w:trHeight w:val="274"/>
          <w:jc w:val="center"/>
        </w:trPr>
        <w:tc>
          <w:tcPr>
            <w:tcW w:w="1742" w:type="dxa"/>
            <w:tcBorders>
              <w:top w:val="thinThickSmallGap" w:sz="12" w:space="0" w:color="800000"/>
              <w:left w:val="thinThickSmallGap" w:sz="12" w:space="0" w:color="800000"/>
              <w:bottom w:val="single" w:sz="8" w:space="0" w:color="FFFFFF"/>
              <w:right w:val="single" w:sz="8" w:space="0" w:color="FFFFFF"/>
            </w:tcBorders>
            <w:shd w:val="clear" w:color="auto" w:fill="800000"/>
            <w:vAlign w:val="center"/>
          </w:tcPr>
          <w:p w:rsidR="000938C1" w:rsidRPr="008F6E60" w:rsidRDefault="000938C1" w:rsidP="008F6E60">
            <w:pPr>
              <w:jc w:val="center"/>
              <w:rPr>
                <w:b/>
                <w:sz w:val="20"/>
                <w:szCs w:val="20"/>
              </w:rPr>
            </w:pPr>
          </w:p>
        </w:tc>
        <w:tc>
          <w:tcPr>
            <w:tcW w:w="848"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0938C1" w:rsidRPr="008F6E60" w:rsidRDefault="000938C1" w:rsidP="008F6E60">
            <w:pPr>
              <w:jc w:val="center"/>
              <w:rPr>
                <w:b/>
                <w:noProof/>
                <w:snapToGrid w:val="0"/>
                <w:sz w:val="20"/>
                <w:szCs w:val="20"/>
              </w:rPr>
            </w:pPr>
            <w:r w:rsidRPr="008F6E60">
              <w:rPr>
                <w:b/>
                <w:noProof/>
                <w:snapToGrid w:val="0"/>
                <w:sz w:val="20"/>
                <w:szCs w:val="20"/>
              </w:rPr>
              <w:t>IV.2012</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0938C1" w:rsidRPr="008F6E60" w:rsidRDefault="000938C1" w:rsidP="008F6E60">
            <w:pPr>
              <w:jc w:val="center"/>
              <w:rPr>
                <w:b/>
                <w:noProof/>
                <w:snapToGrid w:val="0"/>
                <w:sz w:val="20"/>
                <w:szCs w:val="20"/>
              </w:rPr>
            </w:pPr>
            <w:r w:rsidRPr="008F6E60">
              <w:rPr>
                <w:b/>
                <w:noProof/>
                <w:snapToGrid w:val="0"/>
                <w:sz w:val="20"/>
                <w:szCs w:val="20"/>
              </w:rPr>
              <w:t>2012</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0938C1" w:rsidRPr="008F6E60" w:rsidRDefault="000938C1" w:rsidP="008F6E60">
            <w:pPr>
              <w:jc w:val="center"/>
              <w:rPr>
                <w:b/>
                <w:noProof/>
                <w:snapToGrid w:val="0"/>
                <w:sz w:val="20"/>
                <w:szCs w:val="20"/>
              </w:rPr>
            </w:pPr>
            <w:r w:rsidRPr="008F6E60">
              <w:rPr>
                <w:b/>
                <w:noProof/>
                <w:snapToGrid w:val="0"/>
                <w:sz w:val="20"/>
                <w:szCs w:val="20"/>
              </w:rPr>
              <w:t>I.2013</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0938C1" w:rsidRPr="008F6E60" w:rsidRDefault="000938C1" w:rsidP="008F6E60">
            <w:pPr>
              <w:jc w:val="center"/>
              <w:rPr>
                <w:b/>
                <w:noProof/>
                <w:snapToGrid w:val="0"/>
                <w:sz w:val="20"/>
                <w:szCs w:val="20"/>
              </w:rPr>
            </w:pPr>
            <w:r w:rsidRPr="008F6E60">
              <w:rPr>
                <w:b/>
                <w:noProof/>
                <w:snapToGrid w:val="0"/>
                <w:sz w:val="20"/>
                <w:szCs w:val="20"/>
              </w:rPr>
              <w:t>II.2013</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0938C1" w:rsidRPr="008F6E60" w:rsidRDefault="000938C1" w:rsidP="008F6E60">
            <w:pPr>
              <w:jc w:val="center"/>
              <w:rPr>
                <w:b/>
                <w:noProof/>
                <w:snapToGrid w:val="0"/>
                <w:sz w:val="20"/>
                <w:szCs w:val="20"/>
              </w:rPr>
            </w:pPr>
            <w:r w:rsidRPr="008F6E60">
              <w:rPr>
                <w:b/>
                <w:noProof/>
                <w:snapToGrid w:val="0"/>
                <w:sz w:val="20"/>
                <w:szCs w:val="20"/>
              </w:rPr>
              <w:t>III.2013</w:t>
            </w:r>
          </w:p>
        </w:tc>
        <w:tc>
          <w:tcPr>
            <w:tcW w:w="941"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0938C1" w:rsidRPr="008F6E60" w:rsidRDefault="000938C1" w:rsidP="008F6E60">
            <w:pPr>
              <w:jc w:val="center"/>
              <w:rPr>
                <w:b/>
                <w:noProof/>
                <w:snapToGrid w:val="0"/>
                <w:sz w:val="20"/>
                <w:szCs w:val="20"/>
              </w:rPr>
            </w:pPr>
            <w:r w:rsidRPr="008F6E60">
              <w:rPr>
                <w:b/>
                <w:noProof/>
                <w:snapToGrid w:val="0"/>
                <w:sz w:val="20"/>
                <w:szCs w:val="20"/>
              </w:rPr>
              <w:t>IV.2013</w:t>
            </w:r>
          </w:p>
        </w:tc>
        <w:tc>
          <w:tcPr>
            <w:tcW w:w="941" w:type="dxa"/>
            <w:tcBorders>
              <w:top w:val="thinThickSmallGap" w:sz="12" w:space="0" w:color="800000"/>
              <w:left w:val="single" w:sz="8" w:space="0" w:color="FFFFFF"/>
              <w:bottom w:val="single" w:sz="8" w:space="0" w:color="FFFFFF"/>
              <w:right w:val="thinThickSmallGap" w:sz="12" w:space="0" w:color="800000"/>
            </w:tcBorders>
            <w:shd w:val="clear" w:color="auto" w:fill="800000"/>
            <w:vAlign w:val="center"/>
          </w:tcPr>
          <w:p w:rsidR="000938C1" w:rsidRPr="008F6E60" w:rsidRDefault="000938C1" w:rsidP="008F6E60">
            <w:pPr>
              <w:jc w:val="center"/>
              <w:rPr>
                <w:b/>
                <w:noProof/>
                <w:snapToGrid w:val="0"/>
                <w:sz w:val="20"/>
                <w:szCs w:val="20"/>
              </w:rPr>
            </w:pPr>
            <w:r w:rsidRPr="008F6E60">
              <w:rPr>
                <w:b/>
                <w:noProof/>
                <w:snapToGrid w:val="0"/>
                <w:sz w:val="20"/>
                <w:szCs w:val="20"/>
              </w:rPr>
              <w:t>2013</w:t>
            </w:r>
          </w:p>
        </w:tc>
      </w:tr>
      <w:tr w:rsidR="000938C1" w:rsidRPr="008F6E60" w:rsidTr="00246730">
        <w:trPr>
          <w:trHeight w:val="285"/>
          <w:jc w:val="center"/>
        </w:trPr>
        <w:tc>
          <w:tcPr>
            <w:tcW w:w="1742" w:type="dxa"/>
            <w:tcBorders>
              <w:top w:val="thinThickSmallGap" w:sz="12" w:space="0" w:color="800000"/>
              <w:left w:val="thinThickSmallGap" w:sz="12" w:space="0" w:color="800000"/>
              <w:right w:val="single" w:sz="8" w:space="0" w:color="800000"/>
            </w:tcBorders>
            <w:shd w:val="clear" w:color="auto" w:fill="FFFFCC"/>
            <w:vAlign w:val="center"/>
          </w:tcPr>
          <w:p w:rsidR="000938C1" w:rsidRPr="008F6E60" w:rsidRDefault="000938C1" w:rsidP="008F6E60">
            <w:pPr>
              <w:rPr>
                <w:noProof/>
                <w:snapToGrid w:val="0"/>
                <w:sz w:val="20"/>
                <w:szCs w:val="20"/>
              </w:rPr>
            </w:pPr>
            <w:r w:rsidRPr="008F6E60">
              <w:rPr>
                <w:noProof/>
                <w:snapToGrid w:val="0"/>
                <w:sz w:val="20"/>
                <w:szCs w:val="20"/>
              </w:rPr>
              <w:t>Европейски съюз</w:t>
            </w:r>
          </w:p>
        </w:tc>
        <w:tc>
          <w:tcPr>
            <w:tcW w:w="848" w:type="dxa"/>
            <w:tcBorders>
              <w:top w:val="thinThickSmallGap" w:sz="12" w:space="0" w:color="800000"/>
              <w:left w:val="single" w:sz="8" w:space="0" w:color="800000"/>
              <w:right w:val="single" w:sz="8" w:space="0" w:color="800000"/>
            </w:tcBorders>
            <w:shd w:val="clear" w:color="auto" w:fill="FFFFCC"/>
            <w:vAlign w:val="center"/>
          </w:tcPr>
          <w:p w:rsidR="000938C1" w:rsidRPr="008F6E60" w:rsidRDefault="000938C1" w:rsidP="008F6E60">
            <w:pPr>
              <w:jc w:val="center"/>
              <w:rPr>
                <w:noProof/>
                <w:snapToGrid w:val="0"/>
                <w:sz w:val="20"/>
                <w:szCs w:val="20"/>
              </w:rPr>
            </w:pPr>
            <w:r w:rsidRPr="008F6E60">
              <w:rPr>
                <w:noProof/>
                <w:snapToGrid w:val="0"/>
                <w:sz w:val="20"/>
                <w:szCs w:val="20"/>
              </w:rPr>
              <w:t>-0</w:t>
            </w:r>
            <w:r>
              <w:rPr>
                <w:noProof/>
                <w:snapToGrid w:val="0"/>
                <w:sz w:val="20"/>
                <w:szCs w:val="20"/>
              </w:rPr>
              <w:t>,</w:t>
            </w:r>
            <w:r w:rsidRPr="008F6E60">
              <w:rPr>
                <w:noProof/>
                <w:snapToGrid w:val="0"/>
                <w:sz w:val="20"/>
                <w:szCs w:val="20"/>
              </w:rPr>
              <w:t>7</w:t>
            </w:r>
          </w:p>
        </w:tc>
        <w:tc>
          <w:tcPr>
            <w:tcW w:w="941" w:type="dxa"/>
            <w:tcBorders>
              <w:top w:val="thinThickSmallGap" w:sz="12" w:space="0" w:color="800000"/>
              <w:left w:val="single" w:sz="8" w:space="0" w:color="800000"/>
              <w:right w:val="single" w:sz="8" w:space="0" w:color="800000"/>
            </w:tcBorders>
            <w:shd w:val="clear" w:color="auto" w:fill="FFFFCC"/>
            <w:vAlign w:val="center"/>
          </w:tcPr>
          <w:p w:rsidR="000938C1" w:rsidRPr="008F6E60" w:rsidRDefault="000938C1" w:rsidP="008F6E60">
            <w:pPr>
              <w:jc w:val="center"/>
              <w:rPr>
                <w:b/>
                <w:noProof/>
                <w:snapToGrid w:val="0"/>
                <w:sz w:val="20"/>
                <w:szCs w:val="20"/>
              </w:rPr>
            </w:pPr>
            <w:r w:rsidRPr="008F6E60">
              <w:rPr>
                <w:b/>
                <w:noProof/>
                <w:snapToGrid w:val="0"/>
                <w:sz w:val="20"/>
                <w:szCs w:val="20"/>
              </w:rPr>
              <w:t>-0</w:t>
            </w:r>
            <w:r>
              <w:rPr>
                <w:b/>
                <w:noProof/>
                <w:snapToGrid w:val="0"/>
                <w:sz w:val="20"/>
                <w:szCs w:val="20"/>
              </w:rPr>
              <w:t>,</w:t>
            </w:r>
            <w:r w:rsidRPr="008F6E60">
              <w:rPr>
                <w:b/>
                <w:noProof/>
                <w:snapToGrid w:val="0"/>
                <w:sz w:val="20"/>
                <w:szCs w:val="20"/>
              </w:rPr>
              <w:t>4</w:t>
            </w:r>
          </w:p>
        </w:tc>
        <w:tc>
          <w:tcPr>
            <w:tcW w:w="941" w:type="dxa"/>
            <w:tcBorders>
              <w:top w:val="thinThickSmallGap" w:sz="12" w:space="0" w:color="800000"/>
              <w:left w:val="single" w:sz="8" w:space="0" w:color="800000"/>
              <w:right w:val="single" w:sz="8" w:space="0" w:color="800000"/>
            </w:tcBorders>
            <w:shd w:val="clear" w:color="auto" w:fill="FFFFCC"/>
            <w:vAlign w:val="center"/>
          </w:tcPr>
          <w:p w:rsidR="000938C1" w:rsidRPr="008F6E60" w:rsidRDefault="000938C1" w:rsidP="008F6E60">
            <w:pPr>
              <w:jc w:val="center"/>
              <w:rPr>
                <w:noProof/>
                <w:snapToGrid w:val="0"/>
                <w:sz w:val="20"/>
                <w:szCs w:val="20"/>
              </w:rPr>
            </w:pPr>
            <w:r w:rsidRPr="008F6E60">
              <w:rPr>
                <w:noProof/>
                <w:snapToGrid w:val="0"/>
                <w:sz w:val="20"/>
                <w:szCs w:val="20"/>
              </w:rPr>
              <w:t>-0</w:t>
            </w:r>
            <w:r>
              <w:rPr>
                <w:noProof/>
                <w:snapToGrid w:val="0"/>
                <w:sz w:val="20"/>
                <w:szCs w:val="20"/>
              </w:rPr>
              <w:t>,</w:t>
            </w:r>
            <w:r w:rsidRPr="008F6E60">
              <w:rPr>
                <w:noProof/>
                <w:snapToGrid w:val="0"/>
                <w:sz w:val="20"/>
                <w:szCs w:val="20"/>
              </w:rPr>
              <w:t>7</w:t>
            </w:r>
          </w:p>
        </w:tc>
        <w:tc>
          <w:tcPr>
            <w:tcW w:w="941" w:type="dxa"/>
            <w:tcBorders>
              <w:top w:val="thinThickSmallGap" w:sz="12" w:space="0" w:color="800000"/>
              <w:left w:val="single" w:sz="8" w:space="0" w:color="800000"/>
              <w:right w:val="single" w:sz="8" w:space="0" w:color="800000"/>
            </w:tcBorders>
            <w:shd w:val="clear" w:color="auto" w:fill="FFFFCC"/>
            <w:vAlign w:val="center"/>
          </w:tcPr>
          <w:p w:rsidR="000938C1" w:rsidRPr="008F6E60" w:rsidRDefault="000938C1" w:rsidP="008F6E60">
            <w:pPr>
              <w:jc w:val="center"/>
              <w:rPr>
                <w:noProof/>
                <w:snapToGrid w:val="0"/>
                <w:sz w:val="20"/>
                <w:szCs w:val="20"/>
              </w:rPr>
            </w:pPr>
            <w:r w:rsidRPr="008F6E60">
              <w:rPr>
                <w:noProof/>
                <w:snapToGrid w:val="0"/>
                <w:sz w:val="20"/>
                <w:szCs w:val="20"/>
              </w:rPr>
              <w:t>-0</w:t>
            </w:r>
            <w:r>
              <w:rPr>
                <w:noProof/>
                <w:snapToGrid w:val="0"/>
                <w:sz w:val="20"/>
                <w:szCs w:val="20"/>
              </w:rPr>
              <w:t>,</w:t>
            </w:r>
            <w:r w:rsidRPr="008F6E60">
              <w:rPr>
                <w:noProof/>
                <w:snapToGrid w:val="0"/>
                <w:sz w:val="20"/>
                <w:szCs w:val="20"/>
              </w:rPr>
              <w:t>1</w:t>
            </w:r>
          </w:p>
        </w:tc>
        <w:tc>
          <w:tcPr>
            <w:tcW w:w="941" w:type="dxa"/>
            <w:tcBorders>
              <w:top w:val="thinThickSmallGap" w:sz="12" w:space="0" w:color="800000"/>
              <w:left w:val="single" w:sz="8" w:space="0" w:color="800000"/>
              <w:right w:val="single" w:sz="8" w:space="0" w:color="800000"/>
            </w:tcBorders>
            <w:shd w:val="clear" w:color="auto" w:fill="FFFFCC"/>
            <w:vAlign w:val="center"/>
          </w:tcPr>
          <w:p w:rsidR="000938C1" w:rsidRPr="008F6E60" w:rsidRDefault="000938C1" w:rsidP="008F6E60">
            <w:pPr>
              <w:jc w:val="center"/>
              <w:rPr>
                <w:noProof/>
                <w:snapToGrid w:val="0"/>
                <w:sz w:val="20"/>
                <w:szCs w:val="20"/>
              </w:rPr>
            </w:pPr>
            <w:r w:rsidRPr="008F6E60">
              <w:rPr>
                <w:noProof/>
                <w:snapToGrid w:val="0"/>
                <w:sz w:val="20"/>
                <w:szCs w:val="20"/>
              </w:rPr>
              <w:t>0</w:t>
            </w:r>
            <w:r>
              <w:rPr>
                <w:noProof/>
                <w:snapToGrid w:val="0"/>
                <w:sz w:val="20"/>
                <w:szCs w:val="20"/>
              </w:rPr>
              <w:t>,</w:t>
            </w:r>
            <w:r w:rsidRPr="008F6E60">
              <w:rPr>
                <w:noProof/>
                <w:snapToGrid w:val="0"/>
                <w:sz w:val="20"/>
                <w:szCs w:val="20"/>
              </w:rPr>
              <w:t>2</w:t>
            </w:r>
          </w:p>
        </w:tc>
        <w:tc>
          <w:tcPr>
            <w:tcW w:w="941" w:type="dxa"/>
            <w:tcBorders>
              <w:top w:val="thinThickSmallGap" w:sz="12" w:space="0" w:color="800000"/>
              <w:left w:val="single" w:sz="8" w:space="0" w:color="800000"/>
              <w:right w:val="single" w:sz="8" w:space="0" w:color="800000"/>
            </w:tcBorders>
            <w:shd w:val="clear" w:color="auto" w:fill="FFFFCC"/>
            <w:vAlign w:val="center"/>
          </w:tcPr>
          <w:p w:rsidR="000938C1" w:rsidRPr="008F6E60" w:rsidRDefault="000938C1" w:rsidP="008F6E60">
            <w:pPr>
              <w:jc w:val="center"/>
              <w:rPr>
                <w:noProof/>
                <w:snapToGrid w:val="0"/>
                <w:sz w:val="20"/>
                <w:szCs w:val="20"/>
              </w:rPr>
            </w:pPr>
            <w:r w:rsidRPr="008F6E60">
              <w:rPr>
                <w:noProof/>
                <w:snapToGrid w:val="0"/>
                <w:sz w:val="20"/>
                <w:szCs w:val="20"/>
              </w:rPr>
              <w:t>1</w:t>
            </w:r>
            <w:r>
              <w:rPr>
                <w:noProof/>
                <w:snapToGrid w:val="0"/>
                <w:sz w:val="20"/>
                <w:szCs w:val="20"/>
              </w:rPr>
              <w:t>,</w:t>
            </w:r>
            <w:r w:rsidRPr="008F6E60">
              <w:rPr>
                <w:noProof/>
                <w:snapToGrid w:val="0"/>
                <w:sz w:val="20"/>
                <w:szCs w:val="20"/>
              </w:rPr>
              <w:t>0</w:t>
            </w:r>
          </w:p>
        </w:tc>
        <w:tc>
          <w:tcPr>
            <w:tcW w:w="941" w:type="dxa"/>
            <w:tcBorders>
              <w:top w:val="thinThickSmallGap" w:sz="12" w:space="0" w:color="800000"/>
              <w:left w:val="single" w:sz="8" w:space="0" w:color="800000"/>
              <w:right w:val="thinThickSmallGap" w:sz="12" w:space="0" w:color="800000"/>
            </w:tcBorders>
            <w:shd w:val="clear" w:color="auto" w:fill="FFFFCC"/>
            <w:vAlign w:val="center"/>
          </w:tcPr>
          <w:p w:rsidR="000938C1" w:rsidRPr="008F6E60" w:rsidRDefault="000938C1" w:rsidP="008F6E60">
            <w:pPr>
              <w:jc w:val="center"/>
              <w:rPr>
                <w:b/>
                <w:noProof/>
                <w:snapToGrid w:val="0"/>
                <w:sz w:val="20"/>
                <w:szCs w:val="20"/>
              </w:rPr>
            </w:pPr>
            <w:r w:rsidRPr="008F6E60">
              <w:rPr>
                <w:b/>
                <w:noProof/>
                <w:snapToGrid w:val="0"/>
                <w:sz w:val="20"/>
                <w:szCs w:val="20"/>
              </w:rPr>
              <w:t>0</w:t>
            </w:r>
            <w:r>
              <w:rPr>
                <w:b/>
                <w:noProof/>
                <w:snapToGrid w:val="0"/>
                <w:sz w:val="20"/>
                <w:szCs w:val="20"/>
              </w:rPr>
              <w:t>,</w:t>
            </w:r>
            <w:r w:rsidRPr="008F6E60">
              <w:rPr>
                <w:b/>
                <w:noProof/>
                <w:snapToGrid w:val="0"/>
                <w:sz w:val="20"/>
                <w:szCs w:val="20"/>
              </w:rPr>
              <w:t>1</w:t>
            </w:r>
          </w:p>
        </w:tc>
      </w:tr>
      <w:tr w:rsidR="000938C1" w:rsidRPr="008F6E60" w:rsidTr="00246730">
        <w:trPr>
          <w:trHeight w:val="285"/>
          <w:jc w:val="center"/>
        </w:trPr>
        <w:tc>
          <w:tcPr>
            <w:tcW w:w="1742" w:type="dxa"/>
            <w:tcBorders>
              <w:left w:val="thinThickSmallGap" w:sz="12" w:space="0" w:color="800000"/>
              <w:right w:val="single" w:sz="8" w:space="0" w:color="800000"/>
            </w:tcBorders>
            <w:shd w:val="clear" w:color="auto" w:fill="FFFFCC"/>
            <w:vAlign w:val="center"/>
          </w:tcPr>
          <w:p w:rsidR="000938C1" w:rsidRPr="008F6E60" w:rsidRDefault="000938C1" w:rsidP="008F6E60">
            <w:pPr>
              <w:rPr>
                <w:noProof/>
                <w:snapToGrid w:val="0"/>
                <w:sz w:val="20"/>
                <w:szCs w:val="20"/>
              </w:rPr>
            </w:pPr>
            <w:r w:rsidRPr="008F6E60">
              <w:rPr>
                <w:noProof/>
                <w:snapToGrid w:val="0"/>
                <w:sz w:val="20"/>
                <w:szCs w:val="20"/>
              </w:rPr>
              <w:t>Еврозона</w:t>
            </w:r>
          </w:p>
        </w:tc>
        <w:tc>
          <w:tcPr>
            <w:tcW w:w="848" w:type="dxa"/>
            <w:tcBorders>
              <w:left w:val="single" w:sz="8" w:space="0" w:color="800000"/>
              <w:right w:val="single" w:sz="8" w:space="0" w:color="800000"/>
            </w:tcBorders>
            <w:shd w:val="clear" w:color="auto" w:fill="FFFFCC"/>
            <w:vAlign w:val="center"/>
          </w:tcPr>
          <w:p w:rsidR="000938C1" w:rsidRPr="008F6E60" w:rsidRDefault="000938C1" w:rsidP="008F6E60">
            <w:pPr>
              <w:jc w:val="center"/>
              <w:rPr>
                <w:noProof/>
                <w:snapToGrid w:val="0"/>
                <w:sz w:val="20"/>
                <w:szCs w:val="20"/>
              </w:rPr>
            </w:pPr>
            <w:r w:rsidRPr="008F6E60">
              <w:rPr>
                <w:noProof/>
                <w:snapToGrid w:val="0"/>
                <w:sz w:val="20"/>
                <w:szCs w:val="20"/>
              </w:rPr>
              <w:t>-1</w:t>
            </w:r>
            <w:r>
              <w:rPr>
                <w:noProof/>
                <w:snapToGrid w:val="0"/>
                <w:sz w:val="20"/>
                <w:szCs w:val="20"/>
              </w:rPr>
              <w:t>,</w:t>
            </w:r>
            <w:r w:rsidRPr="008F6E60">
              <w:rPr>
                <w:noProof/>
                <w:snapToGrid w:val="0"/>
                <w:sz w:val="20"/>
                <w:szCs w:val="20"/>
              </w:rPr>
              <w:t>0</w:t>
            </w:r>
          </w:p>
        </w:tc>
        <w:tc>
          <w:tcPr>
            <w:tcW w:w="941" w:type="dxa"/>
            <w:tcBorders>
              <w:left w:val="single" w:sz="8" w:space="0" w:color="800000"/>
              <w:right w:val="single" w:sz="8" w:space="0" w:color="800000"/>
            </w:tcBorders>
            <w:shd w:val="clear" w:color="auto" w:fill="FFFFCC"/>
            <w:vAlign w:val="center"/>
          </w:tcPr>
          <w:p w:rsidR="000938C1" w:rsidRPr="008F6E60" w:rsidRDefault="000938C1" w:rsidP="008F6E60">
            <w:pPr>
              <w:jc w:val="center"/>
              <w:rPr>
                <w:b/>
                <w:noProof/>
                <w:snapToGrid w:val="0"/>
                <w:sz w:val="20"/>
                <w:szCs w:val="20"/>
              </w:rPr>
            </w:pPr>
            <w:r w:rsidRPr="008F6E60">
              <w:rPr>
                <w:b/>
                <w:noProof/>
                <w:snapToGrid w:val="0"/>
                <w:sz w:val="20"/>
                <w:szCs w:val="20"/>
              </w:rPr>
              <w:t>-0</w:t>
            </w:r>
            <w:r>
              <w:rPr>
                <w:b/>
                <w:noProof/>
                <w:snapToGrid w:val="0"/>
                <w:sz w:val="20"/>
                <w:szCs w:val="20"/>
              </w:rPr>
              <w:t>,</w:t>
            </w:r>
            <w:r w:rsidRPr="008F6E60">
              <w:rPr>
                <w:b/>
                <w:noProof/>
                <w:snapToGrid w:val="0"/>
                <w:sz w:val="20"/>
                <w:szCs w:val="20"/>
              </w:rPr>
              <w:t>7</w:t>
            </w:r>
          </w:p>
        </w:tc>
        <w:tc>
          <w:tcPr>
            <w:tcW w:w="941" w:type="dxa"/>
            <w:tcBorders>
              <w:left w:val="single" w:sz="8" w:space="0" w:color="800000"/>
              <w:right w:val="single" w:sz="8" w:space="0" w:color="800000"/>
            </w:tcBorders>
            <w:shd w:val="clear" w:color="auto" w:fill="FFFFCC"/>
            <w:vAlign w:val="bottom"/>
          </w:tcPr>
          <w:p w:rsidR="000938C1" w:rsidRPr="008F6E60" w:rsidRDefault="000938C1" w:rsidP="008F6E60">
            <w:pPr>
              <w:jc w:val="center"/>
              <w:rPr>
                <w:noProof/>
                <w:snapToGrid w:val="0"/>
                <w:sz w:val="20"/>
                <w:szCs w:val="20"/>
              </w:rPr>
            </w:pPr>
            <w:r w:rsidRPr="008F6E60">
              <w:rPr>
                <w:noProof/>
                <w:snapToGrid w:val="0"/>
                <w:sz w:val="20"/>
                <w:szCs w:val="20"/>
              </w:rPr>
              <w:t>-1</w:t>
            </w:r>
            <w:r>
              <w:rPr>
                <w:noProof/>
                <w:snapToGrid w:val="0"/>
                <w:sz w:val="20"/>
                <w:szCs w:val="20"/>
              </w:rPr>
              <w:t>,</w:t>
            </w:r>
            <w:r w:rsidRPr="008F6E60">
              <w:rPr>
                <w:noProof/>
                <w:snapToGrid w:val="0"/>
                <w:sz w:val="20"/>
                <w:szCs w:val="20"/>
              </w:rPr>
              <w:t>2</w:t>
            </w:r>
          </w:p>
        </w:tc>
        <w:tc>
          <w:tcPr>
            <w:tcW w:w="941" w:type="dxa"/>
            <w:tcBorders>
              <w:left w:val="single" w:sz="8" w:space="0" w:color="800000"/>
              <w:right w:val="single" w:sz="8" w:space="0" w:color="800000"/>
            </w:tcBorders>
            <w:shd w:val="clear" w:color="auto" w:fill="FFFFCC"/>
            <w:vAlign w:val="bottom"/>
          </w:tcPr>
          <w:p w:rsidR="000938C1" w:rsidRPr="008F6E60" w:rsidRDefault="000938C1" w:rsidP="008F6E60">
            <w:pPr>
              <w:jc w:val="center"/>
              <w:rPr>
                <w:noProof/>
                <w:snapToGrid w:val="0"/>
                <w:sz w:val="20"/>
                <w:szCs w:val="20"/>
              </w:rPr>
            </w:pPr>
            <w:r w:rsidRPr="008F6E60">
              <w:rPr>
                <w:noProof/>
                <w:snapToGrid w:val="0"/>
                <w:sz w:val="20"/>
                <w:szCs w:val="20"/>
              </w:rPr>
              <w:t>-0</w:t>
            </w:r>
            <w:r>
              <w:rPr>
                <w:noProof/>
                <w:snapToGrid w:val="0"/>
                <w:sz w:val="20"/>
                <w:szCs w:val="20"/>
              </w:rPr>
              <w:t>,</w:t>
            </w:r>
            <w:r w:rsidRPr="008F6E60">
              <w:rPr>
                <w:noProof/>
                <w:snapToGrid w:val="0"/>
                <w:sz w:val="20"/>
                <w:szCs w:val="20"/>
              </w:rPr>
              <w:t>6</w:t>
            </w:r>
          </w:p>
        </w:tc>
        <w:tc>
          <w:tcPr>
            <w:tcW w:w="941" w:type="dxa"/>
            <w:tcBorders>
              <w:left w:val="single" w:sz="8" w:space="0" w:color="800000"/>
              <w:right w:val="single" w:sz="8" w:space="0" w:color="800000"/>
            </w:tcBorders>
            <w:shd w:val="clear" w:color="auto" w:fill="FFFFCC"/>
            <w:vAlign w:val="bottom"/>
          </w:tcPr>
          <w:p w:rsidR="000938C1" w:rsidRPr="008F6E60" w:rsidRDefault="000938C1" w:rsidP="008F6E60">
            <w:pPr>
              <w:jc w:val="center"/>
              <w:rPr>
                <w:noProof/>
                <w:snapToGrid w:val="0"/>
                <w:sz w:val="20"/>
                <w:szCs w:val="20"/>
              </w:rPr>
            </w:pPr>
            <w:r w:rsidRPr="008F6E60">
              <w:rPr>
                <w:noProof/>
                <w:snapToGrid w:val="0"/>
                <w:sz w:val="20"/>
                <w:szCs w:val="20"/>
              </w:rPr>
              <w:t>-0</w:t>
            </w:r>
            <w:r>
              <w:rPr>
                <w:noProof/>
                <w:snapToGrid w:val="0"/>
                <w:sz w:val="20"/>
                <w:szCs w:val="20"/>
              </w:rPr>
              <w:t>,</w:t>
            </w:r>
            <w:r w:rsidRPr="008F6E60">
              <w:rPr>
                <w:noProof/>
                <w:snapToGrid w:val="0"/>
                <w:sz w:val="20"/>
                <w:szCs w:val="20"/>
              </w:rPr>
              <w:t>3</w:t>
            </w:r>
          </w:p>
        </w:tc>
        <w:tc>
          <w:tcPr>
            <w:tcW w:w="941" w:type="dxa"/>
            <w:tcBorders>
              <w:left w:val="single" w:sz="8" w:space="0" w:color="800000"/>
              <w:right w:val="single" w:sz="8" w:space="0" w:color="800000"/>
            </w:tcBorders>
            <w:shd w:val="clear" w:color="auto" w:fill="FFFFCC"/>
            <w:vAlign w:val="bottom"/>
          </w:tcPr>
          <w:p w:rsidR="000938C1" w:rsidRPr="008F6E60" w:rsidRDefault="000938C1" w:rsidP="008F6E60">
            <w:pPr>
              <w:jc w:val="center"/>
              <w:rPr>
                <w:noProof/>
                <w:snapToGrid w:val="0"/>
                <w:sz w:val="20"/>
                <w:szCs w:val="20"/>
              </w:rPr>
            </w:pPr>
            <w:r w:rsidRPr="008F6E60">
              <w:rPr>
                <w:noProof/>
                <w:snapToGrid w:val="0"/>
                <w:sz w:val="20"/>
                <w:szCs w:val="20"/>
              </w:rPr>
              <w:t>0</w:t>
            </w:r>
            <w:r>
              <w:rPr>
                <w:noProof/>
                <w:snapToGrid w:val="0"/>
                <w:sz w:val="20"/>
                <w:szCs w:val="20"/>
              </w:rPr>
              <w:t>,</w:t>
            </w:r>
            <w:r w:rsidRPr="008F6E60">
              <w:rPr>
                <w:noProof/>
                <w:snapToGrid w:val="0"/>
                <w:sz w:val="20"/>
                <w:szCs w:val="20"/>
              </w:rPr>
              <w:t>5</w:t>
            </w:r>
          </w:p>
        </w:tc>
        <w:tc>
          <w:tcPr>
            <w:tcW w:w="941" w:type="dxa"/>
            <w:tcBorders>
              <w:left w:val="single" w:sz="8" w:space="0" w:color="800000"/>
              <w:right w:val="thinThickSmallGap" w:sz="12" w:space="0" w:color="800000"/>
            </w:tcBorders>
            <w:shd w:val="clear" w:color="auto" w:fill="FFFFCC"/>
            <w:vAlign w:val="center"/>
          </w:tcPr>
          <w:p w:rsidR="000938C1" w:rsidRPr="008F6E60" w:rsidRDefault="000938C1" w:rsidP="008F6E60">
            <w:pPr>
              <w:jc w:val="center"/>
              <w:rPr>
                <w:b/>
                <w:noProof/>
                <w:snapToGrid w:val="0"/>
                <w:sz w:val="20"/>
                <w:szCs w:val="20"/>
              </w:rPr>
            </w:pPr>
            <w:r w:rsidRPr="008F6E60">
              <w:rPr>
                <w:b/>
                <w:noProof/>
                <w:snapToGrid w:val="0"/>
                <w:sz w:val="20"/>
                <w:szCs w:val="20"/>
              </w:rPr>
              <w:t>-0</w:t>
            </w:r>
            <w:r>
              <w:rPr>
                <w:b/>
                <w:noProof/>
                <w:snapToGrid w:val="0"/>
                <w:sz w:val="20"/>
                <w:szCs w:val="20"/>
              </w:rPr>
              <w:t>,</w:t>
            </w:r>
            <w:r w:rsidRPr="008F6E60">
              <w:rPr>
                <w:b/>
                <w:noProof/>
                <w:snapToGrid w:val="0"/>
                <w:sz w:val="20"/>
                <w:szCs w:val="20"/>
              </w:rPr>
              <w:t>4</w:t>
            </w:r>
          </w:p>
        </w:tc>
      </w:tr>
      <w:tr w:rsidR="000938C1" w:rsidRPr="008F6E60" w:rsidTr="00246730">
        <w:trPr>
          <w:trHeight w:val="285"/>
          <w:jc w:val="center"/>
        </w:trPr>
        <w:tc>
          <w:tcPr>
            <w:tcW w:w="1742" w:type="dxa"/>
            <w:tcBorders>
              <w:left w:val="thinThickSmallGap" w:sz="12" w:space="0" w:color="800000"/>
              <w:bottom w:val="thinThickSmallGap" w:sz="12" w:space="0" w:color="800000"/>
              <w:right w:val="single" w:sz="8" w:space="0" w:color="800000"/>
            </w:tcBorders>
            <w:shd w:val="clear" w:color="auto" w:fill="FFFFCC"/>
            <w:vAlign w:val="center"/>
          </w:tcPr>
          <w:p w:rsidR="000938C1" w:rsidRPr="008F6E60" w:rsidRDefault="000938C1" w:rsidP="008F6E60">
            <w:pPr>
              <w:rPr>
                <w:noProof/>
                <w:snapToGrid w:val="0"/>
                <w:sz w:val="20"/>
                <w:szCs w:val="20"/>
              </w:rPr>
            </w:pPr>
            <w:r w:rsidRPr="008F6E60">
              <w:rPr>
                <w:noProof/>
                <w:snapToGrid w:val="0"/>
                <w:sz w:val="20"/>
                <w:szCs w:val="20"/>
              </w:rPr>
              <w:t>САЩ</w:t>
            </w:r>
          </w:p>
        </w:tc>
        <w:tc>
          <w:tcPr>
            <w:tcW w:w="848" w:type="dxa"/>
            <w:tcBorders>
              <w:left w:val="single" w:sz="8" w:space="0" w:color="800000"/>
              <w:bottom w:val="thinThickSmallGap" w:sz="12" w:space="0" w:color="800000"/>
              <w:right w:val="single" w:sz="8" w:space="0" w:color="800000"/>
            </w:tcBorders>
            <w:shd w:val="clear" w:color="auto" w:fill="FFFFCC"/>
            <w:vAlign w:val="center"/>
          </w:tcPr>
          <w:p w:rsidR="000938C1" w:rsidRPr="008F6E60" w:rsidRDefault="000938C1" w:rsidP="008F6E60">
            <w:pPr>
              <w:jc w:val="center"/>
              <w:rPr>
                <w:noProof/>
                <w:snapToGrid w:val="0"/>
                <w:sz w:val="20"/>
                <w:szCs w:val="20"/>
              </w:rPr>
            </w:pPr>
            <w:r w:rsidRPr="008F6E60">
              <w:rPr>
                <w:noProof/>
                <w:snapToGrid w:val="0"/>
                <w:sz w:val="20"/>
                <w:szCs w:val="20"/>
              </w:rPr>
              <w:t>2</w:t>
            </w:r>
            <w:r>
              <w:rPr>
                <w:noProof/>
                <w:snapToGrid w:val="0"/>
                <w:sz w:val="20"/>
                <w:szCs w:val="20"/>
              </w:rPr>
              <w:t>,</w:t>
            </w:r>
            <w:r w:rsidRPr="008F6E60">
              <w:rPr>
                <w:noProof/>
                <w:snapToGrid w:val="0"/>
                <w:sz w:val="20"/>
                <w:szCs w:val="20"/>
              </w:rPr>
              <w:t>0</w:t>
            </w:r>
          </w:p>
        </w:tc>
        <w:tc>
          <w:tcPr>
            <w:tcW w:w="941" w:type="dxa"/>
            <w:tcBorders>
              <w:left w:val="single" w:sz="8" w:space="0" w:color="800000"/>
              <w:bottom w:val="thinThickSmallGap" w:sz="12" w:space="0" w:color="800000"/>
              <w:right w:val="single" w:sz="8" w:space="0" w:color="800000"/>
            </w:tcBorders>
            <w:shd w:val="clear" w:color="auto" w:fill="FFFFCC"/>
            <w:vAlign w:val="center"/>
          </w:tcPr>
          <w:p w:rsidR="000938C1" w:rsidRPr="008F6E60" w:rsidRDefault="000938C1" w:rsidP="008F6E60">
            <w:pPr>
              <w:jc w:val="center"/>
              <w:rPr>
                <w:b/>
                <w:noProof/>
                <w:snapToGrid w:val="0"/>
                <w:sz w:val="20"/>
                <w:szCs w:val="20"/>
              </w:rPr>
            </w:pPr>
            <w:r w:rsidRPr="008F6E60">
              <w:rPr>
                <w:b/>
                <w:noProof/>
                <w:snapToGrid w:val="0"/>
                <w:sz w:val="20"/>
                <w:szCs w:val="20"/>
              </w:rPr>
              <w:t>2</w:t>
            </w:r>
            <w:r>
              <w:rPr>
                <w:b/>
                <w:noProof/>
                <w:snapToGrid w:val="0"/>
                <w:sz w:val="20"/>
                <w:szCs w:val="20"/>
              </w:rPr>
              <w:t>,</w:t>
            </w:r>
            <w:r w:rsidRPr="008F6E60">
              <w:rPr>
                <w:b/>
                <w:noProof/>
                <w:snapToGrid w:val="0"/>
                <w:sz w:val="20"/>
                <w:szCs w:val="20"/>
              </w:rPr>
              <w:t>8</w:t>
            </w:r>
          </w:p>
        </w:tc>
        <w:tc>
          <w:tcPr>
            <w:tcW w:w="941" w:type="dxa"/>
            <w:tcBorders>
              <w:left w:val="single" w:sz="8" w:space="0" w:color="800000"/>
              <w:bottom w:val="thinThickSmallGap" w:sz="12" w:space="0" w:color="800000"/>
              <w:right w:val="single" w:sz="8" w:space="0" w:color="800000"/>
            </w:tcBorders>
            <w:shd w:val="clear" w:color="auto" w:fill="FFFFCC"/>
            <w:vAlign w:val="bottom"/>
          </w:tcPr>
          <w:p w:rsidR="000938C1" w:rsidRPr="008F6E60" w:rsidRDefault="000938C1" w:rsidP="008F6E60">
            <w:pPr>
              <w:jc w:val="center"/>
              <w:rPr>
                <w:noProof/>
                <w:snapToGrid w:val="0"/>
                <w:sz w:val="20"/>
                <w:szCs w:val="20"/>
              </w:rPr>
            </w:pPr>
            <w:r w:rsidRPr="008F6E60">
              <w:rPr>
                <w:noProof/>
                <w:snapToGrid w:val="0"/>
                <w:sz w:val="20"/>
                <w:szCs w:val="20"/>
              </w:rPr>
              <w:t>1</w:t>
            </w:r>
            <w:r>
              <w:rPr>
                <w:noProof/>
                <w:snapToGrid w:val="0"/>
                <w:sz w:val="20"/>
                <w:szCs w:val="20"/>
              </w:rPr>
              <w:t>,</w:t>
            </w:r>
            <w:r w:rsidRPr="008F6E60">
              <w:rPr>
                <w:noProof/>
                <w:snapToGrid w:val="0"/>
                <w:sz w:val="20"/>
                <w:szCs w:val="20"/>
              </w:rPr>
              <w:t>3</w:t>
            </w:r>
          </w:p>
        </w:tc>
        <w:tc>
          <w:tcPr>
            <w:tcW w:w="941" w:type="dxa"/>
            <w:tcBorders>
              <w:left w:val="single" w:sz="8" w:space="0" w:color="800000"/>
              <w:bottom w:val="thinThickSmallGap" w:sz="12" w:space="0" w:color="800000"/>
              <w:right w:val="single" w:sz="8" w:space="0" w:color="800000"/>
            </w:tcBorders>
            <w:shd w:val="clear" w:color="auto" w:fill="FFFFCC"/>
            <w:vAlign w:val="bottom"/>
          </w:tcPr>
          <w:p w:rsidR="000938C1" w:rsidRPr="008F6E60" w:rsidRDefault="000938C1" w:rsidP="008F6E60">
            <w:pPr>
              <w:jc w:val="center"/>
              <w:rPr>
                <w:noProof/>
                <w:snapToGrid w:val="0"/>
                <w:sz w:val="20"/>
                <w:szCs w:val="20"/>
              </w:rPr>
            </w:pPr>
            <w:r w:rsidRPr="008F6E60">
              <w:rPr>
                <w:noProof/>
                <w:snapToGrid w:val="0"/>
                <w:sz w:val="20"/>
                <w:szCs w:val="20"/>
              </w:rPr>
              <w:t>1</w:t>
            </w:r>
            <w:r>
              <w:rPr>
                <w:noProof/>
                <w:snapToGrid w:val="0"/>
                <w:sz w:val="20"/>
                <w:szCs w:val="20"/>
              </w:rPr>
              <w:t>,</w:t>
            </w:r>
            <w:r w:rsidRPr="008F6E60">
              <w:rPr>
                <w:noProof/>
                <w:snapToGrid w:val="0"/>
                <w:sz w:val="20"/>
                <w:szCs w:val="20"/>
              </w:rPr>
              <w:t>6</w:t>
            </w:r>
          </w:p>
        </w:tc>
        <w:tc>
          <w:tcPr>
            <w:tcW w:w="941" w:type="dxa"/>
            <w:tcBorders>
              <w:left w:val="single" w:sz="8" w:space="0" w:color="800000"/>
              <w:bottom w:val="thinThickSmallGap" w:sz="12" w:space="0" w:color="800000"/>
              <w:right w:val="single" w:sz="8" w:space="0" w:color="800000"/>
            </w:tcBorders>
            <w:shd w:val="clear" w:color="auto" w:fill="FFFFCC"/>
            <w:vAlign w:val="bottom"/>
          </w:tcPr>
          <w:p w:rsidR="000938C1" w:rsidRPr="008F6E60" w:rsidRDefault="000938C1" w:rsidP="008F6E60">
            <w:pPr>
              <w:jc w:val="center"/>
              <w:rPr>
                <w:noProof/>
                <w:snapToGrid w:val="0"/>
                <w:sz w:val="20"/>
                <w:szCs w:val="20"/>
              </w:rPr>
            </w:pPr>
            <w:r w:rsidRPr="008F6E60">
              <w:rPr>
                <w:noProof/>
                <w:snapToGrid w:val="0"/>
                <w:sz w:val="20"/>
                <w:szCs w:val="20"/>
              </w:rPr>
              <w:t>2</w:t>
            </w:r>
            <w:r>
              <w:rPr>
                <w:noProof/>
                <w:snapToGrid w:val="0"/>
                <w:sz w:val="20"/>
                <w:szCs w:val="20"/>
              </w:rPr>
              <w:t>,</w:t>
            </w:r>
            <w:r w:rsidRPr="008F6E60">
              <w:rPr>
                <w:noProof/>
                <w:snapToGrid w:val="0"/>
                <w:sz w:val="20"/>
                <w:szCs w:val="20"/>
              </w:rPr>
              <w:t>0</w:t>
            </w:r>
          </w:p>
        </w:tc>
        <w:tc>
          <w:tcPr>
            <w:tcW w:w="941" w:type="dxa"/>
            <w:tcBorders>
              <w:left w:val="single" w:sz="8" w:space="0" w:color="800000"/>
              <w:bottom w:val="thinThickSmallGap" w:sz="12" w:space="0" w:color="800000"/>
              <w:right w:val="single" w:sz="8" w:space="0" w:color="800000"/>
            </w:tcBorders>
            <w:shd w:val="clear" w:color="auto" w:fill="FFFFCC"/>
            <w:vAlign w:val="bottom"/>
          </w:tcPr>
          <w:p w:rsidR="000938C1" w:rsidRPr="008F6E60" w:rsidRDefault="000938C1" w:rsidP="008F6E60">
            <w:pPr>
              <w:jc w:val="center"/>
              <w:rPr>
                <w:noProof/>
                <w:snapToGrid w:val="0"/>
                <w:sz w:val="20"/>
                <w:szCs w:val="20"/>
              </w:rPr>
            </w:pPr>
            <w:r w:rsidRPr="008F6E60">
              <w:rPr>
                <w:noProof/>
                <w:snapToGrid w:val="0"/>
                <w:sz w:val="20"/>
                <w:szCs w:val="20"/>
              </w:rPr>
              <w:t>2</w:t>
            </w:r>
            <w:r>
              <w:rPr>
                <w:noProof/>
                <w:snapToGrid w:val="0"/>
                <w:sz w:val="20"/>
                <w:szCs w:val="20"/>
              </w:rPr>
              <w:t>,</w:t>
            </w:r>
            <w:r w:rsidRPr="008F6E60">
              <w:rPr>
                <w:noProof/>
                <w:snapToGrid w:val="0"/>
                <w:sz w:val="20"/>
                <w:szCs w:val="20"/>
              </w:rPr>
              <w:t>6</w:t>
            </w:r>
          </w:p>
        </w:tc>
        <w:tc>
          <w:tcPr>
            <w:tcW w:w="941" w:type="dxa"/>
            <w:tcBorders>
              <w:left w:val="single" w:sz="8" w:space="0" w:color="800000"/>
              <w:bottom w:val="thinThickSmallGap" w:sz="12" w:space="0" w:color="800000"/>
              <w:right w:val="thinThickSmallGap" w:sz="12" w:space="0" w:color="800000"/>
            </w:tcBorders>
            <w:shd w:val="clear" w:color="auto" w:fill="FFFFCC"/>
            <w:vAlign w:val="center"/>
          </w:tcPr>
          <w:p w:rsidR="000938C1" w:rsidRPr="008F6E60" w:rsidRDefault="000938C1" w:rsidP="008F6E60">
            <w:pPr>
              <w:jc w:val="center"/>
              <w:rPr>
                <w:b/>
                <w:noProof/>
                <w:snapToGrid w:val="0"/>
                <w:sz w:val="20"/>
                <w:szCs w:val="20"/>
              </w:rPr>
            </w:pPr>
            <w:r w:rsidRPr="008F6E60">
              <w:rPr>
                <w:b/>
                <w:noProof/>
                <w:snapToGrid w:val="0"/>
                <w:sz w:val="20"/>
                <w:szCs w:val="20"/>
              </w:rPr>
              <w:t>1</w:t>
            </w:r>
            <w:r>
              <w:rPr>
                <w:b/>
                <w:noProof/>
                <w:snapToGrid w:val="0"/>
                <w:sz w:val="20"/>
                <w:szCs w:val="20"/>
              </w:rPr>
              <w:t>,</w:t>
            </w:r>
            <w:r w:rsidRPr="008F6E60">
              <w:rPr>
                <w:b/>
                <w:noProof/>
                <w:snapToGrid w:val="0"/>
                <w:sz w:val="20"/>
                <w:szCs w:val="20"/>
              </w:rPr>
              <w:t>9</w:t>
            </w:r>
          </w:p>
        </w:tc>
      </w:tr>
    </w:tbl>
    <w:p w:rsidR="000938C1" w:rsidRPr="008F6E60" w:rsidRDefault="000938C1" w:rsidP="008F6E60">
      <w:pPr>
        <w:spacing w:before="120" w:after="120"/>
        <w:ind w:right="432"/>
        <w:jc w:val="right"/>
        <w:outlineLvl w:val="3"/>
        <w:rPr>
          <w:bCs/>
          <w:i/>
          <w:sz w:val="20"/>
          <w:szCs w:val="20"/>
        </w:rPr>
      </w:pPr>
      <w:r w:rsidRPr="008F6E60">
        <w:rPr>
          <w:bCs/>
          <w:i/>
          <w:sz w:val="20"/>
          <w:szCs w:val="20"/>
        </w:rPr>
        <w:t>Източник: Евростат, Бюро за икономически анализи (САЩ)</w:t>
      </w:r>
    </w:p>
    <w:p w:rsidR="000938C1" w:rsidRPr="008F6E60" w:rsidRDefault="000938C1" w:rsidP="008F6E60">
      <w:pPr>
        <w:spacing w:after="120"/>
        <w:ind w:firstLine="709"/>
        <w:jc w:val="both"/>
        <w:outlineLvl w:val="3"/>
      </w:pPr>
      <w:r w:rsidRPr="008F6E60">
        <w:t>През 2013 г. еврозоната излезе от рецесията. Понижението на икономическата активност бе 0,</w:t>
      </w:r>
      <w:r w:rsidRPr="00CE1B03">
        <w:rPr>
          <w:lang w:val="en-US"/>
        </w:rPr>
        <w:t>4</w:t>
      </w:r>
      <w:r w:rsidRPr="008F6E60">
        <w:t>% средно за годината, но растежът на БВП премина на положителна територия през четвъртото тримесечие, след продължителен период на спад. Възстановяването бе неравномерно в отделните държави. Растежът до голяма степен бе воден от износа, въпреки сигналите за съживяване на вътрешното търсене (във Франция, Испания и по-специално Германия). Високото ниво на безработица, свиването на кредитната активност и размерът на дълга обаче продължават да поставят под въпрос устойчивостта на възстановяването.</w:t>
      </w:r>
    </w:p>
    <w:p w:rsidR="000938C1" w:rsidRPr="008F6E60" w:rsidRDefault="000938C1" w:rsidP="008F6E60">
      <w:pPr>
        <w:spacing w:after="120"/>
        <w:ind w:firstLine="709"/>
        <w:jc w:val="both"/>
        <w:outlineLvl w:val="3"/>
      </w:pPr>
      <w:r w:rsidRPr="008F6E60">
        <w:t>Нововъзникващите пазари и развиващите се икономики изгубиха в известна степен инерцията си и темпът на нарастване на БВП в тези страни бе по-слаб през втората половина на 2013 г. Въпреки това, те запазиха значителния си принос за растежа на световната икономика. Ръстът на износа им се ускори, подкрепен от активността в развитите икономики и обезценяването на валутите, но инвестиционната активност остана слаба и това до голяма степен допринесе за по-слабото им представяне в сравнение с развитите държави.</w:t>
      </w:r>
    </w:p>
    <w:p w:rsidR="000938C1" w:rsidRPr="00CE1B03" w:rsidRDefault="000938C1" w:rsidP="008F6E60">
      <w:pPr>
        <w:ind w:firstLine="709"/>
        <w:jc w:val="both"/>
        <w:outlineLvl w:val="3"/>
        <w:rPr>
          <w:color w:val="0070C0"/>
          <w:lang w:val="en-US"/>
        </w:rPr>
      </w:pPr>
      <w:r w:rsidRPr="008F6E60">
        <w:t xml:space="preserve">Инфлацията в международен план остана сравнително ниска през </w:t>
      </w:r>
      <w:r>
        <w:t>2013 г.</w:t>
      </w:r>
      <w:r w:rsidRPr="008F6E60">
        <w:t xml:space="preserve"> в резултат на спада в международните цени на суровините и особено на горивата и храните. Инфлацията в страните с развита икономика бе под дългосрочните инфлационни очаквания. В САЩ всички индикатори за изменението на цените отчетоха понижение през 2013 г., а в еврозоната изменението на общия индекс дори спадна под 1% през четвъртото тримесечие на годината.</w:t>
      </w:r>
    </w:p>
    <w:p w:rsidR="000938C1" w:rsidRPr="008F6E60" w:rsidRDefault="000938C1" w:rsidP="00FA6EB1">
      <w:pPr>
        <w:pStyle w:val="Heading1"/>
        <w:numPr>
          <w:ilvl w:val="0"/>
          <w:numId w:val="7"/>
        </w:numPr>
        <w:jc w:val="left"/>
      </w:pPr>
      <w:bookmarkStart w:id="11" w:name="_Toc136597708"/>
      <w:bookmarkStart w:id="12" w:name="_Toc136601611"/>
      <w:bookmarkStart w:id="13" w:name="_Toc166304008"/>
      <w:bookmarkStart w:id="14" w:name="_Toc166381568"/>
      <w:bookmarkStart w:id="15" w:name="_Toc167005083"/>
      <w:bookmarkStart w:id="16" w:name="_Toc261276550"/>
      <w:bookmarkStart w:id="17" w:name="_Toc324863381"/>
      <w:bookmarkStart w:id="18" w:name="_Toc393728040"/>
      <w:r w:rsidRPr="008F6E60">
        <w:t>Макроикономическо развитие в България през 2013 г.</w:t>
      </w:r>
      <w:bookmarkStart w:id="19" w:name="_Икономически_растеж,_пазар_на_труда"/>
      <w:bookmarkEnd w:id="19"/>
      <w:bookmarkEnd w:id="11"/>
      <w:bookmarkEnd w:id="12"/>
      <w:bookmarkEnd w:id="13"/>
      <w:bookmarkEnd w:id="14"/>
      <w:bookmarkEnd w:id="15"/>
      <w:bookmarkEnd w:id="16"/>
      <w:bookmarkEnd w:id="17"/>
      <w:bookmarkEnd w:id="18"/>
    </w:p>
    <w:p w:rsidR="000938C1" w:rsidRPr="008F6E60" w:rsidRDefault="000938C1" w:rsidP="00F655A7">
      <w:pPr>
        <w:pStyle w:val="Heading3"/>
        <w:numPr>
          <w:ilvl w:val="1"/>
          <w:numId w:val="7"/>
        </w:numPr>
        <w:spacing w:after="120"/>
        <w:rPr>
          <w:rFonts w:ascii="Times New Roman" w:hAnsi="Times New Roman"/>
          <w:sz w:val="24"/>
          <w:lang w:val="bg-BG"/>
        </w:rPr>
      </w:pPr>
      <w:bookmarkStart w:id="20" w:name="_Toc324863382"/>
      <w:bookmarkStart w:id="21" w:name="_Toc393728041"/>
      <w:r w:rsidRPr="008F6E60">
        <w:rPr>
          <w:rFonts w:ascii="Times New Roman" w:hAnsi="Times New Roman"/>
          <w:sz w:val="24"/>
          <w:lang w:val="bg-BG"/>
        </w:rPr>
        <w:t>Брутен вътрешен продукт</w:t>
      </w:r>
      <w:bookmarkEnd w:id="20"/>
      <w:bookmarkEnd w:id="21"/>
    </w:p>
    <w:p w:rsidR="000938C1" w:rsidRPr="008F6E60" w:rsidRDefault="000938C1" w:rsidP="008F6E60">
      <w:pPr>
        <w:spacing w:after="120"/>
        <w:ind w:firstLine="709"/>
        <w:jc w:val="both"/>
        <w:rPr>
          <w:color w:val="0070C0"/>
        </w:rPr>
      </w:pPr>
      <w:bookmarkStart w:id="22" w:name="_Toc352851584"/>
      <w:bookmarkStart w:id="23" w:name="_Toc352851369"/>
      <w:bookmarkStart w:id="24" w:name="_Toc352315942"/>
      <w:bookmarkStart w:id="25" w:name="_Toc352315185"/>
      <w:bookmarkStart w:id="26" w:name="_Toc352314635"/>
      <w:bookmarkStart w:id="27" w:name="_Toc261276552"/>
      <w:bookmarkStart w:id="28" w:name="_Toc324863383"/>
      <w:r w:rsidRPr="008F6E60">
        <w:rPr>
          <w:lang w:eastAsia="en-US"/>
        </w:rPr>
        <w:t xml:space="preserve">През 2013 г. растежът на брутния вътрешен продукт на България се ускори до 0,9% при 0,6% през 2012 г. Нетният износ бе с основен положителен принос за динамиката на БВП за годината. След като регистрира растеж от 3,1% за предходната година, през 2013 г. вътрешното търсене </w:t>
      </w:r>
      <w:bookmarkEnd w:id="22"/>
      <w:bookmarkEnd w:id="23"/>
      <w:bookmarkEnd w:id="24"/>
      <w:bookmarkEnd w:id="25"/>
      <w:bookmarkEnd w:id="26"/>
      <w:r w:rsidRPr="008F6E60">
        <w:rPr>
          <w:lang w:eastAsia="en-US"/>
        </w:rPr>
        <w:t>намаля с 1,1</w:t>
      </w:r>
      <w:r>
        <w:rPr>
          <w:lang w:eastAsia="en-US"/>
        </w:rPr>
        <w:t xml:space="preserve"> процентни пункта</w:t>
      </w:r>
      <w:r w:rsidRPr="008F6E60">
        <w:rPr>
          <w:lang w:eastAsia="en-US"/>
        </w:rPr>
        <w:t>.</w:t>
      </w:r>
    </w:p>
    <w:p w:rsidR="000938C1" w:rsidRPr="008F6E60" w:rsidRDefault="000938C1" w:rsidP="008F6E60">
      <w:pPr>
        <w:spacing w:after="120"/>
        <w:ind w:firstLine="709"/>
        <w:jc w:val="both"/>
        <w:outlineLvl w:val="3"/>
        <w:rPr>
          <w:lang w:eastAsia="en-US"/>
        </w:rPr>
      </w:pPr>
      <w:r w:rsidRPr="008F6E60">
        <w:rPr>
          <w:lang w:eastAsia="en-US"/>
        </w:rPr>
        <w:t>Несигурността сред потребителите доведе до намаление на разходите на домакинствата с 2,3%. В същото време потреблението на правителството се увеличи с 2,5%. Ниското търсене в страната възпира някои предприемачи от реализирането на инвестиционни проекти и това доведе до спад на частните инвестиции през годината. В същото време капиталовите разходи на правителството нараснаха, компенсирайки отчасти понижената частна инвестиционна активност. Брутообразуването на основен капитал в икономиката намаля с 0,3</w:t>
      </w:r>
      <w:r>
        <w:rPr>
          <w:lang w:eastAsia="en-US"/>
        </w:rPr>
        <w:t xml:space="preserve"> на сто</w:t>
      </w:r>
      <w:r w:rsidRPr="008F6E60">
        <w:rPr>
          <w:lang w:eastAsia="en-US"/>
        </w:rPr>
        <w:t>.</w:t>
      </w:r>
    </w:p>
    <w:p w:rsidR="000938C1" w:rsidRPr="008F6E60" w:rsidRDefault="000938C1" w:rsidP="008F6E60">
      <w:pPr>
        <w:spacing w:after="120"/>
        <w:ind w:firstLine="709"/>
        <w:jc w:val="both"/>
        <w:rPr>
          <w:color w:val="0070C0"/>
        </w:rPr>
      </w:pPr>
      <w:r w:rsidRPr="008F6E60">
        <w:rPr>
          <w:lang w:eastAsia="en-US"/>
        </w:rPr>
        <w:t>Поради подобреното външно търсене износът на стоки и услуги през 2013 г. нарасна в реално изражение с 8,9%. Ниското частно потребление ограничи растежа на вноса до 5,7%, като в по-голяма степен той беше повлиян от повишеното търсене от страна на експортно ориентирани отрасли. Тази динамика доведе до положителен принос на нетния износ за растежа на БВП от 2,</w:t>
      </w:r>
      <w:r w:rsidRPr="00CE1B03">
        <w:rPr>
          <w:lang w:val="en-US" w:eastAsia="en-US"/>
        </w:rPr>
        <w:t>0</w:t>
      </w:r>
      <w:r w:rsidRPr="008F6E60">
        <w:rPr>
          <w:lang w:eastAsia="en-US"/>
        </w:rPr>
        <w:t xml:space="preserve"> п.п.</w:t>
      </w:r>
    </w:p>
    <w:p w:rsidR="000938C1" w:rsidRPr="008F6E60" w:rsidRDefault="000938C1" w:rsidP="008F6E60">
      <w:pPr>
        <w:ind w:firstLine="708"/>
        <w:jc w:val="center"/>
        <w:rPr>
          <w:b/>
          <w:bCs/>
          <w:i/>
          <w:noProof/>
        </w:rPr>
      </w:pPr>
      <w:r w:rsidRPr="008F6E60">
        <w:rPr>
          <w:b/>
          <w:bCs/>
          <w:i/>
          <w:noProof/>
        </w:rPr>
        <w:t>Реален растеж и принос на  отделните компоненти по елементи на крайното използване</w:t>
      </w:r>
    </w:p>
    <w:p w:rsidR="000938C1" w:rsidRPr="008F6E60" w:rsidRDefault="000938C1" w:rsidP="008F6E60">
      <w:pPr>
        <w:ind w:firstLine="708"/>
        <w:jc w:val="center"/>
        <w:rPr>
          <w:color w:val="0070C0"/>
        </w:rPr>
      </w:pPr>
    </w:p>
    <w:tbl>
      <w:tblPr>
        <w:tblW w:w="9103" w:type="dxa"/>
        <w:jc w:val="center"/>
        <w:tblInd w:w="-954" w:type="dxa"/>
        <w:tblLayout w:type="fixed"/>
        <w:tblCellMar>
          <w:left w:w="70" w:type="dxa"/>
          <w:right w:w="70" w:type="dxa"/>
        </w:tblCellMar>
        <w:tblLook w:val="00A0"/>
      </w:tblPr>
      <w:tblGrid>
        <w:gridCol w:w="3030"/>
        <w:gridCol w:w="1012"/>
        <w:gridCol w:w="1012"/>
        <w:gridCol w:w="1012"/>
        <w:gridCol w:w="1012"/>
        <w:gridCol w:w="1012"/>
        <w:gridCol w:w="1013"/>
      </w:tblGrid>
      <w:tr w:rsidR="000938C1" w:rsidRPr="008F6E60" w:rsidTr="00246730">
        <w:trPr>
          <w:cantSplit/>
          <w:trHeight w:val="79"/>
          <w:jc w:val="center"/>
        </w:trPr>
        <w:tc>
          <w:tcPr>
            <w:tcW w:w="3030" w:type="dxa"/>
            <w:vMerge w:val="restart"/>
            <w:tcBorders>
              <w:top w:val="thickThinSmallGap" w:sz="12" w:space="0" w:color="990000"/>
              <w:left w:val="thickThinSmallGap" w:sz="12" w:space="0" w:color="990000"/>
              <w:bottom w:val="thinThickSmallGap" w:sz="12" w:space="0" w:color="800000"/>
              <w:right w:val="single" w:sz="8" w:space="0" w:color="FFFFFF"/>
            </w:tcBorders>
            <w:shd w:val="clear" w:color="auto" w:fill="990000"/>
            <w:vAlign w:val="center"/>
          </w:tcPr>
          <w:p w:rsidR="000938C1" w:rsidRPr="008F6E60" w:rsidRDefault="000938C1" w:rsidP="008F6E60">
            <w:pPr>
              <w:spacing w:before="20" w:after="20"/>
              <w:jc w:val="center"/>
              <w:rPr>
                <w:b/>
                <w:color w:val="FFFFFF"/>
                <w:sz w:val="20"/>
                <w:szCs w:val="20"/>
              </w:rPr>
            </w:pPr>
            <w:bookmarkStart w:id="29" w:name="OLE_LINK1"/>
            <w:r w:rsidRPr="008F6E60">
              <w:rPr>
                <w:b/>
                <w:color w:val="FFFFFF"/>
                <w:sz w:val="20"/>
                <w:szCs w:val="20"/>
              </w:rPr>
              <w:t>ПОКАЗАТЕЛ</w:t>
            </w:r>
          </w:p>
        </w:tc>
        <w:tc>
          <w:tcPr>
            <w:tcW w:w="2024" w:type="dxa"/>
            <w:gridSpan w:val="2"/>
            <w:tcBorders>
              <w:top w:val="thickThinSmallGap" w:sz="12" w:space="0" w:color="990000"/>
              <w:left w:val="single" w:sz="8" w:space="0" w:color="FFFFFF"/>
              <w:bottom w:val="single" w:sz="4" w:space="0" w:color="FFFFFF"/>
              <w:right w:val="single" w:sz="8" w:space="0" w:color="FFFFFF"/>
            </w:tcBorders>
            <w:shd w:val="clear" w:color="auto" w:fill="990000"/>
            <w:vAlign w:val="center"/>
          </w:tcPr>
          <w:p w:rsidR="000938C1" w:rsidRPr="008F6E60" w:rsidRDefault="000938C1" w:rsidP="008F6E60">
            <w:pPr>
              <w:spacing w:before="20" w:after="20"/>
              <w:jc w:val="center"/>
              <w:rPr>
                <w:b/>
                <w:noProof/>
                <w:snapToGrid w:val="0"/>
                <w:color w:val="FFFFFF"/>
                <w:sz w:val="20"/>
                <w:szCs w:val="20"/>
              </w:rPr>
            </w:pPr>
            <w:r w:rsidRPr="008F6E60">
              <w:rPr>
                <w:b/>
                <w:noProof/>
                <w:snapToGrid w:val="0"/>
                <w:color w:val="FFFFFF"/>
                <w:sz w:val="20"/>
                <w:szCs w:val="20"/>
              </w:rPr>
              <w:t>201</w:t>
            </w:r>
            <w:r w:rsidRPr="008F6E60">
              <w:rPr>
                <w:b/>
                <w:noProof/>
                <w:snapToGrid w:val="0"/>
                <w:color w:val="FFFFFF"/>
                <w:sz w:val="20"/>
                <w:szCs w:val="20"/>
                <w:lang w:val="en-US"/>
              </w:rPr>
              <w:t>2</w:t>
            </w:r>
            <w:r w:rsidRPr="008F6E60">
              <w:rPr>
                <w:b/>
                <w:noProof/>
                <w:snapToGrid w:val="0"/>
                <w:color w:val="FFFFFF"/>
                <w:sz w:val="20"/>
                <w:szCs w:val="20"/>
              </w:rPr>
              <w:t xml:space="preserve"> г.</w:t>
            </w:r>
          </w:p>
        </w:tc>
        <w:tc>
          <w:tcPr>
            <w:tcW w:w="2024" w:type="dxa"/>
            <w:gridSpan w:val="2"/>
            <w:tcBorders>
              <w:top w:val="thickThinSmallGap" w:sz="12" w:space="0" w:color="990000"/>
              <w:left w:val="single" w:sz="8" w:space="0" w:color="FFFFFF"/>
              <w:bottom w:val="single" w:sz="4" w:space="0" w:color="FFFFFF"/>
              <w:right w:val="single" w:sz="8" w:space="0" w:color="FFFFFF"/>
            </w:tcBorders>
            <w:shd w:val="clear" w:color="auto" w:fill="990000"/>
            <w:vAlign w:val="center"/>
          </w:tcPr>
          <w:p w:rsidR="000938C1" w:rsidRPr="008F6E60" w:rsidRDefault="000938C1" w:rsidP="008F6E60">
            <w:pPr>
              <w:spacing w:before="20" w:after="20"/>
              <w:jc w:val="center"/>
              <w:rPr>
                <w:b/>
                <w:noProof/>
                <w:snapToGrid w:val="0"/>
                <w:color w:val="FFFFFF"/>
                <w:sz w:val="20"/>
                <w:szCs w:val="20"/>
              </w:rPr>
            </w:pPr>
            <w:r w:rsidRPr="008F6E60">
              <w:rPr>
                <w:b/>
                <w:noProof/>
                <w:snapToGrid w:val="0"/>
                <w:color w:val="FFFFFF"/>
                <w:sz w:val="20"/>
                <w:szCs w:val="20"/>
              </w:rPr>
              <w:t>201</w:t>
            </w:r>
            <w:r w:rsidRPr="008F6E60">
              <w:rPr>
                <w:b/>
                <w:noProof/>
                <w:snapToGrid w:val="0"/>
                <w:color w:val="FFFFFF"/>
                <w:sz w:val="20"/>
                <w:szCs w:val="20"/>
                <w:lang w:val="en-US"/>
              </w:rPr>
              <w:t>3</w:t>
            </w:r>
            <w:r w:rsidRPr="008F6E60">
              <w:rPr>
                <w:b/>
                <w:noProof/>
                <w:snapToGrid w:val="0"/>
                <w:color w:val="FFFFFF"/>
                <w:sz w:val="20"/>
                <w:szCs w:val="20"/>
              </w:rPr>
              <w:t xml:space="preserve"> г.</w:t>
            </w:r>
          </w:p>
        </w:tc>
        <w:tc>
          <w:tcPr>
            <w:tcW w:w="1012" w:type="dxa"/>
            <w:tcBorders>
              <w:top w:val="thickThinSmallGap" w:sz="12" w:space="0" w:color="990000"/>
              <w:left w:val="single" w:sz="8" w:space="0" w:color="FFFFFF"/>
              <w:bottom w:val="single" w:sz="8" w:space="0" w:color="FFFFFF"/>
              <w:right w:val="single" w:sz="8" w:space="0" w:color="FFFFFF"/>
            </w:tcBorders>
            <w:shd w:val="clear" w:color="auto" w:fill="990000"/>
            <w:vAlign w:val="center"/>
          </w:tcPr>
          <w:p w:rsidR="000938C1" w:rsidRPr="008F6E60" w:rsidRDefault="000938C1" w:rsidP="008F6E60">
            <w:pPr>
              <w:spacing w:before="20" w:after="20"/>
              <w:jc w:val="center"/>
              <w:rPr>
                <w:b/>
                <w:noProof/>
                <w:snapToGrid w:val="0"/>
                <w:color w:val="FFFFFF"/>
                <w:sz w:val="20"/>
                <w:szCs w:val="20"/>
              </w:rPr>
            </w:pPr>
            <w:r w:rsidRPr="008F6E60">
              <w:rPr>
                <w:b/>
                <w:noProof/>
                <w:snapToGrid w:val="0"/>
                <w:color w:val="FFFFFF"/>
                <w:sz w:val="20"/>
                <w:szCs w:val="20"/>
              </w:rPr>
              <w:t>201</w:t>
            </w:r>
            <w:r w:rsidRPr="008F6E60">
              <w:rPr>
                <w:b/>
                <w:noProof/>
                <w:snapToGrid w:val="0"/>
                <w:color w:val="FFFFFF"/>
                <w:sz w:val="20"/>
                <w:szCs w:val="20"/>
                <w:lang w:val="en-US"/>
              </w:rPr>
              <w:t>2</w:t>
            </w:r>
            <w:r w:rsidRPr="008F6E60">
              <w:rPr>
                <w:b/>
                <w:noProof/>
                <w:snapToGrid w:val="0"/>
                <w:color w:val="FFFFFF"/>
                <w:sz w:val="20"/>
                <w:szCs w:val="20"/>
              </w:rPr>
              <w:t> г.</w:t>
            </w:r>
          </w:p>
        </w:tc>
        <w:tc>
          <w:tcPr>
            <w:tcW w:w="1013" w:type="dxa"/>
            <w:tcBorders>
              <w:top w:val="thickThinSmallGap" w:sz="12" w:space="0" w:color="990000"/>
              <w:left w:val="single" w:sz="8" w:space="0" w:color="FFFFFF"/>
              <w:bottom w:val="single" w:sz="8" w:space="0" w:color="FFFFFF"/>
              <w:right w:val="thickThinSmallGap" w:sz="12" w:space="0" w:color="990000"/>
            </w:tcBorders>
            <w:shd w:val="clear" w:color="auto" w:fill="990000"/>
            <w:vAlign w:val="center"/>
          </w:tcPr>
          <w:p w:rsidR="000938C1" w:rsidRPr="008F6E60" w:rsidRDefault="000938C1" w:rsidP="008F6E60">
            <w:pPr>
              <w:spacing w:before="20" w:after="20"/>
              <w:jc w:val="center"/>
              <w:rPr>
                <w:b/>
                <w:noProof/>
                <w:snapToGrid w:val="0"/>
                <w:color w:val="FFFFFF"/>
                <w:sz w:val="20"/>
                <w:szCs w:val="20"/>
              </w:rPr>
            </w:pPr>
            <w:r w:rsidRPr="008F6E60">
              <w:rPr>
                <w:b/>
                <w:noProof/>
                <w:snapToGrid w:val="0"/>
                <w:color w:val="FFFFFF"/>
                <w:sz w:val="20"/>
                <w:szCs w:val="20"/>
              </w:rPr>
              <w:t>201</w:t>
            </w:r>
            <w:r w:rsidRPr="008F6E60">
              <w:rPr>
                <w:b/>
                <w:noProof/>
                <w:snapToGrid w:val="0"/>
                <w:color w:val="FFFFFF"/>
                <w:sz w:val="20"/>
                <w:szCs w:val="20"/>
                <w:lang w:val="en-US"/>
              </w:rPr>
              <w:t>3</w:t>
            </w:r>
            <w:r w:rsidRPr="008F6E60">
              <w:rPr>
                <w:b/>
                <w:noProof/>
                <w:snapToGrid w:val="0"/>
                <w:color w:val="FFFFFF"/>
                <w:sz w:val="20"/>
                <w:szCs w:val="20"/>
              </w:rPr>
              <w:t> г.</w:t>
            </w:r>
          </w:p>
        </w:tc>
      </w:tr>
      <w:tr w:rsidR="000938C1" w:rsidRPr="008F6E60" w:rsidTr="00246730">
        <w:trPr>
          <w:trHeight w:val="772"/>
          <w:jc w:val="center"/>
        </w:trPr>
        <w:tc>
          <w:tcPr>
            <w:tcW w:w="3030" w:type="dxa"/>
            <w:vMerge/>
            <w:tcBorders>
              <w:top w:val="thinThickSmallGap" w:sz="12" w:space="0" w:color="800000"/>
              <w:left w:val="thickThinSmallGap" w:sz="12" w:space="0" w:color="990000"/>
              <w:bottom w:val="single" w:sz="4" w:space="0" w:color="990000"/>
              <w:right w:val="single" w:sz="8" w:space="0" w:color="FFFFFF"/>
            </w:tcBorders>
            <w:shd w:val="clear" w:color="auto" w:fill="990000"/>
            <w:vAlign w:val="center"/>
          </w:tcPr>
          <w:p w:rsidR="000938C1" w:rsidRPr="008F6E60" w:rsidRDefault="000938C1" w:rsidP="008F6E60">
            <w:pPr>
              <w:spacing w:before="20" w:after="20"/>
              <w:rPr>
                <w:b/>
                <w:color w:val="FFFFFF"/>
                <w:sz w:val="20"/>
                <w:szCs w:val="20"/>
              </w:rPr>
            </w:pP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0938C1" w:rsidRPr="008F6E60" w:rsidRDefault="000938C1" w:rsidP="008F6E60">
            <w:pPr>
              <w:spacing w:before="20" w:after="20"/>
              <w:jc w:val="center"/>
              <w:rPr>
                <w:b/>
                <w:noProof/>
                <w:snapToGrid w:val="0"/>
                <w:color w:val="FFFFFF"/>
                <w:sz w:val="20"/>
                <w:szCs w:val="20"/>
              </w:rPr>
            </w:pPr>
            <w:r w:rsidRPr="008F6E60">
              <w:rPr>
                <w:b/>
                <w:noProof/>
                <w:snapToGrid w:val="0"/>
                <w:color w:val="FFFFFF"/>
                <w:sz w:val="20"/>
                <w:szCs w:val="20"/>
              </w:rPr>
              <w:t>Реаленрастеж (%)</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0938C1" w:rsidRPr="008F6E60" w:rsidRDefault="000938C1" w:rsidP="009B5FAE">
            <w:pPr>
              <w:spacing w:before="20" w:after="20"/>
              <w:jc w:val="center"/>
              <w:rPr>
                <w:b/>
                <w:noProof/>
                <w:snapToGrid w:val="0"/>
                <w:color w:val="FFFFFF"/>
                <w:sz w:val="20"/>
                <w:szCs w:val="20"/>
              </w:rPr>
            </w:pPr>
            <w:r w:rsidRPr="008F6E60">
              <w:rPr>
                <w:b/>
                <w:noProof/>
                <w:snapToGrid w:val="0"/>
                <w:color w:val="FFFFFF"/>
                <w:sz w:val="20"/>
                <w:szCs w:val="20"/>
              </w:rPr>
              <w:t>Принос в растежа* (п.п.)</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0938C1" w:rsidRPr="008F6E60" w:rsidRDefault="000938C1" w:rsidP="008F6E60">
            <w:pPr>
              <w:spacing w:before="20" w:after="20"/>
              <w:jc w:val="center"/>
              <w:rPr>
                <w:b/>
                <w:noProof/>
                <w:snapToGrid w:val="0"/>
                <w:color w:val="FFFFFF"/>
                <w:sz w:val="20"/>
                <w:szCs w:val="20"/>
              </w:rPr>
            </w:pPr>
            <w:r w:rsidRPr="008F6E60">
              <w:rPr>
                <w:b/>
                <w:noProof/>
                <w:snapToGrid w:val="0"/>
                <w:color w:val="FFFFFF"/>
                <w:sz w:val="20"/>
                <w:szCs w:val="20"/>
              </w:rPr>
              <w:t>Реален растеж (%)</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0938C1" w:rsidRPr="008F6E60" w:rsidRDefault="000938C1" w:rsidP="009B5FAE">
            <w:pPr>
              <w:spacing w:before="20" w:after="20"/>
              <w:jc w:val="center"/>
              <w:rPr>
                <w:b/>
                <w:noProof/>
                <w:snapToGrid w:val="0"/>
                <w:color w:val="FFFFFF"/>
                <w:sz w:val="20"/>
                <w:szCs w:val="20"/>
              </w:rPr>
            </w:pPr>
            <w:r w:rsidRPr="008F6E60">
              <w:rPr>
                <w:b/>
                <w:noProof/>
                <w:snapToGrid w:val="0"/>
                <w:color w:val="FFFFFF"/>
                <w:sz w:val="20"/>
                <w:szCs w:val="20"/>
              </w:rPr>
              <w:t>Принос в растежа* (п.п.)</w:t>
            </w:r>
          </w:p>
        </w:tc>
        <w:tc>
          <w:tcPr>
            <w:tcW w:w="2025" w:type="dxa"/>
            <w:gridSpan w:val="2"/>
            <w:tcBorders>
              <w:top w:val="single" w:sz="2" w:space="0" w:color="FFFFFF"/>
              <w:left w:val="single" w:sz="8" w:space="0" w:color="FFFFFF"/>
              <w:bottom w:val="single" w:sz="4" w:space="0" w:color="990000"/>
              <w:right w:val="thickThinSmallGap" w:sz="12" w:space="0" w:color="990000"/>
            </w:tcBorders>
            <w:shd w:val="clear" w:color="auto" w:fill="990000"/>
            <w:vAlign w:val="center"/>
          </w:tcPr>
          <w:p w:rsidR="000938C1" w:rsidRPr="008F6E60" w:rsidRDefault="000938C1" w:rsidP="008F6E60">
            <w:pPr>
              <w:spacing w:before="20" w:after="20"/>
              <w:jc w:val="center"/>
              <w:rPr>
                <w:b/>
                <w:noProof/>
                <w:snapToGrid w:val="0"/>
                <w:color w:val="FFFFFF"/>
                <w:sz w:val="20"/>
                <w:szCs w:val="20"/>
              </w:rPr>
            </w:pPr>
            <w:r w:rsidRPr="008F6E60">
              <w:rPr>
                <w:b/>
                <w:noProof/>
                <w:snapToGrid w:val="0"/>
                <w:color w:val="FFFFFF"/>
                <w:sz w:val="20"/>
                <w:szCs w:val="20"/>
              </w:rPr>
              <w:t>% от БВП*</w:t>
            </w:r>
          </w:p>
          <w:p w:rsidR="000938C1" w:rsidRPr="008F6E60" w:rsidRDefault="000938C1" w:rsidP="008F6E60">
            <w:pPr>
              <w:spacing w:before="20" w:after="20"/>
              <w:jc w:val="center"/>
              <w:rPr>
                <w:b/>
                <w:noProof/>
                <w:snapToGrid w:val="0"/>
                <w:color w:val="FFFFFF"/>
                <w:sz w:val="20"/>
                <w:szCs w:val="20"/>
              </w:rPr>
            </w:pPr>
            <w:r w:rsidRPr="008F6E60">
              <w:rPr>
                <w:b/>
                <w:noProof/>
                <w:snapToGrid w:val="0"/>
                <w:color w:val="FFFFFF"/>
                <w:sz w:val="20"/>
                <w:szCs w:val="20"/>
              </w:rPr>
              <w:t>(текущи цени)</w:t>
            </w:r>
          </w:p>
        </w:tc>
      </w:tr>
      <w:tr w:rsidR="000938C1" w:rsidRPr="008F6E60" w:rsidTr="00246730">
        <w:trPr>
          <w:trHeight w:val="206"/>
          <w:jc w:val="center"/>
        </w:trPr>
        <w:tc>
          <w:tcPr>
            <w:tcW w:w="3030" w:type="dxa"/>
            <w:tcBorders>
              <w:top w:val="single" w:sz="4" w:space="0" w:color="990000"/>
              <w:left w:val="thickThinSmallGap" w:sz="12" w:space="0" w:color="990000"/>
              <w:bottom w:val="nil"/>
              <w:right w:val="single" w:sz="4" w:space="0" w:color="990000"/>
            </w:tcBorders>
            <w:shd w:val="clear" w:color="auto" w:fill="FFFFCC"/>
            <w:vAlign w:val="center"/>
          </w:tcPr>
          <w:p w:rsidR="000938C1" w:rsidRPr="008F6E60" w:rsidRDefault="000938C1" w:rsidP="008F6E60">
            <w:pPr>
              <w:spacing w:before="20" w:after="20"/>
              <w:rPr>
                <w:noProof/>
                <w:snapToGrid w:val="0"/>
                <w:sz w:val="20"/>
                <w:szCs w:val="20"/>
              </w:rPr>
            </w:pPr>
            <w:r w:rsidRPr="008F6E60">
              <w:rPr>
                <w:noProof/>
                <w:snapToGrid w:val="0"/>
                <w:sz w:val="20"/>
                <w:szCs w:val="20"/>
              </w:rPr>
              <w:t>Крайно потребление</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2</w:t>
            </w:r>
            <w:r>
              <w:rPr>
                <w:noProof/>
                <w:snapToGrid w:val="0"/>
                <w:sz w:val="20"/>
                <w:szCs w:val="20"/>
              </w:rPr>
              <w:t>,</w:t>
            </w:r>
            <w:r w:rsidRPr="008F6E60">
              <w:rPr>
                <w:noProof/>
                <w:snapToGrid w:val="0"/>
                <w:sz w:val="20"/>
                <w:szCs w:val="20"/>
                <w:lang w:val="en-US"/>
              </w:rPr>
              <w:t>9</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2</w:t>
            </w:r>
            <w:r>
              <w:rPr>
                <w:noProof/>
                <w:snapToGrid w:val="0"/>
                <w:sz w:val="20"/>
                <w:szCs w:val="20"/>
              </w:rPr>
              <w:t>,</w:t>
            </w:r>
            <w:r w:rsidRPr="008F6E60">
              <w:rPr>
                <w:noProof/>
                <w:snapToGrid w:val="0"/>
                <w:sz w:val="20"/>
                <w:szCs w:val="20"/>
                <w:lang w:val="en-US"/>
              </w:rPr>
              <w:t>3</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-1</w:t>
            </w:r>
            <w:r>
              <w:rPr>
                <w:noProof/>
                <w:snapToGrid w:val="0"/>
                <w:sz w:val="20"/>
                <w:szCs w:val="20"/>
              </w:rPr>
              <w:t>,</w:t>
            </w:r>
            <w:r w:rsidRPr="008F6E60">
              <w:rPr>
                <w:noProof/>
                <w:snapToGrid w:val="0"/>
                <w:sz w:val="20"/>
                <w:szCs w:val="20"/>
                <w:lang w:val="en-US"/>
              </w:rPr>
              <w:t>4</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-1</w:t>
            </w:r>
            <w:r>
              <w:rPr>
                <w:noProof/>
                <w:snapToGrid w:val="0"/>
                <w:sz w:val="20"/>
                <w:szCs w:val="20"/>
              </w:rPr>
              <w:t>,</w:t>
            </w:r>
            <w:r w:rsidRPr="008F6E60">
              <w:rPr>
                <w:noProof/>
                <w:snapToGrid w:val="0"/>
                <w:sz w:val="20"/>
                <w:szCs w:val="20"/>
                <w:lang w:val="en-US"/>
              </w:rPr>
              <w:t>1</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81</w:t>
            </w:r>
            <w:r>
              <w:rPr>
                <w:noProof/>
                <w:snapToGrid w:val="0"/>
                <w:sz w:val="20"/>
                <w:szCs w:val="20"/>
              </w:rPr>
              <w:t>,</w:t>
            </w:r>
            <w:r w:rsidRPr="008F6E60">
              <w:rPr>
                <w:noProof/>
                <w:snapToGrid w:val="0"/>
                <w:sz w:val="20"/>
                <w:szCs w:val="20"/>
                <w:lang w:val="en-US"/>
              </w:rPr>
              <w:t>3</w:t>
            </w:r>
          </w:p>
        </w:tc>
        <w:tc>
          <w:tcPr>
            <w:tcW w:w="1013" w:type="dxa"/>
            <w:tcBorders>
              <w:top w:val="single" w:sz="4" w:space="0" w:color="990000"/>
              <w:left w:val="single" w:sz="4" w:space="0" w:color="990000"/>
              <w:bottom w:val="nil"/>
              <w:right w:val="thickThinSmallGap" w:sz="12"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80</w:t>
            </w:r>
            <w:r>
              <w:rPr>
                <w:noProof/>
                <w:snapToGrid w:val="0"/>
                <w:sz w:val="20"/>
                <w:szCs w:val="20"/>
              </w:rPr>
              <w:t>,</w:t>
            </w:r>
            <w:r w:rsidRPr="008F6E60">
              <w:rPr>
                <w:noProof/>
                <w:snapToGrid w:val="0"/>
                <w:sz w:val="20"/>
                <w:szCs w:val="20"/>
                <w:lang w:val="en-US"/>
              </w:rPr>
              <w:t>0</w:t>
            </w:r>
          </w:p>
        </w:tc>
      </w:tr>
      <w:tr w:rsidR="000938C1" w:rsidRPr="008F6E60" w:rsidTr="00246730">
        <w:trPr>
          <w:trHeight w:val="268"/>
          <w:jc w:val="center"/>
        </w:trPr>
        <w:tc>
          <w:tcPr>
            <w:tcW w:w="3030" w:type="dxa"/>
            <w:tcBorders>
              <w:top w:val="nil"/>
              <w:left w:val="thickThinSmallGap" w:sz="12" w:space="0" w:color="990000"/>
              <w:bottom w:val="nil"/>
              <w:right w:val="single" w:sz="4" w:space="0" w:color="990000"/>
            </w:tcBorders>
            <w:shd w:val="clear" w:color="auto" w:fill="FFFFCC"/>
            <w:vAlign w:val="center"/>
          </w:tcPr>
          <w:p w:rsidR="000938C1" w:rsidRPr="008F6E60" w:rsidRDefault="000938C1" w:rsidP="008F6E60">
            <w:pPr>
              <w:spacing w:before="20" w:after="20"/>
              <w:rPr>
                <w:noProof/>
                <w:snapToGrid w:val="0"/>
                <w:sz w:val="20"/>
                <w:szCs w:val="20"/>
              </w:rPr>
            </w:pPr>
            <w:r w:rsidRPr="008F6E60">
              <w:rPr>
                <w:noProof/>
                <w:snapToGrid w:val="0"/>
                <w:sz w:val="20"/>
                <w:szCs w:val="20"/>
              </w:rPr>
              <w:t>Инвестиции в основен капитал</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rPr>
            </w:pPr>
            <w:r w:rsidRPr="008F6E60">
              <w:rPr>
                <w:noProof/>
                <w:snapToGrid w:val="0"/>
                <w:sz w:val="20"/>
                <w:szCs w:val="20"/>
                <w:lang w:val="en-US"/>
              </w:rPr>
              <w:t>4</w:t>
            </w:r>
            <w:r>
              <w:rPr>
                <w:noProof/>
                <w:snapToGrid w:val="0"/>
                <w:sz w:val="20"/>
                <w:szCs w:val="20"/>
              </w:rPr>
              <w:t>,</w:t>
            </w:r>
            <w:r w:rsidRPr="008F6E60">
              <w:rPr>
                <w:noProof/>
                <w:snapToGrid w:val="0"/>
                <w:sz w:val="20"/>
                <w:szCs w:val="20"/>
              </w:rPr>
              <w:t>0</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0</w:t>
            </w:r>
            <w:r>
              <w:rPr>
                <w:noProof/>
                <w:snapToGrid w:val="0"/>
                <w:sz w:val="20"/>
                <w:szCs w:val="20"/>
              </w:rPr>
              <w:t>,</w:t>
            </w:r>
            <w:r w:rsidRPr="008F6E60">
              <w:rPr>
                <w:noProof/>
                <w:snapToGrid w:val="0"/>
                <w:sz w:val="20"/>
                <w:szCs w:val="20"/>
                <w:lang w:val="en-US"/>
              </w:rPr>
              <w:t>9</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-0</w:t>
            </w:r>
            <w:r>
              <w:rPr>
                <w:noProof/>
                <w:snapToGrid w:val="0"/>
                <w:sz w:val="20"/>
                <w:szCs w:val="20"/>
              </w:rPr>
              <w:t>,</w:t>
            </w:r>
            <w:r w:rsidRPr="008F6E60">
              <w:rPr>
                <w:noProof/>
                <w:snapToGrid w:val="0"/>
                <w:sz w:val="20"/>
                <w:szCs w:val="20"/>
                <w:lang w:val="en-US"/>
              </w:rPr>
              <w:t>3</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-0</w:t>
            </w:r>
            <w:r>
              <w:rPr>
                <w:noProof/>
                <w:snapToGrid w:val="0"/>
                <w:sz w:val="20"/>
                <w:szCs w:val="20"/>
              </w:rPr>
              <w:t>,</w:t>
            </w:r>
            <w:r w:rsidRPr="008F6E60">
              <w:rPr>
                <w:noProof/>
                <w:snapToGrid w:val="0"/>
                <w:sz w:val="20"/>
                <w:szCs w:val="20"/>
                <w:lang w:val="en-US"/>
              </w:rPr>
              <w:t>1</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rPr>
              <w:t>21</w:t>
            </w:r>
            <w:r>
              <w:rPr>
                <w:noProof/>
                <w:snapToGrid w:val="0"/>
                <w:sz w:val="20"/>
                <w:szCs w:val="20"/>
              </w:rPr>
              <w:t>,</w:t>
            </w:r>
            <w:r w:rsidRPr="008F6E60">
              <w:rPr>
                <w:noProof/>
                <w:snapToGrid w:val="0"/>
                <w:sz w:val="20"/>
                <w:szCs w:val="20"/>
                <w:lang w:val="en-US"/>
              </w:rPr>
              <w:t>4</w:t>
            </w:r>
          </w:p>
        </w:tc>
        <w:tc>
          <w:tcPr>
            <w:tcW w:w="1013" w:type="dxa"/>
            <w:tcBorders>
              <w:top w:val="nil"/>
              <w:left w:val="single" w:sz="4" w:space="0" w:color="990000"/>
              <w:bottom w:val="nil"/>
              <w:right w:val="thickThinSmallGap" w:sz="12"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20</w:t>
            </w:r>
            <w:r>
              <w:rPr>
                <w:noProof/>
                <w:snapToGrid w:val="0"/>
                <w:sz w:val="20"/>
                <w:szCs w:val="20"/>
              </w:rPr>
              <w:t>,</w:t>
            </w:r>
            <w:r w:rsidRPr="008F6E60">
              <w:rPr>
                <w:noProof/>
                <w:snapToGrid w:val="0"/>
                <w:sz w:val="20"/>
                <w:szCs w:val="20"/>
                <w:lang w:val="en-US"/>
              </w:rPr>
              <w:t>7</w:t>
            </w:r>
          </w:p>
        </w:tc>
      </w:tr>
      <w:tr w:rsidR="000938C1" w:rsidRPr="008F6E60" w:rsidTr="00246730">
        <w:trPr>
          <w:trHeight w:val="211"/>
          <w:jc w:val="center"/>
        </w:trPr>
        <w:tc>
          <w:tcPr>
            <w:tcW w:w="3030" w:type="dxa"/>
            <w:tcBorders>
              <w:top w:val="nil"/>
              <w:left w:val="thickThinSmallGap" w:sz="12" w:space="0" w:color="990000"/>
              <w:bottom w:val="nil"/>
              <w:right w:val="single" w:sz="4" w:space="0" w:color="990000"/>
            </w:tcBorders>
            <w:shd w:val="clear" w:color="auto" w:fill="FFFFCC"/>
            <w:vAlign w:val="center"/>
          </w:tcPr>
          <w:p w:rsidR="000938C1" w:rsidRPr="008F6E60" w:rsidRDefault="000938C1" w:rsidP="008F6E60">
            <w:pPr>
              <w:spacing w:before="20" w:after="20"/>
              <w:rPr>
                <w:noProof/>
                <w:snapToGrid w:val="0"/>
                <w:sz w:val="20"/>
                <w:szCs w:val="20"/>
              </w:rPr>
            </w:pPr>
            <w:r w:rsidRPr="008F6E60">
              <w:rPr>
                <w:noProof/>
                <w:snapToGrid w:val="0"/>
                <w:sz w:val="20"/>
                <w:szCs w:val="20"/>
              </w:rPr>
              <w:t>Износ на стоки и услуги</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-0</w:t>
            </w:r>
            <w:r>
              <w:rPr>
                <w:noProof/>
                <w:snapToGrid w:val="0"/>
                <w:sz w:val="20"/>
                <w:szCs w:val="20"/>
              </w:rPr>
              <w:t>,</w:t>
            </w:r>
            <w:r w:rsidRPr="008F6E60">
              <w:rPr>
                <w:noProof/>
                <w:snapToGrid w:val="0"/>
                <w:sz w:val="20"/>
                <w:szCs w:val="20"/>
                <w:lang w:val="en-US"/>
              </w:rPr>
              <w:t>4</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-0</w:t>
            </w:r>
            <w:r>
              <w:rPr>
                <w:noProof/>
                <w:snapToGrid w:val="0"/>
                <w:sz w:val="20"/>
                <w:szCs w:val="20"/>
              </w:rPr>
              <w:t>,</w:t>
            </w:r>
            <w:r w:rsidRPr="008F6E60">
              <w:rPr>
                <w:noProof/>
                <w:snapToGrid w:val="0"/>
                <w:sz w:val="20"/>
                <w:szCs w:val="20"/>
                <w:lang w:val="en-US"/>
              </w:rPr>
              <w:t>3</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8</w:t>
            </w:r>
            <w:r>
              <w:rPr>
                <w:noProof/>
                <w:snapToGrid w:val="0"/>
                <w:sz w:val="20"/>
                <w:szCs w:val="20"/>
              </w:rPr>
              <w:t>,</w:t>
            </w:r>
            <w:r w:rsidRPr="008F6E60">
              <w:rPr>
                <w:noProof/>
                <w:snapToGrid w:val="0"/>
                <w:sz w:val="20"/>
                <w:szCs w:val="20"/>
                <w:lang w:val="en-US"/>
              </w:rPr>
              <w:t>9</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rPr>
            </w:pPr>
            <w:r w:rsidRPr="008F6E60">
              <w:rPr>
                <w:noProof/>
                <w:snapToGrid w:val="0"/>
                <w:sz w:val="20"/>
                <w:szCs w:val="20"/>
                <w:lang w:val="en-US"/>
              </w:rPr>
              <w:t>6</w:t>
            </w:r>
            <w:r>
              <w:rPr>
                <w:noProof/>
                <w:snapToGrid w:val="0"/>
                <w:sz w:val="20"/>
                <w:szCs w:val="20"/>
              </w:rPr>
              <w:t>,</w:t>
            </w:r>
            <w:r w:rsidRPr="008F6E60">
              <w:rPr>
                <w:noProof/>
                <w:snapToGrid w:val="0"/>
                <w:sz w:val="20"/>
                <w:szCs w:val="20"/>
              </w:rPr>
              <w:t>0</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rPr>
              <w:t>66</w:t>
            </w:r>
            <w:r>
              <w:rPr>
                <w:noProof/>
                <w:snapToGrid w:val="0"/>
                <w:sz w:val="20"/>
                <w:szCs w:val="20"/>
              </w:rPr>
              <w:t>,</w:t>
            </w:r>
            <w:r w:rsidRPr="008F6E60">
              <w:rPr>
                <w:noProof/>
                <w:snapToGrid w:val="0"/>
                <w:sz w:val="20"/>
                <w:szCs w:val="20"/>
                <w:lang w:val="en-US"/>
              </w:rPr>
              <w:t>7</w:t>
            </w:r>
          </w:p>
        </w:tc>
        <w:tc>
          <w:tcPr>
            <w:tcW w:w="1013" w:type="dxa"/>
            <w:tcBorders>
              <w:top w:val="nil"/>
              <w:left w:val="single" w:sz="4" w:space="0" w:color="990000"/>
              <w:bottom w:val="nil"/>
              <w:right w:val="thickThinSmallGap" w:sz="12"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70</w:t>
            </w:r>
            <w:r>
              <w:rPr>
                <w:noProof/>
                <w:snapToGrid w:val="0"/>
                <w:sz w:val="20"/>
                <w:szCs w:val="20"/>
              </w:rPr>
              <w:t>,</w:t>
            </w:r>
            <w:r w:rsidRPr="008F6E60">
              <w:rPr>
                <w:noProof/>
                <w:snapToGrid w:val="0"/>
                <w:sz w:val="20"/>
                <w:szCs w:val="20"/>
                <w:lang w:val="en-US"/>
              </w:rPr>
              <w:t>2</w:t>
            </w:r>
          </w:p>
        </w:tc>
      </w:tr>
      <w:tr w:rsidR="000938C1" w:rsidRPr="008F6E60" w:rsidTr="00246730">
        <w:trPr>
          <w:trHeight w:val="124"/>
          <w:jc w:val="center"/>
        </w:trPr>
        <w:tc>
          <w:tcPr>
            <w:tcW w:w="3030" w:type="dxa"/>
            <w:tcBorders>
              <w:top w:val="nil"/>
              <w:left w:val="thickThinSmallGap" w:sz="12" w:space="0" w:color="990000"/>
              <w:bottom w:val="nil"/>
              <w:right w:val="single" w:sz="4" w:space="0" w:color="990000"/>
            </w:tcBorders>
            <w:shd w:val="clear" w:color="auto" w:fill="FFFFCC"/>
            <w:vAlign w:val="center"/>
          </w:tcPr>
          <w:p w:rsidR="000938C1" w:rsidRPr="008F6E60" w:rsidRDefault="000938C1" w:rsidP="008F6E60">
            <w:pPr>
              <w:spacing w:before="20" w:after="20"/>
              <w:rPr>
                <w:noProof/>
                <w:snapToGrid w:val="0"/>
                <w:sz w:val="20"/>
                <w:szCs w:val="20"/>
              </w:rPr>
            </w:pPr>
            <w:r w:rsidRPr="008F6E60">
              <w:rPr>
                <w:noProof/>
                <w:snapToGrid w:val="0"/>
                <w:sz w:val="20"/>
                <w:szCs w:val="20"/>
              </w:rPr>
              <w:t xml:space="preserve">Внос на стоки и услуги </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3</w:t>
            </w:r>
            <w:r>
              <w:rPr>
                <w:noProof/>
                <w:snapToGrid w:val="0"/>
                <w:sz w:val="20"/>
                <w:szCs w:val="20"/>
              </w:rPr>
              <w:t>,</w:t>
            </w:r>
            <w:r w:rsidRPr="008F6E60">
              <w:rPr>
                <w:noProof/>
                <w:snapToGrid w:val="0"/>
                <w:sz w:val="20"/>
                <w:szCs w:val="20"/>
                <w:lang w:val="en-US"/>
              </w:rPr>
              <w:t>3</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-2</w:t>
            </w:r>
            <w:r>
              <w:rPr>
                <w:noProof/>
                <w:snapToGrid w:val="0"/>
                <w:sz w:val="20"/>
                <w:szCs w:val="20"/>
              </w:rPr>
              <w:t>,</w:t>
            </w:r>
            <w:r w:rsidRPr="008F6E60">
              <w:rPr>
                <w:noProof/>
                <w:snapToGrid w:val="0"/>
                <w:sz w:val="20"/>
                <w:szCs w:val="20"/>
                <w:lang w:val="en-US"/>
              </w:rPr>
              <w:t>2</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5</w:t>
            </w:r>
            <w:r>
              <w:rPr>
                <w:noProof/>
                <w:snapToGrid w:val="0"/>
                <w:sz w:val="20"/>
                <w:szCs w:val="20"/>
              </w:rPr>
              <w:t>,</w:t>
            </w:r>
            <w:r w:rsidRPr="008F6E60">
              <w:rPr>
                <w:noProof/>
                <w:snapToGrid w:val="0"/>
                <w:sz w:val="20"/>
                <w:szCs w:val="20"/>
                <w:lang w:val="en-US"/>
              </w:rPr>
              <w:t>7</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-3</w:t>
            </w:r>
            <w:r>
              <w:rPr>
                <w:noProof/>
                <w:snapToGrid w:val="0"/>
                <w:sz w:val="20"/>
                <w:szCs w:val="20"/>
              </w:rPr>
              <w:t>,</w:t>
            </w:r>
            <w:r w:rsidRPr="008F6E60">
              <w:rPr>
                <w:noProof/>
                <w:snapToGrid w:val="0"/>
                <w:sz w:val="20"/>
                <w:szCs w:val="20"/>
                <w:lang w:val="en-US"/>
              </w:rPr>
              <w:t>9</w:t>
            </w:r>
          </w:p>
        </w:tc>
        <w:tc>
          <w:tcPr>
            <w:tcW w:w="1012" w:type="dxa"/>
            <w:tcBorders>
              <w:top w:val="nil"/>
              <w:left w:val="single" w:sz="4" w:space="0" w:color="990000"/>
              <w:bottom w:val="nil"/>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69</w:t>
            </w:r>
            <w:r>
              <w:rPr>
                <w:noProof/>
                <w:snapToGrid w:val="0"/>
                <w:sz w:val="20"/>
                <w:szCs w:val="20"/>
              </w:rPr>
              <w:t>,</w:t>
            </w:r>
            <w:r w:rsidRPr="008F6E60">
              <w:rPr>
                <w:noProof/>
                <w:snapToGrid w:val="0"/>
                <w:sz w:val="20"/>
                <w:szCs w:val="20"/>
                <w:lang w:val="en-US"/>
              </w:rPr>
              <w:t>7</w:t>
            </w:r>
          </w:p>
        </w:tc>
        <w:tc>
          <w:tcPr>
            <w:tcW w:w="1013" w:type="dxa"/>
            <w:tcBorders>
              <w:top w:val="nil"/>
              <w:left w:val="single" w:sz="4" w:space="0" w:color="990000"/>
              <w:bottom w:val="nil"/>
              <w:right w:val="thickThinSmallGap" w:sz="12"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71</w:t>
            </w:r>
            <w:r>
              <w:rPr>
                <w:noProof/>
                <w:snapToGrid w:val="0"/>
                <w:sz w:val="20"/>
                <w:szCs w:val="20"/>
              </w:rPr>
              <w:t>,</w:t>
            </w:r>
            <w:r w:rsidRPr="008F6E60">
              <w:rPr>
                <w:noProof/>
                <w:snapToGrid w:val="0"/>
                <w:sz w:val="20"/>
                <w:szCs w:val="20"/>
                <w:lang w:val="en-US"/>
              </w:rPr>
              <w:t>2</w:t>
            </w:r>
          </w:p>
        </w:tc>
      </w:tr>
      <w:tr w:rsidR="000938C1" w:rsidRPr="008F6E60" w:rsidTr="00246730">
        <w:trPr>
          <w:trHeight w:val="193"/>
          <w:jc w:val="center"/>
        </w:trPr>
        <w:tc>
          <w:tcPr>
            <w:tcW w:w="3030" w:type="dxa"/>
            <w:tcBorders>
              <w:top w:val="nil"/>
              <w:left w:val="thickThinSmallGap" w:sz="12" w:space="0" w:color="990000"/>
              <w:bottom w:val="thickThinSmallGap" w:sz="12" w:space="0" w:color="990000"/>
              <w:right w:val="single" w:sz="4" w:space="0" w:color="990000"/>
            </w:tcBorders>
            <w:shd w:val="clear" w:color="auto" w:fill="FFFFCC"/>
            <w:vAlign w:val="center"/>
          </w:tcPr>
          <w:p w:rsidR="000938C1" w:rsidRPr="008F6E60" w:rsidRDefault="000938C1" w:rsidP="008F6E60">
            <w:pPr>
              <w:spacing w:before="20" w:after="20"/>
              <w:rPr>
                <w:noProof/>
                <w:snapToGrid w:val="0"/>
                <w:sz w:val="20"/>
                <w:szCs w:val="20"/>
              </w:rPr>
            </w:pPr>
            <w:r w:rsidRPr="008F6E60">
              <w:rPr>
                <w:noProof/>
                <w:snapToGrid w:val="0"/>
                <w:sz w:val="20"/>
                <w:szCs w:val="20"/>
              </w:rPr>
              <w:t>БВП</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0</w:t>
            </w:r>
            <w:r>
              <w:rPr>
                <w:noProof/>
                <w:snapToGrid w:val="0"/>
                <w:sz w:val="20"/>
                <w:szCs w:val="20"/>
              </w:rPr>
              <w:t>,</w:t>
            </w:r>
            <w:r w:rsidRPr="008F6E60">
              <w:rPr>
                <w:noProof/>
                <w:snapToGrid w:val="0"/>
                <w:sz w:val="20"/>
                <w:szCs w:val="20"/>
                <w:lang w:val="en-US"/>
              </w:rPr>
              <w:t>6</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lang w:val="en-US"/>
              </w:rPr>
              <w:t>0</w:t>
            </w:r>
            <w:r>
              <w:rPr>
                <w:noProof/>
                <w:snapToGrid w:val="0"/>
                <w:sz w:val="20"/>
                <w:szCs w:val="20"/>
              </w:rPr>
              <w:t>,</w:t>
            </w:r>
            <w:r w:rsidRPr="008F6E60">
              <w:rPr>
                <w:noProof/>
                <w:snapToGrid w:val="0"/>
                <w:sz w:val="20"/>
                <w:szCs w:val="20"/>
                <w:lang w:val="en-US"/>
              </w:rPr>
              <w:t>6</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rPr>
              <w:t>0</w:t>
            </w:r>
            <w:r>
              <w:rPr>
                <w:noProof/>
                <w:snapToGrid w:val="0"/>
                <w:sz w:val="20"/>
                <w:szCs w:val="20"/>
              </w:rPr>
              <w:t>,</w:t>
            </w:r>
            <w:r w:rsidRPr="008F6E60">
              <w:rPr>
                <w:noProof/>
                <w:snapToGrid w:val="0"/>
                <w:sz w:val="20"/>
                <w:szCs w:val="20"/>
                <w:lang w:val="en-US"/>
              </w:rPr>
              <w:t>9</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lang w:val="en-US"/>
              </w:rPr>
            </w:pPr>
            <w:r w:rsidRPr="008F6E60">
              <w:rPr>
                <w:noProof/>
                <w:snapToGrid w:val="0"/>
                <w:sz w:val="20"/>
                <w:szCs w:val="20"/>
              </w:rPr>
              <w:t>0</w:t>
            </w:r>
            <w:r>
              <w:rPr>
                <w:noProof/>
                <w:snapToGrid w:val="0"/>
                <w:sz w:val="20"/>
                <w:szCs w:val="20"/>
              </w:rPr>
              <w:t>,</w:t>
            </w:r>
            <w:r w:rsidRPr="008F6E60">
              <w:rPr>
                <w:noProof/>
                <w:snapToGrid w:val="0"/>
                <w:sz w:val="20"/>
                <w:szCs w:val="20"/>
                <w:lang w:val="en-US"/>
              </w:rPr>
              <w:t>9</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rPr>
            </w:pPr>
            <w:r w:rsidRPr="008F6E60">
              <w:rPr>
                <w:noProof/>
                <w:snapToGrid w:val="0"/>
                <w:sz w:val="20"/>
                <w:szCs w:val="20"/>
              </w:rPr>
              <w:t>100</w:t>
            </w:r>
            <w:r>
              <w:rPr>
                <w:noProof/>
                <w:snapToGrid w:val="0"/>
                <w:sz w:val="20"/>
                <w:szCs w:val="20"/>
              </w:rPr>
              <w:t>,</w:t>
            </w:r>
            <w:r w:rsidRPr="008F6E60">
              <w:rPr>
                <w:noProof/>
                <w:snapToGrid w:val="0"/>
                <w:sz w:val="20"/>
                <w:szCs w:val="20"/>
              </w:rPr>
              <w:t>0</w:t>
            </w:r>
          </w:p>
        </w:tc>
        <w:tc>
          <w:tcPr>
            <w:tcW w:w="1013" w:type="dxa"/>
            <w:tcBorders>
              <w:top w:val="nil"/>
              <w:left w:val="single" w:sz="4" w:space="0" w:color="990000"/>
              <w:bottom w:val="thickThinSmallGap" w:sz="12" w:space="0" w:color="990000"/>
              <w:right w:val="thickThinSmallGap" w:sz="12" w:space="0" w:color="990000"/>
            </w:tcBorders>
            <w:shd w:val="clear" w:color="auto" w:fill="FFFFCC"/>
            <w:vAlign w:val="center"/>
          </w:tcPr>
          <w:p w:rsidR="000938C1" w:rsidRPr="008F6E60" w:rsidRDefault="000938C1" w:rsidP="008F6E60">
            <w:pPr>
              <w:spacing w:before="20" w:after="20"/>
              <w:ind w:right="198"/>
              <w:jc w:val="right"/>
              <w:rPr>
                <w:noProof/>
                <w:snapToGrid w:val="0"/>
                <w:sz w:val="20"/>
                <w:szCs w:val="20"/>
              </w:rPr>
            </w:pPr>
            <w:r w:rsidRPr="008F6E60">
              <w:rPr>
                <w:noProof/>
                <w:snapToGrid w:val="0"/>
                <w:sz w:val="20"/>
                <w:szCs w:val="20"/>
              </w:rPr>
              <w:t>100</w:t>
            </w:r>
            <w:r>
              <w:rPr>
                <w:noProof/>
                <w:snapToGrid w:val="0"/>
                <w:sz w:val="20"/>
                <w:szCs w:val="20"/>
              </w:rPr>
              <w:t>,</w:t>
            </w:r>
            <w:r w:rsidRPr="008F6E60">
              <w:rPr>
                <w:noProof/>
                <w:snapToGrid w:val="0"/>
                <w:sz w:val="20"/>
                <w:szCs w:val="20"/>
              </w:rPr>
              <w:t>0</w:t>
            </w:r>
          </w:p>
        </w:tc>
      </w:tr>
    </w:tbl>
    <w:bookmarkEnd w:id="29"/>
    <w:p w:rsidR="000938C1" w:rsidRPr="008F6E60" w:rsidRDefault="000938C1" w:rsidP="008F6E60">
      <w:pPr>
        <w:tabs>
          <w:tab w:val="right" w:pos="9072"/>
        </w:tabs>
        <w:spacing w:before="120" w:after="240"/>
        <w:rPr>
          <w:bCs/>
          <w:i/>
          <w:sz w:val="20"/>
          <w:szCs w:val="20"/>
        </w:rPr>
      </w:pPr>
      <w:r w:rsidRPr="008F6E60">
        <w:rPr>
          <w:i/>
          <w:noProof/>
          <w:sz w:val="20"/>
          <w:szCs w:val="20"/>
        </w:rPr>
        <w:t>*Не е отразен приносът на изменението в запасите.</w:t>
      </w:r>
      <w:r w:rsidRPr="008F6E60">
        <w:rPr>
          <w:i/>
          <w:noProof/>
          <w:sz w:val="20"/>
          <w:szCs w:val="20"/>
        </w:rPr>
        <w:tab/>
      </w:r>
      <w:r w:rsidRPr="008F6E60">
        <w:rPr>
          <w:bCs/>
          <w:i/>
          <w:sz w:val="20"/>
          <w:szCs w:val="20"/>
        </w:rPr>
        <w:t>Източник: НСИ, МФ</w:t>
      </w:r>
    </w:p>
    <w:p w:rsidR="000938C1" w:rsidRPr="008F6E60" w:rsidRDefault="000938C1" w:rsidP="008F6E60">
      <w:pPr>
        <w:spacing w:after="120"/>
        <w:ind w:firstLine="709"/>
        <w:jc w:val="both"/>
        <w:outlineLvl w:val="3"/>
      </w:pPr>
      <w:r w:rsidRPr="008F6E60">
        <w:t>Икономическата активност в страната се ускори и по линия на предлагането, като растежът на брутната добавена стойност бе 1,1% в реално изражение, с положителен принос на услугите и аграрния сектор.</w:t>
      </w:r>
    </w:p>
    <w:p w:rsidR="000938C1" w:rsidRDefault="000938C1" w:rsidP="008F6E60">
      <w:pPr>
        <w:spacing w:after="120"/>
        <w:ind w:firstLine="709"/>
        <w:jc w:val="both"/>
      </w:pPr>
      <w:r w:rsidRPr="008F6E60">
        <w:t>Добавената стойност в сектора на услугите нарасна с 1,5%. С основен  положителен принос бяха отраслите ”Държавно управление” и ”Финансови и застрахователни дейности”. Ниското потребителско търсене се отрази в спад при ”Търговия, транспорт, пощи, хотелиерство и ресторантьорство”. Слабото вътрешно търсене повлия и на промишления сектор, чиято добавена стойност намаля с 0,1%. Данните за оборотите в промишлеността показват ръст на тези на външния пазар от 3,8% и спад на вътрешния от 3,9%. Спадът на добавената стойност в строителния сектор продължи, но със забавени темпове и достигна 1%. Добрата реколта през годината и повишената продукция на зърнени и технически култури доведе до ръст на добавената стойност в селското стопанство от 3,4</w:t>
      </w:r>
      <w:r>
        <w:t xml:space="preserve"> процентни пункта</w:t>
      </w:r>
      <w:r w:rsidRPr="008F6E60">
        <w:t>.</w:t>
      </w:r>
    </w:p>
    <w:p w:rsidR="000938C1" w:rsidRPr="00A732CE" w:rsidRDefault="000938C1" w:rsidP="00F30F79">
      <w:pPr>
        <w:pStyle w:val="Heading3"/>
        <w:numPr>
          <w:ilvl w:val="1"/>
          <w:numId w:val="9"/>
        </w:numPr>
        <w:spacing w:after="120"/>
        <w:rPr>
          <w:rFonts w:ascii="Times New Roman" w:hAnsi="Times New Roman" w:cs="Times New Roman"/>
          <w:sz w:val="24"/>
          <w:szCs w:val="24"/>
          <w:lang w:val="bg-BG"/>
        </w:rPr>
      </w:pPr>
      <w:bookmarkStart w:id="30" w:name="_Toc393728042"/>
      <w:r w:rsidRPr="00A732CE">
        <w:rPr>
          <w:rFonts w:ascii="Times New Roman" w:hAnsi="Times New Roman" w:cs="Times New Roman"/>
          <w:sz w:val="24"/>
          <w:szCs w:val="24"/>
          <w:lang w:val="bg-BG"/>
        </w:rPr>
        <w:t>Инфлация</w:t>
      </w:r>
      <w:bookmarkEnd w:id="27"/>
      <w:bookmarkEnd w:id="28"/>
      <w:bookmarkEnd w:id="30"/>
    </w:p>
    <w:p w:rsidR="000938C1" w:rsidRPr="00A732CE" w:rsidRDefault="000938C1" w:rsidP="00A732CE">
      <w:pPr>
        <w:ind w:firstLine="709"/>
        <w:jc w:val="both"/>
        <w:rPr>
          <w:color w:val="0070C0"/>
        </w:rPr>
      </w:pPr>
      <w:bookmarkStart w:id="31" w:name="_Toc261276553"/>
      <w:bookmarkStart w:id="32" w:name="_Toc324863384"/>
      <w:r w:rsidRPr="00A732CE">
        <w:t>От началото на 2013 г. бе наблюдавано съществено забавяне в инфлацията. Общият ХИПЦ по месеци на годишна база дори премина на отрицателна територия през август, а дефлацията в края на периода възлезе на 0,9</w:t>
      </w:r>
      <w:r>
        <w:t xml:space="preserve"> </w:t>
      </w:r>
      <w:r w:rsidRPr="00A732CE">
        <w:t>%. Най-съществен принос за това имаха корекциите в административните цени през годината, но влияние оказа и низходящата тенденция при международните цени на храните и енергийните суровини, както и слабото вътрешно търсене. Средногодишната инфлация се забави до 0,4</w:t>
      </w:r>
      <w:r>
        <w:t xml:space="preserve"> процента</w:t>
      </w:r>
      <w:r w:rsidRPr="00A732CE">
        <w:t>.</w:t>
      </w:r>
    </w:p>
    <w:p w:rsidR="000938C1" w:rsidRPr="00A732CE" w:rsidRDefault="000938C1" w:rsidP="00A732CE">
      <w:pPr>
        <w:ind w:firstLine="709"/>
        <w:jc w:val="both"/>
        <w:outlineLvl w:val="3"/>
      </w:pPr>
      <w:r w:rsidRPr="00A732CE">
        <w:t>Спадът при международните цени на храните и енергийните суровини и поскъпването на еврото спрямо щатския долар през втората половина на годината предизвикаха дефлационен ефект върху производствените и потребителските цени в страната. Инфлацията при хранителните продукти се понижи значително и в края на годината цените им отчетоха спад от 0,8</w:t>
      </w:r>
      <w:r>
        <w:t xml:space="preserve"> </w:t>
      </w:r>
      <w:r w:rsidRPr="00A732CE">
        <w:t>% на годишна база, при ръст от 4,6</w:t>
      </w:r>
      <w:r>
        <w:t xml:space="preserve"> </w:t>
      </w:r>
      <w:r w:rsidRPr="00A732CE">
        <w:t>% през декември 2012 г. Основен принос за това имаше отчетеното забавяне при непреработените храни, особено през втората половина на годината. Динамиката при пазарните цени на автомобилните горива също следваше развитието на международните цени на суровия петрол, като се характеризираше с известни колебания през годината. Отчетеното поевтиняване по месеци на годишна база през второто полугодие се забави и в края на годината енергийните стоки (без административни цени) отчетоха минимално поскъпване от 2,2</w:t>
      </w:r>
      <w:r>
        <w:t xml:space="preserve"> </w:t>
      </w:r>
      <w:r w:rsidRPr="00A732CE">
        <w:t>% при 6,3</w:t>
      </w:r>
      <w:r>
        <w:t xml:space="preserve"> </w:t>
      </w:r>
      <w:r w:rsidRPr="00A732CE">
        <w:t>% година по-рано. През януари бе направено планираното увеличение на акциза върху дизела, но според направените оценки тази административна промяна има относително малък принос за изменението на общия индекс (0,03 п.п.).</w:t>
      </w:r>
    </w:p>
    <w:p w:rsidR="000938C1" w:rsidRPr="00A732CE" w:rsidRDefault="000938C1" w:rsidP="00A732CE">
      <w:pPr>
        <w:spacing w:after="120"/>
        <w:ind w:firstLine="709"/>
        <w:jc w:val="both"/>
        <w:rPr>
          <w:color w:val="0070C0"/>
        </w:rPr>
      </w:pPr>
      <w:r w:rsidRPr="00A732CE">
        <w:t>От вътрешните фактори с голям принос за понижението на общия индекс бе намалението в административните цени, което в края на годината възлезе на 3</w:t>
      </w:r>
      <w:r>
        <w:t>,</w:t>
      </w:r>
      <w:r w:rsidRPr="00A732CE">
        <w:t>9</w:t>
      </w:r>
      <w:r>
        <w:t xml:space="preserve"> </w:t>
      </w:r>
      <w:r w:rsidRPr="00A732CE">
        <w:t>%, а приносът му за понижението на общия ХИПЦ се оценява на 0,7 п.п. Голяма част от този принос се дължеше на направените корекции в цената на електроенергията за битови потребители, съответно през март и август, като натрупаното й понижение към декември възлезе на 11,</w:t>
      </w:r>
      <w:r>
        <w:rPr>
          <w:lang w:val="en-US"/>
        </w:rPr>
        <w:t>2</w:t>
      </w:r>
      <w:r>
        <w:t xml:space="preserve"> </w:t>
      </w:r>
      <w:r w:rsidRPr="00A732CE">
        <w:t>%. С по-ниски цени бяха също топлоенергията, централно газоснабдяване, лекарствата.</w:t>
      </w:r>
    </w:p>
    <w:p w:rsidR="000938C1" w:rsidRPr="00A732CE" w:rsidRDefault="000938C1" w:rsidP="00A732CE">
      <w:pPr>
        <w:ind w:firstLine="357"/>
        <w:jc w:val="center"/>
        <w:rPr>
          <w:b/>
          <w:bCs/>
          <w:i/>
          <w:noProof/>
          <w:lang w:eastAsia="en-US"/>
        </w:rPr>
      </w:pPr>
      <w:r w:rsidRPr="00A732CE">
        <w:rPr>
          <w:b/>
          <w:bCs/>
          <w:i/>
          <w:noProof/>
          <w:lang w:eastAsia="en-US"/>
        </w:rPr>
        <w:t xml:space="preserve">ХИПЦ по основни компоненти </w:t>
      </w:r>
    </w:p>
    <w:p w:rsidR="000938C1" w:rsidRPr="00A732CE" w:rsidRDefault="000938C1" w:rsidP="00A732CE">
      <w:pPr>
        <w:ind w:firstLine="357"/>
        <w:jc w:val="center"/>
        <w:rPr>
          <w:bCs/>
          <w:i/>
          <w:noProof/>
          <w:lang w:eastAsia="en-US"/>
        </w:rPr>
      </w:pPr>
      <w:r w:rsidRPr="00A732CE">
        <w:rPr>
          <w:bCs/>
          <w:i/>
          <w:noProof/>
          <w:lang w:eastAsia="en-US"/>
        </w:rPr>
        <w:t>(изменение в % спрямо съответния месец на предходната година)</w:t>
      </w:r>
    </w:p>
    <w:p w:rsidR="000938C1" w:rsidRPr="00A732CE" w:rsidRDefault="000938C1" w:rsidP="00A732CE">
      <w:pPr>
        <w:autoSpaceDE w:val="0"/>
        <w:autoSpaceDN w:val="0"/>
        <w:adjustRightInd w:val="0"/>
        <w:ind w:firstLine="709"/>
        <w:jc w:val="right"/>
        <w:rPr>
          <w:i/>
          <w:color w:val="0070C0"/>
          <w:sz w:val="20"/>
          <w:szCs w:val="20"/>
        </w:rPr>
      </w:pPr>
    </w:p>
    <w:tbl>
      <w:tblPr>
        <w:tblW w:w="8965" w:type="dxa"/>
        <w:jc w:val="center"/>
        <w:tblBorders>
          <w:top w:val="thickThinSmallGap" w:sz="12" w:space="0" w:color="990000"/>
          <w:left w:val="thickThinSmallGap" w:sz="12" w:space="0" w:color="990000"/>
          <w:bottom w:val="thinThickSmallGap" w:sz="12" w:space="0" w:color="990000"/>
          <w:right w:val="thinThickSmallGap" w:sz="12" w:space="0" w:color="990000"/>
          <w:insideH w:val="single" w:sz="6" w:space="0" w:color="990000"/>
          <w:insideV w:val="single" w:sz="6" w:space="0" w:color="990000"/>
        </w:tblBorders>
        <w:tblLayout w:type="fixed"/>
        <w:tblCellMar>
          <w:left w:w="70" w:type="dxa"/>
          <w:right w:w="70" w:type="dxa"/>
        </w:tblCellMar>
        <w:tblLook w:val="0000"/>
      </w:tblPr>
      <w:tblGrid>
        <w:gridCol w:w="2467"/>
        <w:gridCol w:w="541"/>
        <w:gridCol w:w="542"/>
        <w:gridCol w:w="541"/>
        <w:gridCol w:w="542"/>
        <w:gridCol w:w="541"/>
        <w:gridCol w:w="542"/>
        <w:gridCol w:w="541"/>
        <w:gridCol w:w="542"/>
        <w:gridCol w:w="541"/>
        <w:gridCol w:w="542"/>
        <w:gridCol w:w="541"/>
        <w:gridCol w:w="542"/>
      </w:tblGrid>
      <w:tr w:rsidR="000938C1" w:rsidRPr="00A732CE" w:rsidTr="00246730">
        <w:trPr>
          <w:trHeight w:val="315"/>
          <w:jc w:val="center"/>
        </w:trPr>
        <w:tc>
          <w:tcPr>
            <w:tcW w:w="2467" w:type="dxa"/>
            <w:vMerge w:val="restart"/>
            <w:tcBorders>
              <w:top w:val="thickThinSmallGap" w:sz="12" w:space="0" w:color="990000"/>
            </w:tcBorders>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Компоненти на ХИПЦ</w:t>
            </w:r>
          </w:p>
        </w:tc>
        <w:tc>
          <w:tcPr>
            <w:tcW w:w="6498" w:type="dxa"/>
            <w:gridSpan w:val="12"/>
            <w:tcBorders>
              <w:top w:val="thickThinSmallGap" w:sz="12" w:space="0" w:color="990000"/>
            </w:tcBorders>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Месеци на 2013 г.</w:t>
            </w:r>
          </w:p>
        </w:tc>
      </w:tr>
      <w:tr w:rsidR="000938C1" w:rsidRPr="00A732CE" w:rsidTr="00246730">
        <w:trPr>
          <w:trHeight w:val="315"/>
          <w:jc w:val="center"/>
        </w:trPr>
        <w:tc>
          <w:tcPr>
            <w:tcW w:w="2467" w:type="dxa"/>
            <w:vMerge/>
            <w:shd w:val="clear" w:color="auto" w:fill="990000"/>
          </w:tcPr>
          <w:p w:rsidR="000938C1" w:rsidRPr="00A732CE" w:rsidRDefault="000938C1" w:rsidP="00A732CE">
            <w:pPr>
              <w:jc w:val="center"/>
              <w:rPr>
                <w:b/>
                <w:bCs/>
                <w:color w:val="FFFFFF"/>
                <w:sz w:val="20"/>
                <w:szCs w:val="20"/>
              </w:rPr>
            </w:pPr>
          </w:p>
        </w:tc>
        <w:tc>
          <w:tcPr>
            <w:tcW w:w="541"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I</w:t>
            </w:r>
          </w:p>
        </w:tc>
        <w:tc>
          <w:tcPr>
            <w:tcW w:w="542"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II</w:t>
            </w:r>
          </w:p>
        </w:tc>
        <w:tc>
          <w:tcPr>
            <w:tcW w:w="541"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III</w:t>
            </w:r>
          </w:p>
        </w:tc>
        <w:tc>
          <w:tcPr>
            <w:tcW w:w="542"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IV</w:t>
            </w:r>
          </w:p>
        </w:tc>
        <w:tc>
          <w:tcPr>
            <w:tcW w:w="541"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V</w:t>
            </w:r>
          </w:p>
        </w:tc>
        <w:tc>
          <w:tcPr>
            <w:tcW w:w="542"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VI</w:t>
            </w:r>
          </w:p>
        </w:tc>
        <w:tc>
          <w:tcPr>
            <w:tcW w:w="541"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VII</w:t>
            </w:r>
          </w:p>
        </w:tc>
        <w:tc>
          <w:tcPr>
            <w:tcW w:w="542"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VIII</w:t>
            </w:r>
          </w:p>
        </w:tc>
        <w:tc>
          <w:tcPr>
            <w:tcW w:w="541"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IX</w:t>
            </w:r>
          </w:p>
        </w:tc>
        <w:tc>
          <w:tcPr>
            <w:tcW w:w="542"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X</w:t>
            </w:r>
          </w:p>
        </w:tc>
        <w:tc>
          <w:tcPr>
            <w:tcW w:w="541"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XI</w:t>
            </w:r>
          </w:p>
        </w:tc>
        <w:tc>
          <w:tcPr>
            <w:tcW w:w="542" w:type="dxa"/>
            <w:shd w:val="clear" w:color="auto" w:fill="990000"/>
            <w:vAlign w:val="center"/>
          </w:tcPr>
          <w:p w:rsidR="000938C1" w:rsidRPr="00A732CE" w:rsidRDefault="000938C1" w:rsidP="00A732CE">
            <w:pPr>
              <w:jc w:val="center"/>
              <w:rPr>
                <w:b/>
                <w:bCs/>
                <w:color w:val="FFFFFF"/>
                <w:sz w:val="20"/>
                <w:szCs w:val="20"/>
              </w:rPr>
            </w:pPr>
            <w:r w:rsidRPr="00A732CE">
              <w:rPr>
                <w:b/>
                <w:bCs/>
                <w:color w:val="FFFFFF"/>
                <w:sz w:val="20"/>
                <w:szCs w:val="20"/>
              </w:rPr>
              <w:t>XII</w:t>
            </w:r>
          </w:p>
        </w:tc>
      </w:tr>
      <w:tr w:rsidR="000938C1" w:rsidRPr="00A732CE" w:rsidTr="00246730">
        <w:trPr>
          <w:trHeight w:val="112"/>
          <w:jc w:val="center"/>
        </w:trPr>
        <w:tc>
          <w:tcPr>
            <w:tcW w:w="2467" w:type="dxa"/>
            <w:shd w:val="clear" w:color="auto" w:fill="FFFFCC"/>
            <w:vAlign w:val="bottom"/>
          </w:tcPr>
          <w:p w:rsidR="000938C1" w:rsidRPr="00A732CE" w:rsidRDefault="000938C1" w:rsidP="00932523">
            <w:pPr>
              <w:spacing w:beforeLines="20" w:afterLines="20"/>
              <w:rPr>
                <w:b/>
                <w:sz w:val="20"/>
                <w:szCs w:val="20"/>
              </w:rPr>
            </w:pPr>
            <w:r w:rsidRPr="00A732CE">
              <w:rPr>
                <w:b/>
                <w:sz w:val="20"/>
                <w:szCs w:val="20"/>
              </w:rPr>
              <w:t>Общ ХИПЦ</w:t>
            </w:r>
          </w:p>
        </w:tc>
        <w:tc>
          <w:tcPr>
            <w:tcW w:w="541"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2</w:t>
            </w:r>
            <w:r>
              <w:rPr>
                <w:b/>
                <w:sz w:val="20"/>
                <w:szCs w:val="20"/>
              </w:rPr>
              <w:t>,</w:t>
            </w:r>
            <w:r w:rsidRPr="00A732CE">
              <w:rPr>
                <w:b/>
                <w:sz w:val="20"/>
                <w:szCs w:val="20"/>
              </w:rPr>
              <w:t>6</w:t>
            </w:r>
          </w:p>
        </w:tc>
        <w:tc>
          <w:tcPr>
            <w:tcW w:w="542"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2</w:t>
            </w:r>
            <w:r>
              <w:rPr>
                <w:b/>
                <w:sz w:val="20"/>
                <w:szCs w:val="20"/>
              </w:rPr>
              <w:t>,</w:t>
            </w:r>
            <w:r w:rsidRPr="00A732CE">
              <w:rPr>
                <w:b/>
                <w:sz w:val="20"/>
                <w:szCs w:val="20"/>
              </w:rPr>
              <w:t>2</w:t>
            </w:r>
          </w:p>
        </w:tc>
        <w:tc>
          <w:tcPr>
            <w:tcW w:w="541"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1</w:t>
            </w:r>
            <w:r>
              <w:rPr>
                <w:b/>
                <w:sz w:val="20"/>
                <w:szCs w:val="20"/>
              </w:rPr>
              <w:t>,</w:t>
            </w:r>
            <w:r w:rsidRPr="00A732CE">
              <w:rPr>
                <w:b/>
                <w:sz w:val="20"/>
                <w:szCs w:val="20"/>
              </w:rPr>
              <w:t>6</w:t>
            </w:r>
          </w:p>
        </w:tc>
        <w:tc>
          <w:tcPr>
            <w:tcW w:w="542"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0</w:t>
            </w:r>
            <w:r>
              <w:rPr>
                <w:b/>
                <w:sz w:val="20"/>
                <w:szCs w:val="20"/>
              </w:rPr>
              <w:t>,</w:t>
            </w:r>
            <w:r w:rsidRPr="00A732CE">
              <w:rPr>
                <w:b/>
                <w:sz w:val="20"/>
                <w:szCs w:val="20"/>
              </w:rPr>
              <w:t>9</w:t>
            </w:r>
          </w:p>
        </w:tc>
        <w:tc>
          <w:tcPr>
            <w:tcW w:w="541"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1</w:t>
            </w:r>
            <w:r>
              <w:rPr>
                <w:b/>
                <w:sz w:val="20"/>
                <w:szCs w:val="20"/>
              </w:rPr>
              <w:t>,</w:t>
            </w:r>
            <w:r w:rsidRPr="00A732CE">
              <w:rPr>
                <w:b/>
                <w:sz w:val="20"/>
                <w:szCs w:val="20"/>
              </w:rPr>
              <w:t>0</w:t>
            </w:r>
          </w:p>
        </w:tc>
        <w:tc>
          <w:tcPr>
            <w:tcW w:w="542"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1</w:t>
            </w:r>
            <w:r>
              <w:rPr>
                <w:b/>
                <w:sz w:val="20"/>
                <w:szCs w:val="20"/>
              </w:rPr>
              <w:t>,</w:t>
            </w:r>
            <w:r w:rsidRPr="00A732CE">
              <w:rPr>
                <w:b/>
                <w:sz w:val="20"/>
                <w:szCs w:val="20"/>
              </w:rPr>
              <w:t>2</w:t>
            </w:r>
          </w:p>
        </w:tc>
        <w:tc>
          <w:tcPr>
            <w:tcW w:w="541"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0</w:t>
            </w:r>
            <w:r>
              <w:rPr>
                <w:b/>
                <w:sz w:val="20"/>
                <w:szCs w:val="20"/>
              </w:rPr>
              <w:t>,</w:t>
            </w:r>
            <w:r w:rsidRPr="00A732CE">
              <w:rPr>
                <w:b/>
                <w:sz w:val="20"/>
                <w:szCs w:val="20"/>
              </w:rPr>
              <w:t>0</w:t>
            </w:r>
          </w:p>
        </w:tc>
        <w:tc>
          <w:tcPr>
            <w:tcW w:w="542"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-0</w:t>
            </w:r>
            <w:r>
              <w:rPr>
                <w:b/>
                <w:sz w:val="20"/>
                <w:szCs w:val="20"/>
              </w:rPr>
              <w:t>,</w:t>
            </w:r>
            <w:r w:rsidRPr="00A732CE">
              <w:rPr>
                <w:b/>
                <w:sz w:val="20"/>
                <w:szCs w:val="20"/>
              </w:rPr>
              <w:t>7</w:t>
            </w:r>
          </w:p>
        </w:tc>
        <w:tc>
          <w:tcPr>
            <w:tcW w:w="541"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-1</w:t>
            </w:r>
            <w:r>
              <w:rPr>
                <w:b/>
                <w:sz w:val="20"/>
                <w:szCs w:val="20"/>
              </w:rPr>
              <w:t>,</w:t>
            </w:r>
            <w:r w:rsidRPr="00A732CE">
              <w:rPr>
                <w:b/>
                <w:sz w:val="20"/>
                <w:szCs w:val="20"/>
              </w:rPr>
              <w:t>3</w:t>
            </w:r>
          </w:p>
        </w:tc>
        <w:tc>
          <w:tcPr>
            <w:tcW w:w="542"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-1</w:t>
            </w:r>
            <w:r>
              <w:rPr>
                <w:b/>
                <w:sz w:val="20"/>
                <w:szCs w:val="20"/>
              </w:rPr>
              <w:t>,</w:t>
            </w:r>
            <w:r w:rsidRPr="00A732CE">
              <w:rPr>
                <w:b/>
                <w:sz w:val="20"/>
                <w:szCs w:val="20"/>
              </w:rPr>
              <w:t>1</w:t>
            </w:r>
          </w:p>
        </w:tc>
        <w:tc>
          <w:tcPr>
            <w:tcW w:w="541"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-1</w:t>
            </w:r>
            <w:r>
              <w:rPr>
                <w:b/>
                <w:sz w:val="20"/>
                <w:szCs w:val="20"/>
              </w:rPr>
              <w:t>,</w:t>
            </w:r>
            <w:r w:rsidRPr="00A732CE">
              <w:rPr>
                <w:b/>
                <w:sz w:val="20"/>
                <w:szCs w:val="20"/>
              </w:rPr>
              <w:t>0</w:t>
            </w:r>
          </w:p>
        </w:tc>
        <w:tc>
          <w:tcPr>
            <w:tcW w:w="542" w:type="dxa"/>
            <w:shd w:val="clear" w:color="auto" w:fill="FFFFCC"/>
            <w:tcMar>
              <w:left w:w="85" w:type="dxa"/>
              <w:right w:w="85" w:type="dxa"/>
            </w:tcMar>
            <w:vAlign w:val="center"/>
          </w:tcPr>
          <w:p w:rsidR="000938C1" w:rsidRPr="00A732CE" w:rsidRDefault="000938C1" w:rsidP="00A732CE">
            <w:pPr>
              <w:jc w:val="right"/>
              <w:rPr>
                <w:b/>
                <w:sz w:val="20"/>
                <w:szCs w:val="20"/>
              </w:rPr>
            </w:pPr>
            <w:r w:rsidRPr="00A732CE">
              <w:rPr>
                <w:b/>
                <w:sz w:val="20"/>
                <w:szCs w:val="20"/>
              </w:rPr>
              <w:t>-0</w:t>
            </w:r>
            <w:r>
              <w:rPr>
                <w:b/>
                <w:sz w:val="20"/>
                <w:szCs w:val="20"/>
              </w:rPr>
              <w:t>,</w:t>
            </w:r>
            <w:r w:rsidRPr="00A732CE">
              <w:rPr>
                <w:b/>
                <w:sz w:val="20"/>
                <w:szCs w:val="20"/>
              </w:rPr>
              <w:t>9</w:t>
            </w:r>
          </w:p>
        </w:tc>
      </w:tr>
      <w:tr w:rsidR="000938C1" w:rsidRPr="00A732CE" w:rsidTr="00246730">
        <w:trPr>
          <w:trHeight w:val="112"/>
          <w:jc w:val="center"/>
        </w:trPr>
        <w:tc>
          <w:tcPr>
            <w:tcW w:w="2467" w:type="dxa"/>
            <w:shd w:val="clear" w:color="auto" w:fill="FFFFCC"/>
            <w:vAlign w:val="bottom"/>
          </w:tcPr>
          <w:p w:rsidR="000938C1" w:rsidRPr="00A732CE" w:rsidRDefault="000938C1" w:rsidP="00932523">
            <w:pPr>
              <w:spacing w:beforeLines="20" w:afterLines="20"/>
              <w:rPr>
                <w:sz w:val="20"/>
                <w:szCs w:val="20"/>
              </w:rPr>
            </w:pPr>
            <w:r w:rsidRPr="00A732CE">
              <w:rPr>
                <w:sz w:val="20"/>
                <w:szCs w:val="20"/>
              </w:rPr>
              <w:t>Храни</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6</w:t>
            </w:r>
            <w:r>
              <w:rPr>
                <w:sz w:val="20"/>
                <w:szCs w:val="20"/>
              </w:rPr>
              <w:t>,</w:t>
            </w:r>
            <w:r w:rsidRPr="00A732CE">
              <w:rPr>
                <w:sz w:val="20"/>
                <w:szCs w:val="20"/>
              </w:rPr>
              <w:t>1</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4</w:t>
            </w:r>
            <w:r>
              <w:rPr>
                <w:sz w:val="20"/>
                <w:szCs w:val="20"/>
              </w:rPr>
              <w:t>,</w:t>
            </w:r>
            <w:r w:rsidRPr="00A732CE">
              <w:rPr>
                <w:sz w:val="20"/>
                <w:szCs w:val="20"/>
              </w:rPr>
              <w:t>8</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4</w:t>
            </w:r>
            <w:r>
              <w:rPr>
                <w:sz w:val="20"/>
                <w:szCs w:val="20"/>
              </w:rPr>
              <w:t>,</w:t>
            </w:r>
            <w:r w:rsidRPr="00A732CE">
              <w:rPr>
                <w:sz w:val="20"/>
                <w:szCs w:val="20"/>
              </w:rPr>
              <w:t>8</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4</w:t>
            </w:r>
            <w:r>
              <w:rPr>
                <w:sz w:val="20"/>
                <w:szCs w:val="20"/>
              </w:rPr>
              <w:t>,</w:t>
            </w:r>
            <w:r w:rsidRPr="00A732CE">
              <w:rPr>
                <w:sz w:val="20"/>
                <w:szCs w:val="20"/>
              </w:rPr>
              <w:t>2</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3</w:t>
            </w:r>
            <w:r>
              <w:rPr>
                <w:sz w:val="20"/>
                <w:szCs w:val="20"/>
              </w:rPr>
              <w:t>,</w:t>
            </w:r>
            <w:r w:rsidRPr="00A732CE">
              <w:rPr>
                <w:sz w:val="20"/>
                <w:szCs w:val="20"/>
              </w:rPr>
              <w:t>7</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4</w:t>
            </w:r>
            <w:r>
              <w:rPr>
                <w:sz w:val="20"/>
                <w:szCs w:val="20"/>
              </w:rPr>
              <w:t>,</w:t>
            </w:r>
            <w:r w:rsidRPr="00A732CE">
              <w:rPr>
                <w:sz w:val="20"/>
                <w:szCs w:val="20"/>
              </w:rPr>
              <w:t>6</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2</w:t>
            </w:r>
            <w:r>
              <w:rPr>
                <w:sz w:val="20"/>
                <w:szCs w:val="20"/>
              </w:rPr>
              <w:t>,</w:t>
            </w:r>
            <w:r w:rsidRPr="00A732CE">
              <w:rPr>
                <w:sz w:val="20"/>
                <w:szCs w:val="20"/>
              </w:rPr>
              <w:t>5</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0</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2</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1</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2</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8</w:t>
            </w:r>
          </w:p>
        </w:tc>
      </w:tr>
      <w:tr w:rsidR="000938C1" w:rsidRPr="00A732CE" w:rsidTr="00246730">
        <w:trPr>
          <w:trHeight w:val="112"/>
          <w:jc w:val="center"/>
        </w:trPr>
        <w:tc>
          <w:tcPr>
            <w:tcW w:w="2467" w:type="dxa"/>
            <w:shd w:val="clear" w:color="auto" w:fill="FFFFCC"/>
            <w:vAlign w:val="bottom"/>
          </w:tcPr>
          <w:p w:rsidR="000938C1" w:rsidRPr="00A732CE" w:rsidRDefault="000938C1" w:rsidP="00932523">
            <w:pPr>
              <w:spacing w:beforeLines="20" w:afterLines="20"/>
              <w:rPr>
                <w:sz w:val="20"/>
                <w:szCs w:val="20"/>
              </w:rPr>
            </w:pPr>
            <w:r w:rsidRPr="00A732CE">
              <w:rPr>
                <w:sz w:val="20"/>
                <w:szCs w:val="20"/>
              </w:rPr>
              <w:t>Алкохол и цигари</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5</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8</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1</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2</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4</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1</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2</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1</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1</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3</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6</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9</w:t>
            </w:r>
          </w:p>
        </w:tc>
      </w:tr>
      <w:tr w:rsidR="000938C1" w:rsidRPr="00A732CE" w:rsidTr="00246730">
        <w:trPr>
          <w:trHeight w:val="112"/>
          <w:jc w:val="center"/>
        </w:trPr>
        <w:tc>
          <w:tcPr>
            <w:tcW w:w="2467" w:type="dxa"/>
            <w:shd w:val="clear" w:color="auto" w:fill="FFFFCC"/>
            <w:vAlign w:val="bottom"/>
          </w:tcPr>
          <w:p w:rsidR="000938C1" w:rsidRPr="00A732CE" w:rsidRDefault="000938C1" w:rsidP="00932523">
            <w:pPr>
              <w:spacing w:beforeLines="20" w:afterLines="20"/>
              <w:rPr>
                <w:sz w:val="20"/>
                <w:szCs w:val="20"/>
              </w:rPr>
            </w:pPr>
            <w:r w:rsidRPr="00A732CE">
              <w:rPr>
                <w:sz w:val="20"/>
                <w:szCs w:val="20"/>
              </w:rPr>
              <w:t>Енергийни стоки</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5</w:t>
            </w:r>
            <w:r>
              <w:rPr>
                <w:sz w:val="20"/>
                <w:szCs w:val="20"/>
              </w:rPr>
              <w:t>,</w:t>
            </w:r>
            <w:r w:rsidRPr="00A732CE">
              <w:rPr>
                <w:sz w:val="20"/>
                <w:szCs w:val="20"/>
              </w:rPr>
              <w:t>5</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4</w:t>
            </w:r>
            <w:r>
              <w:rPr>
                <w:sz w:val="20"/>
                <w:szCs w:val="20"/>
              </w:rPr>
              <w:t>,</w:t>
            </w:r>
            <w:r w:rsidRPr="00A732CE">
              <w:rPr>
                <w:sz w:val="20"/>
                <w:szCs w:val="20"/>
              </w:rPr>
              <w:t>9</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2</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9</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2</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5</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-3</w:t>
            </w:r>
            <w:r>
              <w:rPr>
                <w:sz w:val="20"/>
                <w:szCs w:val="20"/>
              </w:rPr>
              <w:t>,</w:t>
            </w:r>
            <w:r w:rsidRPr="00A732CE">
              <w:rPr>
                <w:sz w:val="20"/>
                <w:szCs w:val="20"/>
              </w:rPr>
              <w:t>3</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-5</w:t>
            </w:r>
            <w:r>
              <w:rPr>
                <w:sz w:val="20"/>
                <w:szCs w:val="20"/>
              </w:rPr>
              <w:t>,</w:t>
            </w:r>
            <w:r w:rsidRPr="00A732CE">
              <w:rPr>
                <w:sz w:val="20"/>
                <w:szCs w:val="20"/>
              </w:rPr>
              <w:t>9</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-7</w:t>
            </w:r>
            <w:r>
              <w:rPr>
                <w:sz w:val="20"/>
                <w:szCs w:val="20"/>
              </w:rPr>
              <w:t>,</w:t>
            </w:r>
            <w:r w:rsidRPr="00A732CE">
              <w:rPr>
                <w:sz w:val="20"/>
                <w:szCs w:val="20"/>
              </w:rPr>
              <w:t>0</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-6</w:t>
            </w:r>
            <w:r>
              <w:rPr>
                <w:sz w:val="20"/>
                <w:szCs w:val="20"/>
              </w:rPr>
              <w:t>,</w:t>
            </w:r>
            <w:r w:rsidRPr="00A732CE">
              <w:rPr>
                <w:sz w:val="20"/>
                <w:szCs w:val="20"/>
              </w:rPr>
              <w:t>5</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-5</w:t>
            </w:r>
            <w:r>
              <w:rPr>
                <w:sz w:val="20"/>
                <w:szCs w:val="20"/>
              </w:rPr>
              <w:t>,</w:t>
            </w:r>
            <w:r w:rsidRPr="00A732CE">
              <w:rPr>
                <w:sz w:val="20"/>
                <w:szCs w:val="20"/>
              </w:rPr>
              <w:t>0</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-2</w:t>
            </w:r>
            <w:r>
              <w:rPr>
                <w:sz w:val="20"/>
                <w:szCs w:val="20"/>
              </w:rPr>
              <w:t>,</w:t>
            </w:r>
            <w:r w:rsidRPr="00A732CE">
              <w:rPr>
                <w:sz w:val="20"/>
                <w:szCs w:val="20"/>
              </w:rPr>
              <w:t>9</w:t>
            </w:r>
          </w:p>
        </w:tc>
      </w:tr>
      <w:tr w:rsidR="000938C1" w:rsidRPr="00A732CE" w:rsidTr="00246730">
        <w:trPr>
          <w:trHeight w:val="112"/>
          <w:jc w:val="center"/>
        </w:trPr>
        <w:tc>
          <w:tcPr>
            <w:tcW w:w="2467" w:type="dxa"/>
            <w:shd w:val="clear" w:color="auto" w:fill="FFFFCC"/>
            <w:vAlign w:val="bottom"/>
          </w:tcPr>
          <w:p w:rsidR="000938C1" w:rsidRPr="00A732CE" w:rsidRDefault="000938C1" w:rsidP="00932523">
            <w:pPr>
              <w:spacing w:beforeLines="20" w:afterLines="20"/>
              <w:rPr>
                <w:sz w:val="20"/>
                <w:szCs w:val="20"/>
              </w:rPr>
            </w:pPr>
            <w:r w:rsidRPr="00A732CE">
              <w:rPr>
                <w:sz w:val="20"/>
                <w:szCs w:val="20"/>
              </w:rPr>
              <w:t>Базисна инфлация</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9</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7</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6</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4</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1</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1</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2</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2</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5</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4</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5</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7</w:t>
            </w:r>
          </w:p>
        </w:tc>
      </w:tr>
      <w:tr w:rsidR="000938C1" w:rsidRPr="00A732CE" w:rsidTr="00246730">
        <w:trPr>
          <w:trHeight w:val="112"/>
          <w:jc w:val="center"/>
        </w:trPr>
        <w:tc>
          <w:tcPr>
            <w:tcW w:w="2467" w:type="dxa"/>
            <w:shd w:val="clear" w:color="auto" w:fill="FFFFCC"/>
            <w:vAlign w:val="bottom"/>
          </w:tcPr>
          <w:p w:rsidR="000938C1" w:rsidRPr="00A732CE" w:rsidRDefault="000938C1" w:rsidP="00932523">
            <w:pPr>
              <w:spacing w:beforeLines="20" w:afterLines="20"/>
              <w:ind w:left="237"/>
              <w:rPr>
                <w:i/>
                <w:sz w:val="20"/>
                <w:szCs w:val="20"/>
              </w:rPr>
            </w:pPr>
            <w:r w:rsidRPr="00A732CE">
              <w:rPr>
                <w:i/>
                <w:sz w:val="20"/>
                <w:szCs w:val="20"/>
              </w:rPr>
              <w:t>Неенергийни нехранителни стоки</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3</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3</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1</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2</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2</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0</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6</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6</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8</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7</w:t>
            </w:r>
          </w:p>
        </w:tc>
        <w:tc>
          <w:tcPr>
            <w:tcW w:w="541"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9</w:t>
            </w:r>
          </w:p>
        </w:tc>
        <w:tc>
          <w:tcPr>
            <w:tcW w:w="542" w:type="dxa"/>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-2</w:t>
            </w:r>
            <w:r>
              <w:rPr>
                <w:sz w:val="20"/>
                <w:szCs w:val="20"/>
              </w:rPr>
              <w:t>,</w:t>
            </w:r>
            <w:r w:rsidRPr="00A732CE">
              <w:rPr>
                <w:sz w:val="20"/>
                <w:szCs w:val="20"/>
              </w:rPr>
              <w:t>1</w:t>
            </w:r>
          </w:p>
        </w:tc>
      </w:tr>
      <w:tr w:rsidR="000938C1" w:rsidRPr="00A732CE" w:rsidTr="00246730">
        <w:trPr>
          <w:trHeight w:val="112"/>
          <w:jc w:val="center"/>
        </w:trPr>
        <w:tc>
          <w:tcPr>
            <w:tcW w:w="2467" w:type="dxa"/>
            <w:tcBorders>
              <w:bottom w:val="thinThickSmallGap" w:sz="12" w:space="0" w:color="990000"/>
            </w:tcBorders>
            <w:shd w:val="clear" w:color="auto" w:fill="FFFFCC"/>
            <w:vAlign w:val="bottom"/>
          </w:tcPr>
          <w:p w:rsidR="000938C1" w:rsidRPr="00A732CE" w:rsidRDefault="000938C1" w:rsidP="00932523">
            <w:pPr>
              <w:spacing w:beforeLines="20" w:afterLines="20"/>
              <w:ind w:left="237"/>
              <w:rPr>
                <w:i/>
                <w:sz w:val="20"/>
                <w:szCs w:val="20"/>
              </w:rPr>
            </w:pPr>
            <w:r w:rsidRPr="00A732CE">
              <w:rPr>
                <w:i/>
                <w:sz w:val="20"/>
                <w:szCs w:val="20"/>
              </w:rPr>
              <w:t>Услуги</w:t>
            </w:r>
          </w:p>
        </w:tc>
        <w:tc>
          <w:tcPr>
            <w:tcW w:w="541"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2</w:t>
            </w:r>
            <w:r>
              <w:rPr>
                <w:sz w:val="20"/>
                <w:szCs w:val="20"/>
              </w:rPr>
              <w:t>,</w:t>
            </w:r>
            <w:r w:rsidRPr="00A732CE">
              <w:rPr>
                <w:sz w:val="20"/>
                <w:szCs w:val="20"/>
              </w:rPr>
              <w:t>4</w:t>
            </w:r>
          </w:p>
        </w:tc>
        <w:tc>
          <w:tcPr>
            <w:tcW w:w="542"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2</w:t>
            </w:r>
            <w:r>
              <w:rPr>
                <w:sz w:val="20"/>
                <w:szCs w:val="20"/>
              </w:rPr>
              <w:t>,</w:t>
            </w:r>
            <w:r w:rsidRPr="00A732CE">
              <w:rPr>
                <w:sz w:val="20"/>
                <w:szCs w:val="20"/>
              </w:rPr>
              <w:t>1</w:t>
            </w:r>
          </w:p>
        </w:tc>
        <w:tc>
          <w:tcPr>
            <w:tcW w:w="541"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7</w:t>
            </w:r>
          </w:p>
        </w:tc>
        <w:tc>
          <w:tcPr>
            <w:tcW w:w="542"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5</w:t>
            </w:r>
          </w:p>
        </w:tc>
        <w:tc>
          <w:tcPr>
            <w:tcW w:w="541"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1</w:t>
            </w:r>
            <w:r>
              <w:rPr>
                <w:sz w:val="20"/>
                <w:szCs w:val="20"/>
              </w:rPr>
              <w:t>,</w:t>
            </w:r>
            <w:r w:rsidRPr="00A732CE">
              <w:rPr>
                <w:sz w:val="20"/>
                <w:szCs w:val="20"/>
              </w:rPr>
              <w:t>1</w:t>
            </w:r>
          </w:p>
        </w:tc>
        <w:tc>
          <w:tcPr>
            <w:tcW w:w="542"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6</w:t>
            </w:r>
          </w:p>
        </w:tc>
        <w:tc>
          <w:tcPr>
            <w:tcW w:w="541"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8</w:t>
            </w:r>
          </w:p>
        </w:tc>
        <w:tc>
          <w:tcPr>
            <w:tcW w:w="542"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7</w:t>
            </w:r>
          </w:p>
        </w:tc>
        <w:tc>
          <w:tcPr>
            <w:tcW w:w="541"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5</w:t>
            </w:r>
          </w:p>
        </w:tc>
        <w:tc>
          <w:tcPr>
            <w:tcW w:w="542"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5</w:t>
            </w:r>
          </w:p>
        </w:tc>
        <w:tc>
          <w:tcPr>
            <w:tcW w:w="541"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5</w:t>
            </w:r>
          </w:p>
        </w:tc>
        <w:tc>
          <w:tcPr>
            <w:tcW w:w="542" w:type="dxa"/>
            <w:tcBorders>
              <w:bottom w:val="thinThickSmallGap" w:sz="12" w:space="0" w:color="990000"/>
            </w:tcBorders>
            <w:shd w:val="clear" w:color="auto" w:fill="FFFFCC"/>
            <w:tcMar>
              <w:left w:w="85" w:type="dxa"/>
              <w:right w:w="85" w:type="dxa"/>
            </w:tcMar>
            <w:vAlign w:val="center"/>
          </w:tcPr>
          <w:p w:rsidR="000938C1" w:rsidRPr="00A732CE" w:rsidRDefault="000938C1" w:rsidP="00A732CE">
            <w:pPr>
              <w:jc w:val="right"/>
              <w:rPr>
                <w:sz w:val="20"/>
                <w:szCs w:val="20"/>
              </w:rPr>
            </w:pPr>
            <w:r w:rsidRPr="00A732CE">
              <w:rPr>
                <w:sz w:val="20"/>
                <w:szCs w:val="20"/>
              </w:rPr>
              <w:t>0</w:t>
            </w:r>
            <w:r>
              <w:rPr>
                <w:sz w:val="20"/>
                <w:szCs w:val="20"/>
              </w:rPr>
              <w:t>,</w:t>
            </w:r>
            <w:r w:rsidRPr="00A732CE">
              <w:rPr>
                <w:sz w:val="20"/>
                <w:szCs w:val="20"/>
              </w:rPr>
              <w:t>3</w:t>
            </w:r>
          </w:p>
        </w:tc>
      </w:tr>
    </w:tbl>
    <w:p w:rsidR="000938C1" w:rsidRPr="00A732CE" w:rsidRDefault="000938C1" w:rsidP="00A732CE">
      <w:pPr>
        <w:spacing w:before="120" w:after="240"/>
        <w:jc w:val="right"/>
        <w:outlineLvl w:val="3"/>
        <w:rPr>
          <w:bCs/>
          <w:i/>
          <w:sz w:val="20"/>
          <w:szCs w:val="20"/>
          <w:lang w:val="en-US"/>
        </w:rPr>
      </w:pPr>
      <w:r w:rsidRPr="00A732CE">
        <w:rPr>
          <w:bCs/>
          <w:i/>
          <w:sz w:val="20"/>
          <w:szCs w:val="20"/>
        </w:rPr>
        <w:t>Източник: НСИ, МФ</w:t>
      </w:r>
    </w:p>
    <w:p w:rsidR="000938C1" w:rsidRDefault="000938C1" w:rsidP="00A732CE">
      <w:pPr>
        <w:spacing w:after="120"/>
        <w:ind w:firstLine="709"/>
        <w:jc w:val="both"/>
      </w:pPr>
      <w:r w:rsidRPr="00A732CE">
        <w:t>Съществено влияние върху динамиката на потребителските цени в страната оказа и свитото потребление на домакинствата. Това създаде условия за задълбочаване на низходящия тренд при базисната инфлация</w:t>
      </w:r>
      <w:r w:rsidRPr="00A732CE">
        <w:rPr>
          <w:lang w:val="ru-RU"/>
        </w:rPr>
        <w:t xml:space="preserve">, </w:t>
      </w:r>
      <w:r w:rsidRPr="00A732CE">
        <w:t>която към декември възлезе на -0,7</w:t>
      </w:r>
      <w:r>
        <w:t xml:space="preserve"> </w:t>
      </w:r>
      <w:r w:rsidRPr="00A732CE">
        <w:t>%. По отношение на основните й компоненти, годишната инфлация при пазарните услуги се забави значително до 0,6</w:t>
      </w:r>
      <w:r>
        <w:t xml:space="preserve"> </w:t>
      </w:r>
      <w:r w:rsidRPr="00A732CE">
        <w:t>% през декември. За динамиката на цените в тази група влияние оказаха също и вторични ефекти по линия на по-ниските цени на горивата и хранителните стоки (за отчетеното забавяне в нарастването на цените на общественото хранене и транспортните услуги). Дефлацията при цените на нехранителните стоки, от своя страна, се ускори, като достигна 2,3</w:t>
      </w:r>
      <w:r>
        <w:t xml:space="preserve"> </w:t>
      </w:r>
      <w:r w:rsidRPr="00A732CE">
        <w:t>% към декември, най-вече в резултат на продължаващото поевтиняване на дълготрайните потребителски стоки.</w:t>
      </w:r>
    </w:p>
    <w:p w:rsidR="000938C1" w:rsidRPr="00A732CE" w:rsidRDefault="000938C1" w:rsidP="00F30F79">
      <w:pPr>
        <w:pStyle w:val="Heading3"/>
        <w:numPr>
          <w:ilvl w:val="1"/>
          <w:numId w:val="18"/>
        </w:numPr>
        <w:rPr>
          <w:rFonts w:ascii="Times New Roman" w:hAnsi="Times New Roman" w:cs="Times New Roman"/>
          <w:sz w:val="24"/>
          <w:szCs w:val="24"/>
          <w:lang w:val="bg-BG"/>
        </w:rPr>
      </w:pPr>
      <w:bookmarkStart w:id="33" w:name="_Toc393728043"/>
      <w:r w:rsidRPr="00A732CE">
        <w:rPr>
          <w:rFonts w:ascii="Times New Roman" w:hAnsi="Times New Roman" w:cs="Times New Roman"/>
          <w:sz w:val="24"/>
          <w:szCs w:val="24"/>
          <w:lang w:val="bg-BG"/>
        </w:rPr>
        <w:t>Пазар на труда</w:t>
      </w:r>
      <w:bookmarkEnd w:id="31"/>
      <w:bookmarkEnd w:id="32"/>
      <w:r w:rsidRPr="00A732CE">
        <w:rPr>
          <w:rFonts w:ascii="Times New Roman" w:hAnsi="Times New Roman" w:cs="Times New Roman"/>
          <w:sz w:val="24"/>
          <w:szCs w:val="24"/>
          <w:lang w:val="bg-BG"/>
        </w:rPr>
        <w:t xml:space="preserve"> и доходи</w:t>
      </w:r>
      <w:bookmarkEnd w:id="33"/>
    </w:p>
    <w:p w:rsidR="000938C1" w:rsidRPr="00A732CE" w:rsidRDefault="000938C1" w:rsidP="009439B2">
      <w:pPr>
        <w:ind w:firstLine="709"/>
        <w:jc w:val="both"/>
        <w:outlineLvl w:val="3"/>
      </w:pPr>
      <w:r w:rsidRPr="00A732CE">
        <w:t>През 2013</w:t>
      </w:r>
      <w:r w:rsidRPr="00A732CE">
        <w:rPr>
          <w:lang w:val="en-US"/>
        </w:rPr>
        <w:t> </w:t>
      </w:r>
      <w:r w:rsidRPr="00A732CE">
        <w:t xml:space="preserve">г. бе наблюдавано </w:t>
      </w:r>
      <w:r>
        <w:t xml:space="preserve">постепенно </w:t>
      </w:r>
      <w:r w:rsidRPr="00A732CE">
        <w:t xml:space="preserve">стабилизиране на заетостта </w:t>
      </w:r>
      <w:r>
        <w:t>при</w:t>
      </w:r>
      <w:r w:rsidRPr="00A732CE">
        <w:t xml:space="preserve"> </w:t>
      </w:r>
      <w:r>
        <w:t xml:space="preserve">все още </w:t>
      </w:r>
      <w:r w:rsidRPr="00A732CE">
        <w:t>продължаващо увеличение на безработицата в страната, което отразяваше повишаването на икономическата активност на населението. Средният брой на заетите продължи да се понижава, но спадът им се забави до 0,4</w:t>
      </w:r>
      <w:r>
        <w:t xml:space="preserve"> </w:t>
      </w:r>
      <w:r w:rsidRPr="00A732CE">
        <w:t>% от 2,5</w:t>
      </w:r>
      <w:r>
        <w:t xml:space="preserve"> </w:t>
      </w:r>
      <w:r w:rsidRPr="00A732CE">
        <w:t>% година по-рано</w:t>
      </w:r>
      <w:r w:rsidRPr="00A732CE">
        <w:rPr>
          <w:vertAlign w:val="superscript"/>
        </w:rPr>
        <w:footnoteReference w:id="1"/>
      </w:r>
      <w:r w:rsidRPr="00A732CE">
        <w:t>. Основен принос за отбелязаното подобрение имаше селското стопанство, и в по-малка степен услугите. Броят на заетите в селското стопанство се повиши значително през второто и третото тримесечие на годината и обуслови общия годишен ръст на заетостта в сектора от 1,2</w:t>
      </w:r>
      <w:r>
        <w:t xml:space="preserve"> </w:t>
      </w:r>
      <w:r w:rsidRPr="00A732CE">
        <w:t>%. Последното беше изключение от повече от десет годишната тенденция на спад на заетостта в селското стопанство, свързана с глобалното преструктуриране на общата заетост към сектора на индустрията и най-вече към този на услугите. Броят на заетите в услугите се стабилизира на нивото си от предходната година. Това беше подкрепено в най-голяма степен от отбелязания растеж на заетостта в отрасъл „</w:t>
      </w:r>
      <w:r w:rsidRPr="00A732CE">
        <w:rPr>
          <w:i/>
        </w:rPr>
        <w:t>Професионални дейности, научи изследвания, административни и спомагателни дейности</w:t>
      </w:r>
      <w:r w:rsidRPr="00A732CE">
        <w:t>“</w:t>
      </w:r>
      <w:r w:rsidRPr="00A732CE">
        <w:rPr>
          <w:i/>
          <w:vertAlign w:val="superscript"/>
        </w:rPr>
        <w:footnoteReference w:id="2"/>
      </w:r>
      <w:r w:rsidRPr="00A732CE">
        <w:t>. Този отрасъл се характеризира с положителни темпове на изменение на заетите от 2011 г. насам и нивото на заетостта остана над това от предкризисната 2008 г. Положителен, макар и несъществен, принос за слабото повишение на заетостта в услугите имаше и отрасъл „</w:t>
      </w:r>
      <w:r w:rsidRPr="00A732CE">
        <w:rPr>
          <w:i/>
        </w:rPr>
        <w:t>Създаване и разпространение на информация</w:t>
      </w:r>
      <w:r w:rsidRPr="00A732CE">
        <w:t>“. Той е и единственият отрасъл, който поддържаше растеж на заетостта през всички години от 2009 г. насам. Същевременно, секторът на индустрията продължи да освобождава трудов ресурс. При строителството спадът на заетостта се забави до 3,5</w:t>
      </w:r>
      <w:r>
        <w:t xml:space="preserve"> </w:t>
      </w:r>
      <w:r w:rsidRPr="00A732CE">
        <w:t>%, а в промишлеността се ускори до 2,8</w:t>
      </w:r>
      <w:r>
        <w:t xml:space="preserve"> </w:t>
      </w:r>
      <w:r w:rsidRPr="00A732CE">
        <w:t>% спрямо 2012 г.</w:t>
      </w:r>
    </w:p>
    <w:p w:rsidR="000938C1" w:rsidRPr="00A732CE" w:rsidRDefault="000938C1" w:rsidP="009439B2">
      <w:pPr>
        <w:ind w:firstLine="709"/>
        <w:jc w:val="both"/>
        <w:rPr>
          <w:color w:val="0070C0"/>
        </w:rPr>
      </w:pPr>
      <w:r w:rsidRPr="00A732CE">
        <w:t>Коефициентът на безработица продължи да се повишава за пета поредна година и достигна средна стойност от 12,9</w:t>
      </w:r>
      <w:r>
        <w:t xml:space="preserve"> </w:t>
      </w:r>
      <w:r w:rsidRPr="00A732CE">
        <w:t>%</w:t>
      </w:r>
      <w:r w:rsidRPr="00A732CE">
        <w:rPr>
          <w:vertAlign w:val="superscript"/>
        </w:rPr>
        <w:footnoteReference w:id="3"/>
      </w:r>
      <w:r w:rsidRPr="00A732CE">
        <w:t xml:space="preserve"> за 2013 г. В условията на стабилизиране на заетостта и увеличение в броя на безработните, работната сила се повиши и отрази по-високата икономическа активност на населението, която не можа да бъде усвоена на пазара на труда поради все още ограничените възможности за наемане на работа. Последното бе фактор и за задържане на високите нива на безработица. Нивото на участие в работната сила (15+) нарасна с 0,8 п.п. спрямо 2012 г. и достигна стойност от 53,9</w:t>
      </w:r>
      <w:r>
        <w:t xml:space="preserve"> </w:t>
      </w:r>
      <w:r w:rsidRPr="00A732CE">
        <w:t>%.</w:t>
      </w:r>
    </w:p>
    <w:p w:rsidR="000938C1" w:rsidRPr="00A732CE" w:rsidRDefault="000938C1" w:rsidP="009439B2">
      <w:pPr>
        <w:ind w:firstLine="709"/>
        <w:jc w:val="both"/>
        <w:outlineLvl w:val="3"/>
      </w:pPr>
      <w:r w:rsidRPr="00A732CE">
        <w:t>Повишаването на икономическата активност, както и наблюдаваното подобрение в развитието на заетостта в страната обусловиха възходящата динамика на разходите за труд. През 2013 г. компенсациите на наетите общо за икономиката отчетоха номинален растеж от 5,3</w:t>
      </w:r>
      <w:r>
        <w:t xml:space="preserve"> </w:t>
      </w:r>
      <w:r w:rsidRPr="00A732CE">
        <w:t>% и техният дял в брутната добавена стойност се увеличи до 47,4</w:t>
      </w:r>
      <w:r>
        <w:t xml:space="preserve"> </w:t>
      </w:r>
      <w:r w:rsidRPr="00A732CE">
        <w:t>%. Почти всички икономически дейности се характеризираха с нарастване на разглеждания показател с водещо влияние от страна на строителството и агрегирания отрасъл „</w:t>
      </w:r>
      <w:r w:rsidRPr="00A732CE">
        <w:rPr>
          <w:i/>
        </w:rPr>
        <w:t>Търговия, транспорт, хотели и ресторанти</w:t>
      </w:r>
      <w:r w:rsidRPr="00A732CE">
        <w:t xml:space="preserve">“. </w:t>
      </w:r>
    </w:p>
    <w:p w:rsidR="000938C1" w:rsidRPr="00A732CE" w:rsidRDefault="000938C1" w:rsidP="009439B2">
      <w:pPr>
        <w:ind w:firstLine="709"/>
        <w:jc w:val="both"/>
      </w:pPr>
      <w:r w:rsidRPr="00A732CE">
        <w:t xml:space="preserve">През </w:t>
      </w:r>
      <w:r>
        <w:t>2013 г.</w:t>
      </w:r>
      <w:r w:rsidRPr="00A732CE">
        <w:t xml:space="preserve"> средната работна заплата продължи да се повишава в номинално и реално изражение. Номиналният растеж на заплатите възлезе на 10,5</w:t>
      </w:r>
      <w:r>
        <w:t xml:space="preserve"> </w:t>
      </w:r>
      <w:r w:rsidRPr="00A732CE">
        <w:t>%, а реалният растеж на показателя, дефлиран с ХИПЦ, достигна 10,</w:t>
      </w:r>
      <w:r>
        <w:rPr>
          <w:lang w:val="en-US"/>
        </w:rPr>
        <w:t>0</w:t>
      </w:r>
      <w:r>
        <w:t xml:space="preserve"> </w:t>
      </w:r>
      <w:r w:rsidRPr="00A732CE">
        <w:t>%. Основен принос за наблюдаваното развитие имаше възходящата динамика на заплатите в частния сектор (12</w:t>
      </w:r>
      <w:r>
        <w:t xml:space="preserve"> </w:t>
      </w:r>
      <w:r w:rsidRPr="00A732CE">
        <w:t>% и 11,6</w:t>
      </w:r>
      <w:r>
        <w:t xml:space="preserve"> </w:t>
      </w:r>
      <w:r w:rsidRPr="00A732CE">
        <w:t>% в номинално и реално изражение), изпреварвайки значително отчетения темп на нарастване в обществения сектор (съответно 6,1</w:t>
      </w:r>
      <w:r>
        <w:t xml:space="preserve"> </w:t>
      </w:r>
      <w:r w:rsidRPr="00A732CE">
        <w:t>% и 5,7</w:t>
      </w:r>
      <w:r>
        <w:t xml:space="preserve"> </w:t>
      </w:r>
      <w:r w:rsidRPr="00A732CE">
        <w:t>%).</w:t>
      </w:r>
    </w:p>
    <w:p w:rsidR="000938C1" w:rsidRDefault="000938C1" w:rsidP="00A732CE">
      <w:pPr>
        <w:ind w:firstLine="709"/>
        <w:jc w:val="both"/>
        <w:rPr>
          <w:color w:val="0070C0"/>
        </w:rPr>
      </w:pPr>
      <w:r w:rsidRPr="00A732CE">
        <w:t>Наблюдаваното подобрение в динамиката на заетите през 2013 г. доведе до забавяне в темпа на нарастване на производителността на труда до 1</w:t>
      </w:r>
      <w:r>
        <w:t>,</w:t>
      </w:r>
      <w:r w:rsidRPr="00A732CE">
        <w:t>3% в реално изражение спрямо 3,2</w:t>
      </w:r>
      <w:r>
        <w:t xml:space="preserve"> </w:t>
      </w:r>
      <w:r w:rsidRPr="00A732CE">
        <w:t>% през 2012 г. Тази тенденция бе най-силно изразена в промишлеността, но растежът на производителността там остана по-висок от средния за икономиката (2,8</w:t>
      </w:r>
      <w:r>
        <w:t xml:space="preserve"> </w:t>
      </w:r>
      <w:r w:rsidRPr="00A732CE">
        <w:t>%), следван от този в селското стопанство (2,2</w:t>
      </w:r>
      <w:r>
        <w:t xml:space="preserve"> </w:t>
      </w:r>
      <w:r w:rsidRPr="00A732CE">
        <w:t>%) и услугите (1,4</w:t>
      </w:r>
      <w:r>
        <w:t xml:space="preserve"> </w:t>
      </w:r>
      <w:r w:rsidRPr="00A732CE">
        <w:t>%)</w:t>
      </w:r>
      <w:r w:rsidRPr="00A732CE">
        <w:rPr>
          <w:vertAlign w:val="superscript"/>
        </w:rPr>
        <w:footnoteReference w:id="4"/>
      </w:r>
      <w:r w:rsidRPr="00A732CE">
        <w:t>.</w:t>
      </w:r>
    </w:p>
    <w:p w:rsidR="000938C1" w:rsidRPr="00246730" w:rsidRDefault="000938C1" w:rsidP="00F30F79">
      <w:pPr>
        <w:pStyle w:val="Heading3"/>
        <w:numPr>
          <w:ilvl w:val="1"/>
          <w:numId w:val="30"/>
        </w:numPr>
        <w:rPr>
          <w:rFonts w:ascii="Times New Roman" w:hAnsi="Times New Roman" w:cs="Times New Roman"/>
          <w:sz w:val="24"/>
          <w:szCs w:val="24"/>
          <w:lang w:val="en-US"/>
        </w:rPr>
      </w:pPr>
      <w:bookmarkStart w:id="34" w:name="_Toc324863385"/>
      <w:bookmarkStart w:id="35" w:name="_Toc393728044"/>
      <w:r w:rsidRPr="00246730">
        <w:rPr>
          <w:rFonts w:ascii="Times New Roman" w:hAnsi="Times New Roman" w:cs="Times New Roman"/>
          <w:sz w:val="24"/>
          <w:szCs w:val="24"/>
          <w:lang w:val="bg-BG"/>
        </w:rPr>
        <w:t>Платежен баланс</w:t>
      </w:r>
      <w:bookmarkEnd w:id="34"/>
      <w:bookmarkEnd w:id="35"/>
    </w:p>
    <w:p w:rsidR="000938C1" w:rsidRPr="00246730" w:rsidRDefault="000938C1" w:rsidP="00246730">
      <w:r w:rsidRPr="00CA438C">
        <w:rPr>
          <w:color w:val="0070C0"/>
          <w:lang w:val="en-US"/>
        </w:rPr>
        <w:tab/>
      </w:r>
      <w:r w:rsidRPr="00246730">
        <w:t>През 2013 г. динамиката на платежния баланс се определяше от стабилизирането на външната среда при спад на вътрешното търсене.</w:t>
      </w:r>
    </w:p>
    <w:p w:rsidR="000938C1" w:rsidRPr="00246730" w:rsidRDefault="000938C1" w:rsidP="00246730">
      <w:pPr>
        <w:ind w:firstLine="709"/>
        <w:jc w:val="both"/>
      </w:pPr>
      <w:r w:rsidRPr="00246730">
        <w:t>Текущата сметка достигна рекордно висока положителна стойност от 1,5 млрд. лв. (1,9</w:t>
      </w:r>
      <w:r>
        <w:t xml:space="preserve"> </w:t>
      </w:r>
      <w:r w:rsidRPr="00246730">
        <w:t>% от БВП), като продължи да бъде зависима главно от промените в търговията със стоки.</w:t>
      </w:r>
    </w:p>
    <w:p w:rsidR="000938C1" w:rsidRPr="00246730" w:rsidRDefault="000938C1" w:rsidP="00246730">
      <w:pPr>
        <w:ind w:firstLine="709"/>
        <w:jc w:val="both"/>
        <w:rPr>
          <w:color w:val="0070C0"/>
        </w:rPr>
      </w:pPr>
      <w:r w:rsidRPr="00246730">
        <w:t>Стабилизирането на европейската икономика се отрази в засилено търсене от страна на търговските ни партньори и значително покачване на търговския оборот. Понижението на международните цени, особено през втората половина на годината, се съчета с ниска инфлация в страната, продиктувана както от корекциите в административните цени, така и от слабото вътрешно търсене, и доведе до отрицателен дефлатор на износа. В резултат, номиналният темп на нарастване на износа достигна 7% за годината, като водеща бе търговията с ЕС (5,6 п.п.), а приносът на износа към трети страни бе 1,4 п.п. Стоковият анализ показва, че общият годишен номинален растеж се дължи в най-голяма степен на групите „</w:t>
      </w:r>
      <w:r w:rsidRPr="00246730">
        <w:rPr>
          <w:i/>
        </w:rPr>
        <w:t>Суровини за хранителната промишленост</w:t>
      </w:r>
      <w:r w:rsidRPr="00246730">
        <w:t>“, „</w:t>
      </w:r>
      <w:r w:rsidRPr="00246730">
        <w:rPr>
          <w:i/>
        </w:rPr>
        <w:t>Резервни части и оборудване</w:t>
      </w:r>
      <w:r w:rsidRPr="00246730">
        <w:t>” и „</w:t>
      </w:r>
      <w:r w:rsidRPr="00246730">
        <w:rPr>
          <w:i/>
        </w:rPr>
        <w:t>Машини и оборудване</w:t>
      </w:r>
      <w:r w:rsidRPr="00246730">
        <w:t>“. Поради спада в цените на горивата бе отчетен спад в номиналния износ на „</w:t>
      </w:r>
      <w:r w:rsidRPr="00246730">
        <w:rPr>
          <w:i/>
        </w:rPr>
        <w:t>Петролни продукти</w:t>
      </w:r>
      <w:r w:rsidRPr="00246730">
        <w:t>“.</w:t>
      </w:r>
    </w:p>
    <w:p w:rsidR="000938C1" w:rsidRPr="00246730" w:rsidRDefault="000938C1" w:rsidP="00246730">
      <w:pPr>
        <w:keepNext/>
        <w:spacing w:before="120" w:after="120"/>
        <w:jc w:val="center"/>
        <w:rPr>
          <w:b/>
          <w:i/>
        </w:rPr>
      </w:pPr>
      <w:r w:rsidRPr="00246730">
        <w:rPr>
          <w:b/>
          <w:i/>
        </w:rPr>
        <w:t>Динамика на износа (</w:t>
      </w:r>
      <w:r w:rsidRPr="00246730">
        <w:rPr>
          <w:b/>
          <w:i/>
          <w:lang w:val="en-US"/>
        </w:rPr>
        <w:t>FOB</w:t>
      </w:r>
      <w:r w:rsidRPr="00246730">
        <w:rPr>
          <w:b/>
          <w:i/>
        </w:rPr>
        <w:t>), в %</w:t>
      </w:r>
    </w:p>
    <w:tbl>
      <w:tblPr>
        <w:tblW w:w="8022" w:type="dxa"/>
        <w:jc w:val="center"/>
        <w:tblInd w:w="520" w:type="dxa"/>
        <w:tblBorders>
          <w:top w:val="thinThickSmallGap" w:sz="12" w:space="0" w:color="800000"/>
          <w:left w:val="thinThickSmallGap" w:sz="12" w:space="0" w:color="800000"/>
          <w:bottom w:val="thinThickSmallGap" w:sz="12" w:space="0" w:color="800000"/>
          <w:right w:val="thinThickSmallGap" w:sz="12" w:space="0" w:color="800000"/>
          <w:insideV w:val="single" w:sz="8" w:space="0" w:color="800000"/>
        </w:tblBorders>
        <w:tblCellMar>
          <w:left w:w="70" w:type="dxa"/>
          <w:right w:w="70" w:type="dxa"/>
        </w:tblCellMar>
        <w:tblLook w:val="0000"/>
      </w:tblPr>
      <w:tblGrid>
        <w:gridCol w:w="4455"/>
        <w:gridCol w:w="1797"/>
        <w:gridCol w:w="1770"/>
      </w:tblGrid>
      <w:tr w:rsidR="000938C1" w:rsidRPr="00246730" w:rsidTr="00246730">
        <w:trPr>
          <w:trHeight w:val="267"/>
          <w:jc w:val="center"/>
        </w:trPr>
        <w:tc>
          <w:tcPr>
            <w:tcW w:w="4455" w:type="dxa"/>
            <w:tcBorders>
              <w:top w:val="thinThickSmallGap" w:sz="12" w:space="0" w:color="800000"/>
              <w:bottom w:val="thinThickSmallGap" w:sz="12" w:space="0" w:color="800000"/>
              <w:right w:val="single" w:sz="8" w:space="0" w:color="FFFFFF"/>
            </w:tcBorders>
            <w:shd w:val="clear" w:color="auto" w:fill="800000"/>
          </w:tcPr>
          <w:p w:rsidR="000938C1" w:rsidRPr="00246730" w:rsidRDefault="000938C1" w:rsidP="00246730">
            <w:pPr>
              <w:keepNext/>
              <w:spacing w:after="120"/>
              <w:jc w:val="center"/>
              <w:rPr>
                <w:b/>
                <w:bCs/>
                <w:color w:val="FFFFFF"/>
              </w:rPr>
            </w:pPr>
            <w:r w:rsidRPr="00246730">
              <w:rPr>
                <w:b/>
                <w:bCs/>
                <w:noProof/>
                <w:color w:val="FFFFFF"/>
              </w:rPr>
              <w:t>Показатели</w:t>
            </w:r>
          </w:p>
        </w:tc>
        <w:tc>
          <w:tcPr>
            <w:tcW w:w="1797" w:type="dxa"/>
            <w:tcBorders>
              <w:top w:val="thinThickSmallGap" w:sz="12" w:space="0" w:color="800000"/>
              <w:left w:val="single" w:sz="8" w:space="0" w:color="FFFFFF"/>
              <w:bottom w:val="thinThickSmallGap" w:sz="12" w:space="0" w:color="800000"/>
              <w:right w:val="single" w:sz="8" w:space="0" w:color="FFFFFF"/>
            </w:tcBorders>
            <w:shd w:val="clear" w:color="auto" w:fill="800000"/>
          </w:tcPr>
          <w:p w:rsidR="000938C1" w:rsidRPr="00246730" w:rsidRDefault="000938C1" w:rsidP="00246730">
            <w:pPr>
              <w:keepNext/>
              <w:spacing w:after="120"/>
              <w:jc w:val="center"/>
              <w:rPr>
                <w:b/>
                <w:bCs/>
                <w:color w:val="FFFFFF"/>
                <w:lang w:val="en-US"/>
              </w:rPr>
            </w:pPr>
            <w:r w:rsidRPr="00246730">
              <w:rPr>
                <w:b/>
                <w:bCs/>
                <w:noProof/>
                <w:color w:val="FFFFFF"/>
              </w:rPr>
              <w:t>2012</w:t>
            </w:r>
          </w:p>
        </w:tc>
        <w:tc>
          <w:tcPr>
            <w:tcW w:w="1770" w:type="dxa"/>
            <w:tcBorders>
              <w:top w:val="thinThickSmallGap" w:sz="12" w:space="0" w:color="800000"/>
              <w:left w:val="single" w:sz="8" w:space="0" w:color="FFFFFF"/>
              <w:bottom w:val="thinThickSmallGap" w:sz="12" w:space="0" w:color="800000"/>
            </w:tcBorders>
            <w:shd w:val="clear" w:color="auto" w:fill="800000"/>
          </w:tcPr>
          <w:p w:rsidR="000938C1" w:rsidRPr="00246730" w:rsidRDefault="000938C1" w:rsidP="00246730">
            <w:pPr>
              <w:keepNext/>
              <w:spacing w:after="120"/>
              <w:jc w:val="center"/>
              <w:rPr>
                <w:b/>
                <w:bCs/>
                <w:color w:val="FFFFFF"/>
                <w:lang w:val="en-US"/>
              </w:rPr>
            </w:pPr>
            <w:r w:rsidRPr="00246730">
              <w:rPr>
                <w:b/>
                <w:bCs/>
                <w:noProof/>
                <w:color w:val="FFFFFF"/>
              </w:rPr>
              <w:t>2013</w:t>
            </w:r>
          </w:p>
        </w:tc>
      </w:tr>
      <w:tr w:rsidR="000938C1" w:rsidRPr="00246730" w:rsidTr="00246730">
        <w:trPr>
          <w:trHeight w:val="81"/>
          <w:jc w:val="center"/>
        </w:trPr>
        <w:tc>
          <w:tcPr>
            <w:tcW w:w="4455" w:type="dxa"/>
            <w:tcBorders>
              <w:top w:val="thinThickSmallGap" w:sz="12" w:space="0" w:color="800000"/>
              <w:bottom w:val="nil"/>
            </w:tcBorders>
            <w:shd w:val="clear" w:color="auto" w:fill="FFFFCC"/>
          </w:tcPr>
          <w:p w:rsidR="000938C1" w:rsidRPr="00246730" w:rsidRDefault="000938C1" w:rsidP="00246730">
            <w:pPr>
              <w:keepNext/>
              <w:spacing w:after="120"/>
            </w:pPr>
            <w:r w:rsidRPr="00246730">
              <w:rPr>
                <w:noProof/>
              </w:rPr>
              <w:t>Ръст на износа на потребителски стоки</w:t>
            </w:r>
          </w:p>
        </w:tc>
        <w:tc>
          <w:tcPr>
            <w:tcW w:w="1797" w:type="dxa"/>
            <w:tcBorders>
              <w:top w:val="thinThickSmallGap" w:sz="12" w:space="0" w:color="800000"/>
              <w:bottom w:val="nil"/>
            </w:tcBorders>
            <w:shd w:val="clear" w:color="auto" w:fill="FFFFCC"/>
            <w:vAlign w:val="bottom"/>
          </w:tcPr>
          <w:p w:rsidR="000938C1" w:rsidRPr="00246730" w:rsidRDefault="000938C1" w:rsidP="00246730">
            <w:pPr>
              <w:keepNext/>
              <w:spacing w:after="120"/>
              <w:jc w:val="right"/>
            </w:pPr>
            <w:r w:rsidRPr="00246730">
              <w:t>7,0</w:t>
            </w:r>
          </w:p>
        </w:tc>
        <w:tc>
          <w:tcPr>
            <w:tcW w:w="1770" w:type="dxa"/>
            <w:tcBorders>
              <w:top w:val="thinThickSmallGap" w:sz="12" w:space="0" w:color="800000"/>
              <w:bottom w:val="nil"/>
            </w:tcBorders>
            <w:shd w:val="clear" w:color="auto" w:fill="FFFFCC"/>
            <w:vAlign w:val="bottom"/>
          </w:tcPr>
          <w:p w:rsidR="000938C1" w:rsidRPr="00246730" w:rsidRDefault="000938C1" w:rsidP="00246730">
            <w:pPr>
              <w:keepNext/>
              <w:spacing w:after="120"/>
              <w:jc w:val="right"/>
            </w:pPr>
            <w:r w:rsidRPr="00246730">
              <w:t>8,0</w:t>
            </w:r>
          </w:p>
        </w:tc>
      </w:tr>
      <w:tr w:rsidR="000938C1" w:rsidRPr="00246730" w:rsidTr="00246730">
        <w:trPr>
          <w:trHeight w:val="118"/>
          <w:jc w:val="center"/>
        </w:trPr>
        <w:tc>
          <w:tcPr>
            <w:tcW w:w="4455" w:type="dxa"/>
            <w:tcBorders>
              <w:top w:val="nil"/>
              <w:bottom w:val="nil"/>
            </w:tcBorders>
            <w:shd w:val="clear" w:color="auto" w:fill="FFFFCC"/>
          </w:tcPr>
          <w:p w:rsidR="000938C1" w:rsidRPr="00246730" w:rsidRDefault="000938C1" w:rsidP="00246730">
            <w:pPr>
              <w:keepNext/>
              <w:spacing w:after="120"/>
              <w:rPr>
                <w:i/>
              </w:rPr>
            </w:pPr>
            <w:r w:rsidRPr="00246730">
              <w:rPr>
                <w:i/>
                <w:noProof/>
              </w:rPr>
              <w:t>Дял на износа на потребителски стоки</w:t>
            </w:r>
          </w:p>
        </w:tc>
        <w:tc>
          <w:tcPr>
            <w:tcW w:w="1797" w:type="dxa"/>
            <w:tcBorders>
              <w:top w:val="nil"/>
              <w:bottom w:val="nil"/>
            </w:tcBorders>
            <w:shd w:val="clear" w:color="auto" w:fill="FFFFCC"/>
            <w:vAlign w:val="bottom"/>
          </w:tcPr>
          <w:p w:rsidR="000938C1" w:rsidRPr="00246730" w:rsidRDefault="000938C1" w:rsidP="00246730">
            <w:pPr>
              <w:keepNext/>
              <w:spacing w:after="120"/>
              <w:jc w:val="right"/>
              <w:rPr>
                <w:i/>
              </w:rPr>
            </w:pPr>
            <w:r w:rsidRPr="00246730">
              <w:rPr>
                <w:i/>
              </w:rPr>
              <w:t>23,3</w:t>
            </w:r>
          </w:p>
        </w:tc>
        <w:tc>
          <w:tcPr>
            <w:tcW w:w="1770" w:type="dxa"/>
            <w:tcBorders>
              <w:top w:val="nil"/>
              <w:bottom w:val="nil"/>
            </w:tcBorders>
            <w:shd w:val="clear" w:color="auto" w:fill="FFFFCC"/>
            <w:vAlign w:val="bottom"/>
          </w:tcPr>
          <w:p w:rsidR="000938C1" w:rsidRPr="00246730" w:rsidRDefault="000938C1" w:rsidP="00246730">
            <w:pPr>
              <w:keepNext/>
              <w:spacing w:after="120"/>
              <w:jc w:val="right"/>
              <w:rPr>
                <w:i/>
              </w:rPr>
            </w:pPr>
            <w:r w:rsidRPr="00246730">
              <w:rPr>
                <w:i/>
              </w:rPr>
              <w:t>23,4</w:t>
            </w:r>
          </w:p>
        </w:tc>
      </w:tr>
      <w:tr w:rsidR="000938C1" w:rsidRPr="00246730" w:rsidTr="00246730">
        <w:trPr>
          <w:trHeight w:val="151"/>
          <w:jc w:val="center"/>
        </w:trPr>
        <w:tc>
          <w:tcPr>
            <w:tcW w:w="4455" w:type="dxa"/>
            <w:tcBorders>
              <w:top w:val="nil"/>
              <w:bottom w:val="nil"/>
            </w:tcBorders>
            <w:shd w:val="clear" w:color="auto" w:fill="FFFFCC"/>
          </w:tcPr>
          <w:p w:rsidR="000938C1" w:rsidRPr="00246730" w:rsidRDefault="000938C1" w:rsidP="00246730">
            <w:pPr>
              <w:keepNext/>
              <w:spacing w:after="120"/>
            </w:pPr>
            <w:r w:rsidRPr="00246730">
              <w:rPr>
                <w:noProof/>
              </w:rPr>
              <w:t>Ръст на износа на енергийни стоки</w:t>
            </w:r>
          </w:p>
        </w:tc>
        <w:tc>
          <w:tcPr>
            <w:tcW w:w="1797" w:type="dxa"/>
            <w:tcBorders>
              <w:top w:val="nil"/>
              <w:bottom w:val="nil"/>
            </w:tcBorders>
            <w:shd w:val="clear" w:color="auto" w:fill="FFFFCC"/>
            <w:vAlign w:val="bottom"/>
          </w:tcPr>
          <w:p w:rsidR="000938C1" w:rsidRPr="00246730" w:rsidRDefault="000938C1" w:rsidP="00246730">
            <w:pPr>
              <w:keepNext/>
              <w:spacing w:after="120"/>
              <w:jc w:val="right"/>
            </w:pPr>
            <w:r w:rsidRPr="00246730">
              <w:t>23,7</w:t>
            </w:r>
          </w:p>
        </w:tc>
        <w:tc>
          <w:tcPr>
            <w:tcW w:w="1770" w:type="dxa"/>
            <w:tcBorders>
              <w:top w:val="nil"/>
              <w:bottom w:val="nil"/>
            </w:tcBorders>
            <w:shd w:val="clear" w:color="auto" w:fill="FFFFCC"/>
            <w:vAlign w:val="bottom"/>
          </w:tcPr>
          <w:p w:rsidR="000938C1" w:rsidRPr="00246730" w:rsidRDefault="000938C1" w:rsidP="00246730">
            <w:pPr>
              <w:keepNext/>
              <w:spacing w:after="120"/>
              <w:ind w:firstLine="214"/>
              <w:jc w:val="right"/>
            </w:pPr>
            <w:r w:rsidRPr="00246730">
              <w:t>-2,8</w:t>
            </w:r>
          </w:p>
        </w:tc>
      </w:tr>
      <w:tr w:rsidR="000938C1" w:rsidRPr="00246730" w:rsidTr="00246730">
        <w:trPr>
          <w:trHeight w:val="198"/>
          <w:jc w:val="center"/>
        </w:trPr>
        <w:tc>
          <w:tcPr>
            <w:tcW w:w="4455" w:type="dxa"/>
            <w:tcBorders>
              <w:top w:val="nil"/>
              <w:bottom w:val="nil"/>
            </w:tcBorders>
            <w:shd w:val="clear" w:color="auto" w:fill="FFFFCC"/>
          </w:tcPr>
          <w:p w:rsidR="000938C1" w:rsidRPr="00246730" w:rsidRDefault="000938C1" w:rsidP="00246730">
            <w:pPr>
              <w:keepNext/>
              <w:spacing w:after="120"/>
              <w:rPr>
                <w:i/>
              </w:rPr>
            </w:pPr>
            <w:r w:rsidRPr="00246730">
              <w:rPr>
                <w:i/>
                <w:noProof/>
              </w:rPr>
              <w:t>Дял на износа на енергийни стоки</w:t>
            </w:r>
          </w:p>
        </w:tc>
        <w:tc>
          <w:tcPr>
            <w:tcW w:w="1797" w:type="dxa"/>
            <w:tcBorders>
              <w:top w:val="nil"/>
              <w:bottom w:val="nil"/>
            </w:tcBorders>
            <w:shd w:val="clear" w:color="auto" w:fill="FFFFCC"/>
            <w:vAlign w:val="bottom"/>
          </w:tcPr>
          <w:p w:rsidR="000938C1" w:rsidRPr="00246730" w:rsidRDefault="000938C1" w:rsidP="00246730">
            <w:pPr>
              <w:keepNext/>
              <w:spacing w:after="120"/>
              <w:jc w:val="right"/>
              <w:rPr>
                <w:i/>
              </w:rPr>
            </w:pPr>
            <w:r w:rsidRPr="00246730">
              <w:rPr>
                <w:i/>
              </w:rPr>
              <w:t>16,8</w:t>
            </w:r>
          </w:p>
        </w:tc>
        <w:tc>
          <w:tcPr>
            <w:tcW w:w="1770" w:type="dxa"/>
            <w:tcBorders>
              <w:top w:val="nil"/>
              <w:bottom w:val="nil"/>
            </w:tcBorders>
            <w:shd w:val="clear" w:color="auto" w:fill="FFFFCC"/>
            <w:vAlign w:val="bottom"/>
          </w:tcPr>
          <w:p w:rsidR="000938C1" w:rsidRPr="00246730" w:rsidRDefault="000938C1" w:rsidP="00246730">
            <w:pPr>
              <w:keepNext/>
              <w:spacing w:after="120"/>
              <w:jc w:val="right"/>
              <w:rPr>
                <w:i/>
              </w:rPr>
            </w:pPr>
            <w:r w:rsidRPr="00246730">
              <w:rPr>
                <w:i/>
              </w:rPr>
              <w:t>15,2</w:t>
            </w:r>
          </w:p>
        </w:tc>
      </w:tr>
      <w:tr w:rsidR="000938C1" w:rsidRPr="00246730" w:rsidTr="00246730">
        <w:trPr>
          <w:trHeight w:val="71"/>
          <w:jc w:val="center"/>
        </w:trPr>
        <w:tc>
          <w:tcPr>
            <w:tcW w:w="4455" w:type="dxa"/>
            <w:tcBorders>
              <w:top w:val="nil"/>
              <w:bottom w:val="nil"/>
            </w:tcBorders>
            <w:shd w:val="clear" w:color="auto" w:fill="FFFFCC"/>
          </w:tcPr>
          <w:p w:rsidR="000938C1" w:rsidRPr="00246730" w:rsidRDefault="000938C1" w:rsidP="00246730">
            <w:pPr>
              <w:keepNext/>
              <w:spacing w:after="120"/>
            </w:pPr>
            <w:r w:rsidRPr="00246730">
              <w:rPr>
                <w:noProof/>
              </w:rPr>
              <w:t>Ръст на износа за Европейския съюз</w:t>
            </w:r>
          </w:p>
        </w:tc>
        <w:tc>
          <w:tcPr>
            <w:tcW w:w="1797" w:type="dxa"/>
            <w:tcBorders>
              <w:top w:val="nil"/>
              <w:bottom w:val="nil"/>
            </w:tcBorders>
            <w:shd w:val="clear" w:color="auto" w:fill="FFFFCC"/>
            <w:vAlign w:val="bottom"/>
          </w:tcPr>
          <w:p w:rsidR="000938C1" w:rsidRPr="00246730" w:rsidRDefault="000938C1" w:rsidP="00246730">
            <w:pPr>
              <w:keepNext/>
              <w:spacing w:after="120"/>
              <w:jc w:val="right"/>
            </w:pPr>
            <w:r w:rsidRPr="00246730">
              <w:t>-3,6</w:t>
            </w:r>
          </w:p>
        </w:tc>
        <w:tc>
          <w:tcPr>
            <w:tcW w:w="1770" w:type="dxa"/>
            <w:tcBorders>
              <w:top w:val="nil"/>
              <w:bottom w:val="nil"/>
            </w:tcBorders>
            <w:shd w:val="clear" w:color="auto" w:fill="FFFFCC"/>
            <w:vAlign w:val="bottom"/>
          </w:tcPr>
          <w:p w:rsidR="000938C1" w:rsidRPr="00246730" w:rsidRDefault="000938C1" w:rsidP="00246730">
            <w:pPr>
              <w:keepNext/>
              <w:spacing w:after="120"/>
              <w:jc w:val="right"/>
            </w:pPr>
            <w:r w:rsidRPr="00246730">
              <w:t>9,1</w:t>
            </w:r>
          </w:p>
        </w:tc>
      </w:tr>
      <w:tr w:rsidR="000938C1" w:rsidRPr="00246730" w:rsidTr="00246730">
        <w:trPr>
          <w:trHeight w:val="114"/>
          <w:jc w:val="center"/>
        </w:trPr>
        <w:tc>
          <w:tcPr>
            <w:tcW w:w="4455" w:type="dxa"/>
            <w:tcBorders>
              <w:top w:val="nil"/>
              <w:bottom w:val="nil"/>
            </w:tcBorders>
            <w:shd w:val="clear" w:color="auto" w:fill="FFFFCC"/>
          </w:tcPr>
          <w:p w:rsidR="000938C1" w:rsidRPr="00246730" w:rsidRDefault="000938C1" w:rsidP="00246730">
            <w:pPr>
              <w:keepNext/>
              <w:spacing w:after="120"/>
              <w:rPr>
                <w:i/>
              </w:rPr>
            </w:pPr>
            <w:r w:rsidRPr="00246730">
              <w:rPr>
                <w:i/>
                <w:noProof/>
              </w:rPr>
              <w:t>Дял на износа за Европейския съюз</w:t>
            </w:r>
          </w:p>
        </w:tc>
        <w:tc>
          <w:tcPr>
            <w:tcW w:w="1797" w:type="dxa"/>
            <w:tcBorders>
              <w:top w:val="nil"/>
            </w:tcBorders>
            <w:shd w:val="clear" w:color="auto" w:fill="FFFFCC"/>
            <w:vAlign w:val="bottom"/>
          </w:tcPr>
          <w:p w:rsidR="000938C1" w:rsidRPr="00246730" w:rsidRDefault="000938C1" w:rsidP="00246730">
            <w:pPr>
              <w:keepNext/>
              <w:spacing w:after="120"/>
              <w:jc w:val="right"/>
              <w:rPr>
                <w:i/>
              </w:rPr>
            </w:pPr>
            <w:r w:rsidRPr="00246730">
              <w:rPr>
                <w:i/>
              </w:rPr>
              <w:t>58,9</w:t>
            </w:r>
          </w:p>
        </w:tc>
        <w:tc>
          <w:tcPr>
            <w:tcW w:w="1770" w:type="dxa"/>
            <w:tcBorders>
              <w:top w:val="nil"/>
            </w:tcBorders>
            <w:shd w:val="clear" w:color="auto" w:fill="FFFFCC"/>
            <w:vAlign w:val="bottom"/>
          </w:tcPr>
          <w:p w:rsidR="000938C1" w:rsidRPr="00246730" w:rsidRDefault="000938C1" w:rsidP="00246730">
            <w:pPr>
              <w:keepNext/>
              <w:spacing w:after="120"/>
              <w:jc w:val="right"/>
              <w:rPr>
                <w:i/>
              </w:rPr>
            </w:pPr>
            <w:r w:rsidRPr="00246730">
              <w:rPr>
                <w:i/>
              </w:rPr>
              <w:t>60,1</w:t>
            </w:r>
          </w:p>
        </w:tc>
      </w:tr>
      <w:tr w:rsidR="000938C1" w:rsidRPr="00246730" w:rsidTr="00246730">
        <w:trPr>
          <w:trHeight w:val="344"/>
          <w:jc w:val="center"/>
        </w:trPr>
        <w:tc>
          <w:tcPr>
            <w:tcW w:w="4455" w:type="dxa"/>
            <w:tcBorders>
              <w:top w:val="nil"/>
              <w:bottom w:val="thinThickSmallGap" w:sz="12" w:space="0" w:color="800000"/>
            </w:tcBorders>
            <w:shd w:val="clear" w:color="auto" w:fill="FFFFCC"/>
          </w:tcPr>
          <w:p w:rsidR="000938C1" w:rsidRPr="00246730" w:rsidRDefault="000938C1" w:rsidP="00246730">
            <w:pPr>
              <w:keepNext/>
              <w:spacing w:after="120"/>
              <w:rPr>
                <w:noProof/>
              </w:rPr>
            </w:pPr>
            <w:r w:rsidRPr="00246730">
              <w:rPr>
                <w:noProof/>
              </w:rPr>
              <w:t>Ръст на износа към страни извън ЕС</w:t>
            </w:r>
          </w:p>
        </w:tc>
        <w:tc>
          <w:tcPr>
            <w:tcW w:w="1797" w:type="dxa"/>
            <w:tcBorders>
              <w:bottom w:val="thinThickSmallGap" w:sz="12" w:space="0" w:color="800000"/>
            </w:tcBorders>
            <w:shd w:val="clear" w:color="auto" w:fill="FFFFCC"/>
            <w:vAlign w:val="bottom"/>
          </w:tcPr>
          <w:p w:rsidR="000938C1" w:rsidRPr="00246730" w:rsidRDefault="000938C1" w:rsidP="00246730">
            <w:pPr>
              <w:keepNext/>
              <w:spacing w:after="120"/>
              <w:jc w:val="right"/>
            </w:pPr>
            <w:r w:rsidRPr="00246730">
              <w:t>12.6</w:t>
            </w:r>
          </w:p>
        </w:tc>
        <w:tc>
          <w:tcPr>
            <w:tcW w:w="1770" w:type="dxa"/>
            <w:tcBorders>
              <w:bottom w:val="thinThickSmallGap" w:sz="12" w:space="0" w:color="800000"/>
            </w:tcBorders>
            <w:shd w:val="clear" w:color="auto" w:fill="FFFFCC"/>
            <w:vAlign w:val="bottom"/>
          </w:tcPr>
          <w:p w:rsidR="000938C1" w:rsidRPr="00246730" w:rsidRDefault="000938C1" w:rsidP="00246730">
            <w:pPr>
              <w:keepNext/>
              <w:spacing w:after="120"/>
              <w:jc w:val="right"/>
            </w:pPr>
            <w:r w:rsidRPr="00246730">
              <w:t>4,0</w:t>
            </w:r>
          </w:p>
        </w:tc>
      </w:tr>
    </w:tbl>
    <w:p w:rsidR="000938C1" w:rsidRPr="00246730" w:rsidRDefault="000938C1" w:rsidP="00246730">
      <w:pPr>
        <w:spacing w:before="120" w:after="120"/>
        <w:ind w:firstLine="720"/>
        <w:jc w:val="both"/>
        <w:rPr>
          <w:i/>
          <w:sz w:val="20"/>
          <w:szCs w:val="20"/>
        </w:rPr>
      </w:pPr>
      <w:r w:rsidRPr="00246730">
        <w:rPr>
          <w:i/>
          <w:color w:val="0070C0"/>
        </w:rPr>
        <w:tab/>
      </w:r>
      <w:r w:rsidRPr="00246730">
        <w:rPr>
          <w:i/>
          <w:sz w:val="20"/>
          <w:szCs w:val="20"/>
        </w:rPr>
        <w:t>Източник: Изчисления на МФ по данни на БНБ</w:t>
      </w:r>
    </w:p>
    <w:p w:rsidR="000938C1" w:rsidRPr="00246730" w:rsidRDefault="000938C1" w:rsidP="00246730">
      <w:pPr>
        <w:spacing w:after="120"/>
        <w:ind w:firstLine="709"/>
        <w:jc w:val="both"/>
        <w:outlineLvl w:val="3"/>
      </w:pPr>
      <w:r w:rsidRPr="00246730">
        <w:t xml:space="preserve">Спадът </w:t>
      </w:r>
      <w:r>
        <w:t>на</w:t>
      </w:r>
      <w:r w:rsidRPr="00246730">
        <w:t xml:space="preserve"> вътрешно търсене, отчетен през 2013 г. както по отношение на потреблението, така и по отношение на инвестициите, имаше задържащ ефект върху увеличението на вноса. Основният положителен принос бе по линия на експортно-ориентираните производства. Дефлаторът на вноса бе отрицателен. Годишният темп на нарастване бе 1,4</w:t>
      </w:r>
      <w:r>
        <w:t xml:space="preserve"> </w:t>
      </w:r>
      <w:r w:rsidRPr="00246730">
        <w:t>% в номинално изражение и остана по-нисък от средния за 2012 г. С положителен принос за растежа бяха суровините и потребителските стоки, докато при енергийните продукти бе отчетен спад в резултат от по-нисък внос на горива. При инвестиционните стоки също бе наблюдавана низходяща динамика, водена от спад във вноса на „</w:t>
      </w:r>
      <w:r w:rsidRPr="00246730">
        <w:rPr>
          <w:i/>
        </w:rPr>
        <w:t>Резервни части и оборудване</w:t>
      </w:r>
      <w:r w:rsidRPr="00246730">
        <w:t xml:space="preserve">“. </w:t>
      </w:r>
    </w:p>
    <w:p w:rsidR="000938C1" w:rsidRPr="00246730" w:rsidRDefault="000938C1" w:rsidP="00246730">
      <w:pPr>
        <w:keepNext/>
        <w:keepLines/>
        <w:spacing w:before="120" w:after="120"/>
        <w:jc w:val="center"/>
        <w:rPr>
          <w:b/>
          <w:i/>
        </w:rPr>
      </w:pPr>
      <w:r w:rsidRPr="00246730">
        <w:rPr>
          <w:b/>
          <w:i/>
        </w:rPr>
        <w:t>Динамика на вноса (</w:t>
      </w:r>
      <w:r w:rsidRPr="00246730">
        <w:rPr>
          <w:b/>
          <w:i/>
          <w:lang w:val="en-US"/>
        </w:rPr>
        <w:t>CIF</w:t>
      </w:r>
      <w:r w:rsidRPr="00246730">
        <w:rPr>
          <w:b/>
          <w:i/>
          <w:lang w:val="ru-RU"/>
        </w:rPr>
        <w:t>)</w:t>
      </w:r>
      <w:r w:rsidRPr="00246730">
        <w:rPr>
          <w:b/>
          <w:i/>
        </w:rPr>
        <w:t>, в %</w:t>
      </w:r>
    </w:p>
    <w:tbl>
      <w:tblPr>
        <w:tblW w:w="8040" w:type="dxa"/>
        <w:jc w:val="center"/>
        <w:tblInd w:w="-296" w:type="dxa"/>
        <w:tblBorders>
          <w:top w:val="thinThickSmallGap" w:sz="12" w:space="0" w:color="800000"/>
          <w:left w:val="thinThickSmallGap" w:sz="12" w:space="0" w:color="800000"/>
          <w:bottom w:val="thinThickSmallGap" w:sz="12" w:space="0" w:color="800000"/>
          <w:right w:val="thinThickSmallGap" w:sz="12" w:space="0" w:color="800000"/>
          <w:insideV w:val="single" w:sz="8" w:space="0" w:color="800000"/>
        </w:tblBorders>
        <w:tblCellMar>
          <w:left w:w="70" w:type="dxa"/>
          <w:right w:w="70" w:type="dxa"/>
        </w:tblCellMar>
        <w:tblLook w:val="0000"/>
      </w:tblPr>
      <w:tblGrid>
        <w:gridCol w:w="4316"/>
        <w:gridCol w:w="1878"/>
        <w:gridCol w:w="1846"/>
      </w:tblGrid>
      <w:tr w:rsidR="000938C1" w:rsidRPr="00246730" w:rsidTr="00246730">
        <w:trPr>
          <w:trHeight w:val="129"/>
          <w:jc w:val="center"/>
        </w:trPr>
        <w:tc>
          <w:tcPr>
            <w:tcW w:w="4316" w:type="dxa"/>
            <w:tcBorders>
              <w:top w:val="thinThickSmallGap" w:sz="12" w:space="0" w:color="800000"/>
              <w:bottom w:val="thinThickSmallGap" w:sz="12" w:space="0" w:color="800000"/>
              <w:right w:val="single" w:sz="8" w:space="0" w:color="FFFFFF"/>
            </w:tcBorders>
            <w:shd w:val="clear" w:color="auto" w:fill="800000"/>
          </w:tcPr>
          <w:p w:rsidR="000938C1" w:rsidRPr="00246730" w:rsidRDefault="000938C1" w:rsidP="00246730">
            <w:pPr>
              <w:keepNext/>
              <w:keepLines/>
              <w:spacing w:after="120"/>
              <w:jc w:val="center"/>
              <w:rPr>
                <w:b/>
                <w:bCs/>
                <w:color w:val="FFFFFF"/>
              </w:rPr>
            </w:pPr>
            <w:r w:rsidRPr="00246730">
              <w:rPr>
                <w:b/>
                <w:bCs/>
                <w:noProof/>
                <w:color w:val="FFFFFF"/>
              </w:rPr>
              <w:t>Показатели</w:t>
            </w:r>
          </w:p>
        </w:tc>
        <w:tc>
          <w:tcPr>
            <w:tcW w:w="1878" w:type="dxa"/>
            <w:tcBorders>
              <w:top w:val="thinThickSmallGap" w:sz="12" w:space="0" w:color="800000"/>
              <w:left w:val="single" w:sz="8" w:space="0" w:color="FFFFFF"/>
              <w:bottom w:val="thinThickSmallGap" w:sz="12" w:space="0" w:color="800000"/>
              <w:right w:val="single" w:sz="8" w:space="0" w:color="FFFFFF"/>
            </w:tcBorders>
            <w:shd w:val="clear" w:color="auto" w:fill="800000"/>
          </w:tcPr>
          <w:p w:rsidR="000938C1" w:rsidRPr="00246730" w:rsidRDefault="000938C1" w:rsidP="00246730">
            <w:pPr>
              <w:keepNext/>
              <w:keepLines/>
              <w:spacing w:after="120"/>
              <w:jc w:val="center"/>
              <w:rPr>
                <w:b/>
                <w:bCs/>
                <w:color w:val="FFFFFF"/>
                <w:lang w:val="en-US"/>
              </w:rPr>
            </w:pPr>
            <w:r w:rsidRPr="00246730">
              <w:rPr>
                <w:b/>
                <w:bCs/>
                <w:noProof/>
                <w:color w:val="FFFFFF"/>
              </w:rPr>
              <w:t>2012</w:t>
            </w:r>
          </w:p>
        </w:tc>
        <w:tc>
          <w:tcPr>
            <w:tcW w:w="1846" w:type="dxa"/>
            <w:tcBorders>
              <w:top w:val="thinThickSmallGap" w:sz="12" w:space="0" w:color="800000"/>
              <w:left w:val="single" w:sz="8" w:space="0" w:color="FFFFFF"/>
              <w:bottom w:val="thinThickSmallGap" w:sz="12" w:space="0" w:color="800000"/>
            </w:tcBorders>
            <w:shd w:val="clear" w:color="auto" w:fill="800000"/>
          </w:tcPr>
          <w:p w:rsidR="000938C1" w:rsidRPr="00246730" w:rsidRDefault="000938C1" w:rsidP="00246730">
            <w:pPr>
              <w:keepNext/>
              <w:keepLines/>
              <w:spacing w:after="120"/>
              <w:jc w:val="center"/>
              <w:rPr>
                <w:b/>
                <w:bCs/>
                <w:color w:val="FFFFFF"/>
                <w:lang w:val="en-US"/>
              </w:rPr>
            </w:pPr>
            <w:r w:rsidRPr="00246730">
              <w:rPr>
                <w:b/>
                <w:bCs/>
                <w:noProof/>
                <w:color w:val="FFFFFF"/>
              </w:rPr>
              <w:t>2013</w:t>
            </w:r>
          </w:p>
        </w:tc>
      </w:tr>
      <w:tr w:rsidR="000938C1" w:rsidRPr="00246730" w:rsidTr="00246730">
        <w:trPr>
          <w:trHeight w:val="125"/>
          <w:jc w:val="center"/>
        </w:trPr>
        <w:tc>
          <w:tcPr>
            <w:tcW w:w="4316" w:type="dxa"/>
            <w:tcBorders>
              <w:top w:val="thinThickSmallGap" w:sz="12" w:space="0" w:color="800000"/>
              <w:bottom w:val="nil"/>
            </w:tcBorders>
            <w:shd w:val="clear" w:color="auto" w:fill="FFFFCC"/>
          </w:tcPr>
          <w:p w:rsidR="000938C1" w:rsidRPr="00246730" w:rsidRDefault="000938C1" w:rsidP="00246730">
            <w:pPr>
              <w:keepNext/>
              <w:keepLines/>
              <w:spacing w:after="120"/>
            </w:pPr>
            <w:r w:rsidRPr="00246730">
              <w:rPr>
                <w:noProof/>
              </w:rPr>
              <w:t>Ръст на вноса на инвестиционни стоки</w:t>
            </w:r>
          </w:p>
        </w:tc>
        <w:tc>
          <w:tcPr>
            <w:tcW w:w="1878" w:type="dxa"/>
            <w:tcBorders>
              <w:top w:val="thinThickSmallGap" w:sz="12" w:space="0" w:color="800000"/>
              <w:bottom w:val="nil"/>
            </w:tcBorders>
            <w:shd w:val="clear" w:color="auto" w:fill="FFFFCC"/>
            <w:vAlign w:val="bottom"/>
          </w:tcPr>
          <w:p w:rsidR="000938C1" w:rsidRPr="00246730" w:rsidRDefault="000938C1" w:rsidP="00246730">
            <w:pPr>
              <w:keepNext/>
              <w:keepLines/>
              <w:spacing w:after="120"/>
              <w:jc w:val="right"/>
            </w:pPr>
            <w:r w:rsidRPr="00246730">
              <w:t xml:space="preserve">16,9 </w:t>
            </w:r>
          </w:p>
        </w:tc>
        <w:tc>
          <w:tcPr>
            <w:tcW w:w="1846" w:type="dxa"/>
            <w:tcBorders>
              <w:top w:val="thinThickSmallGap" w:sz="12" w:space="0" w:color="800000"/>
              <w:bottom w:val="nil"/>
            </w:tcBorders>
            <w:shd w:val="clear" w:color="auto" w:fill="FFFFCC"/>
            <w:vAlign w:val="bottom"/>
          </w:tcPr>
          <w:p w:rsidR="000938C1" w:rsidRPr="00246730" w:rsidRDefault="000938C1" w:rsidP="00246730">
            <w:pPr>
              <w:keepNext/>
              <w:keepLines/>
              <w:spacing w:after="120"/>
              <w:jc w:val="right"/>
            </w:pPr>
            <w:r w:rsidRPr="00246730">
              <w:t xml:space="preserve">-0,9 </w:t>
            </w:r>
          </w:p>
        </w:tc>
      </w:tr>
      <w:tr w:rsidR="000938C1" w:rsidRPr="00246730" w:rsidTr="00246730">
        <w:trPr>
          <w:trHeight w:val="167"/>
          <w:jc w:val="center"/>
        </w:trPr>
        <w:tc>
          <w:tcPr>
            <w:tcW w:w="4316" w:type="dxa"/>
            <w:tcBorders>
              <w:top w:val="nil"/>
              <w:bottom w:val="nil"/>
            </w:tcBorders>
            <w:shd w:val="clear" w:color="auto" w:fill="FFFFCC"/>
          </w:tcPr>
          <w:p w:rsidR="000938C1" w:rsidRPr="00246730" w:rsidRDefault="000938C1" w:rsidP="00246730">
            <w:pPr>
              <w:keepNext/>
              <w:keepLines/>
              <w:spacing w:after="120"/>
              <w:rPr>
                <w:i/>
              </w:rPr>
            </w:pPr>
            <w:r w:rsidRPr="00246730">
              <w:rPr>
                <w:i/>
                <w:noProof/>
              </w:rPr>
              <w:t>Дял на вноса на инвестиционни стоки</w:t>
            </w:r>
          </w:p>
        </w:tc>
        <w:tc>
          <w:tcPr>
            <w:tcW w:w="1878" w:type="dxa"/>
            <w:tcBorders>
              <w:top w:val="nil"/>
              <w:bottom w:val="nil"/>
            </w:tcBorders>
            <w:shd w:val="clear" w:color="auto" w:fill="FFFFCC"/>
            <w:vAlign w:val="bottom"/>
          </w:tcPr>
          <w:p w:rsidR="000938C1" w:rsidRPr="00246730" w:rsidRDefault="000938C1" w:rsidP="00246730">
            <w:pPr>
              <w:keepNext/>
              <w:keepLines/>
              <w:spacing w:after="120"/>
              <w:jc w:val="right"/>
              <w:rPr>
                <w:i/>
              </w:rPr>
            </w:pPr>
            <w:r w:rsidRPr="00246730">
              <w:rPr>
                <w:i/>
              </w:rPr>
              <w:t xml:space="preserve">22,9 </w:t>
            </w:r>
          </w:p>
        </w:tc>
        <w:tc>
          <w:tcPr>
            <w:tcW w:w="1846" w:type="dxa"/>
            <w:tcBorders>
              <w:top w:val="nil"/>
              <w:bottom w:val="nil"/>
            </w:tcBorders>
            <w:shd w:val="clear" w:color="auto" w:fill="FFFFCC"/>
            <w:vAlign w:val="bottom"/>
          </w:tcPr>
          <w:p w:rsidR="000938C1" w:rsidRPr="00246730" w:rsidRDefault="000938C1" w:rsidP="00246730">
            <w:pPr>
              <w:keepNext/>
              <w:keepLines/>
              <w:spacing w:after="120"/>
              <w:jc w:val="right"/>
              <w:rPr>
                <w:i/>
              </w:rPr>
            </w:pPr>
            <w:r w:rsidRPr="00246730">
              <w:rPr>
                <w:i/>
              </w:rPr>
              <w:t>22,3</w:t>
            </w:r>
          </w:p>
        </w:tc>
      </w:tr>
      <w:tr w:rsidR="000938C1" w:rsidRPr="00246730" w:rsidTr="00246730">
        <w:trPr>
          <w:trHeight w:val="152"/>
          <w:jc w:val="center"/>
        </w:trPr>
        <w:tc>
          <w:tcPr>
            <w:tcW w:w="4316" w:type="dxa"/>
            <w:tcBorders>
              <w:top w:val="nil"/>
              <w:bottom w:val="nil"/>
            </w:tcBorders>
            <w:shd w:val="clear" w:color="auto" w:fill="FFFFCC"/>
          </w:tcPr>
          <w:p w:rsidR="000938C1" w:rsidRPr="00246730" w:rsidRDefault="000938C1" w:rsidP="00246730">
            <w:pPr>
              <w:keepNext/>
              <w:keepLines/>
              <w:spacing w:after="120"/>
            </w:pPr>
            <w:r w:rsidRPr="00246730">
              <w:rPr>
                <w:noProof/>
              </w:rPr>
              <w:t>Ръст на вноса на енергийни стоки</w:t>
            </w:r>
          </w:p>
        </w:tc>
        <w:tc>
          <w:tcPr>
            <w:tcW w:w="1878" w:type="dxa"/>
            <w:tcBorders>
              <w:top w:val="nil"/>
              <w:bottom w:val="nil"/>
            </w:tcBorders>
            <w:shd w:val="clear" w:color="auto" w:fill="FFFFCC"/>
            <w:vAlign w:val="bottom"/>
          </w:tcPr>
          <w:p w:rsidR="000938C1" w:rsidRPr="00246730" w:rsidRDefault="000938C1" w:rsidP="00246730">
            <w:pPr>
              <w:keepNext/>
              <w:keepLines/>
              <w:spacing w:after="120"/>
              <w:jc w:val="right"/>
            </w:pPr>
            <w:r w:rsidRPr="00246730">
              <w:t xml:space="preserve">19,7 </w:t>
            </w:r>
          </w:p>
        </w:tc>
        <w:tc>
          <w:tcPr>
            <w:tcW w:w="1846" w:type="dxa"/>
            <w:tcBorders>
              <w:top w:val="nil"/>
              <w:bottom w:val="nil"/>
            </w:tcBorders>
            <w:shd w:val="clear" w:color="auto" w:fill="FFFFCC"/>
            <w:vAlign w:val="bottom"/>
          </w:tcPr>
          <w:p w:rsidR="000938C1" w:rsidRPr="00246730" w:rsidRDefault="000938C1" w:rsidP="00246730">
            <w:pPr>
              <w:keepNext/>
              <w:keepLines/>
              <w:spacing w:after="120"/>
              <w:jc w:val="right"/>
            </w:pPr>
            <w:r w:rsidRPr="00246730">
              <w:t>-6,0</w:t>
            </w:r>
          </w:p>
        </w:tc>
      </w:tr>
      <w:tr w:rsidR="000938C1" w:rsidRPr="00246730" w:rsidTr="00246730">
        <w:trPr>
          <w:trHeight w:val="80"/>
          <w:jc w:val="center"/>
        </w:trPr>
        <w:tc>
          <w:tcPr>
            <w:tcW w:w="4316" w:type="dxa"/>
            <w:tcBorders>
              <w:top w:val="nil"/>
              <w:bottom w:val="nil"/>
            </w:tcBorders>
            <w:shd w:val="clear" w:color="auto" w:fill="FFFFCC"/>
          </w:tcPr>
          <w:p w:rsidR="000938C1" w:rsidRPr="00246730" w:rsidRDefault="000938C1" w:rsidP="00246730">
            <w:pPr>
              <w:keepNext/>
              <w:keepLines/>
              <w:spacing w:after="120"/>
              <w:rPr>
                <w:i/>
              </w:rPr>
            </w:pPr>
            <w:r w:rsidRPr="00246730">
              <w:rPr>
                <w:i/>
                <w:noProof/>
              </w:rPr>
              <w:t>Дял на вноса на енергийни стоки</w:t>
            </w:r>
          </w:p>
        </w:tc>
        <w:tc>
          <w:tcPr>
            <w:tcW w:w="1878" w:type="dxa"/>
            <w:tcBorders>
              <w:top w:val="nil"/>
              <w:bottom w:val="nil"/>
            </w:tcBorders>
            <w:shd w:val="clear" w:color="auto" w:fill="FFFFCC"/>
            <w:vAlign w:val="bottom"/>
          </w:tcPr>
          <w:p w:rsidR="000938C1" w:rsidRPr="00246730" w:rsidRDefault="000938C1" w:rsidP="00246730">
            <w:pPr>
              <w:keepNext/>
              <w:keepLines/>
              <w:spacing w:after="120"/>
              <w:jc w:val="right"/>
              <w:rPr>
                <w:i/>
              </w:rPr>
            </w:pPr>
            <w:r w:rsidRPr="00246730">
              <w:rPr>
                <w:i/>
              </w:rPr>
              <w:t>25,2</w:t>
            </w:r>
          </w:p>
        </w:tc>
        <w:tc>
          <w:tcPr>
            <w:tcW w:w="1846" w:type="dxa"/>
            <w:tcBorders>
              <w:top w:val="nil"/>
              <w:bottom w:val="nil"/>
            </w:tcBorders>
            <w:shd w:val="clear" w:color="auto" w:fill="FFFFCC"/>
            <w:vAlign w:val="bottom"/>
          </w:tcPr>
          <w:p w:rsidR="000938C1" w:rsidRPr="00246730" w:rsidRDefault="000938C1" w:rsidP="00246730">
            <w:pPr>
              <w:keepNext/>
              <w:keepLines/>
              <w:spacing w:after="120"/>
              <w:jc w:val="right"/>
              <w:rPr>
                <w:i/>
              </w:rPr>
            </w:pPr>
            <w:r w:rsidRPr="00246730">
              <w:rPr>
                <w:i/>
              </w:rPr>
              <w:t xml:space="preserve">23,4 </w:t>
            </w:r>
          </w:p>
        </w:tc>
      </w:tr>
      <w:tr w:rsidR="000938C1" w:rsidRPr="00246730" w:rsidTr="00246730">
        <w:trPr>
          <w:trHeight w:val="187"/>
          <w:jc w:val="center"/>
        </w:trPr>
        <w:tc>
          <w:tcPr>
            <w:tcW w:w="4316" w:type="dxa"/>
            <w:tcBorders>
              <w:top w:val="nil"/>
              <w:bottom w:val="nil"/>
            </w:tcBorders>
            <w:shd w:val="clear" w:color="auto" w:fill="FFFFCC"/>
          </w:tcPr>
          <w:p w:rsidR="000938C1" w:rsidRPr="00246730" w:rsidRDefault="000938C1" w:rsidP="00246730">
            <w:pPr>
              <w:keepNext/>
              <w:keepLines/>
              <w:spacing w:after="120"/>
            </w:pPr>
            <w:r w:rsidRPr="00246730">
              <w:rPr>
                <w:noProof/>
              </w:rPr>
              <w:t>Ръст на вноса от Европейския съюз</w:t>
            </w:r>
          </w:p>
        </w:tc>
        <w:tc>
          <w:tcPr>
            <w:tcW w:w="1878" w:type="dxa"/>
            <w:tcBorders>
              <w:top w:val="nil"/>
              <w:bottom w:val="nil"/>
            </w:tcBorders>
            <w:shd w:val="clear" w:color="auto" w:fill="FFFFCC"/>
            <w:vAlign w:val="bottom"/>
          </w:tcPr>
          <w:p w:rsidR="000938C1" w:rsidRPr="00246730" w:rsidRDefault="000938C1" w:rsidP="00246730">
            <w:pPr>
              <w:keepNext/>
              <w:keepLines/>
              <w:spacing w:after="120"/>
              <w:jc w:val="right"/>
            </w:pPr>
            <w:r w:rsidRPr="00246730">
              <w:t xml:space="preserve">6,9 </w:t>
            </w:r>
          </w:p>
        </w:tc>
        <w:tc>
          <w:tcPr>
            <w:tcW w:w="1846" w:type="dxa"/>
            <w:tcBorders>
              <w:top w:val="nil"/>
              <w:bottom w:val="nil"/>
            </w:tcBorders>
            <w:shd w:val="clear" w:color="auto" w:fill="FFFFCC"/>
            <w:vAlign w:val="bottom"/>
          </w:tcPr>
          <w:p w:rsidR="000938C1" w:rsidRPr="00246730" w:rsidRDefault="000938C1" w:rsidP="00246730">
            <w:pPr>
              <w:keepNext/>
              <w:keepLines/>
              <w:spacing w:after="120"/>
              <w:jc w:val="right"/>
            </w:pPr>
            <w:r w:rsidRPr="00246730">
              <w:t xml:space="preserve">3,6 </w:t>
            </w:r>
          </w:p>
        </w:tc>
      </w:tr>
      <w:tr w:rsidR="000938C1" w:rsidRPr="00246730" w:rsidTr="00246730">
        <w:trPr>
          <w:trHeight w:val="114"/>
          <w:jc w:val="center"/>
        </w:trPr>
        <w:tc>
          <w:tcPr>
            <w:tcW w:w="4316" w:type="dxa"/>
            <w:tcBorders>
              <w:top w:val="nil"/>
              <w:bottom w:val="thinThickSmallGap" w:sz="12" w:space="0" w:color="800000"/>
            </w:tcBorders>
            <w:shd w:val="clear" w:color="auto" w:fill="FFFFCC"/>
          </w:tcPr>
          <w:p w:rsidR="000938C1" w:rsidRPr="00246730" w:rsidRDefault="000938C1" w:rsidP="00246730">
            <w:pPr>
              <w:keepNext/>
              <w:keepLines/>
              <w:spacing w:after="120"/>
              <w:rPr>
                <w:i/>
              </w:rPr>
            </w:pPr>
            <w:r w:rsidRPr="00246730">
              <w:rPr>
                <w:i/>
                <w:noProof/>
              </w:rPr>
              <w:t>Дял на вноса от Европейския съюз</w:t>
            </w:r>
          </w:p>
        </w:tc>
        <w:tc>
          <w:tcPr>
            <w:tcW w:w="1878" w:type="dxa"/>
            <w:tcBorders>
              <w:top w:val="nil"/>
              <w:bottom w:val="thinThickSmallGap" w:sz="12" w:space="0" w:color="800000"/>
            </w:tcBorders>
            <w:shd w:val="clear" w:color="auto" w:fill="FFFFCC"/>
            <w:vAlign w:val="bottom"/>
          </w:tcPr>
          <w:p w:rsidR="000938C1" w:rsidRPr="00246730" w:rsidRDefault="000938C1" w:rsidP="00246730">
            <w:pPr>
              <w:keepNext/>
              <w:keepLines/>
              <w:spacing w:after="120"/>
              <w:jc w:val="right"/>
              <w:rPr>
                <w:i/>
              </w:rPr>
            </w:pPr>
            <w:r w:rsidRPr="00246730">
              <w:rPr>
                <w:i/>
              </w:rPr>
              <w:t xml:space="preserve">47,7 </w:t>
            </w:r>
          </w:p>
        </w:tc>
        <w:tc>
          <w:tcPr>
            <w:tcW w:w="1846" w:type="dxa"/>
            <w:tcBorders>
              <w:top w:val="nil"/>
              <w:bottom w:val="thinThickSmallGap" w:sz="12" w:space="0" w:color="800000"/>
            </w:tcBorders>
            <w:shd w:val="clear" w:color="auto" w:fill="FFFFCC"/>
            <w:vAlign w:val="bottom"/>
          </w:tcPr>
          <w:p w:rsidR="000938C1" w:rsidRPr="00246730" w:rsidRDefault="000938C1" w:rsidP="00246730">
            <w:pPr>
              <w:keepNext/>
              <w:keepLines/>
              <w:spacing w:after="120"/>
              <w:jc w:val="right"/>
              <w:rPr>
                <w:i/>
              </w:rPr>
            </w:pPr>
            <w:r w:rsidRPr="00246730">
              <w:rPr>
                <w:i/>
              </w:rPr>
              <w:t xml:space="preserve">48,7 </w:t>
            </w:r>
          </w:p>
        </w:tc>
      </w:tr>
    </w:tbl>
    <w:p w:rsidR="000938C1" w:rsidRPr="00246730" w:rsidRDefault="000938C1" w:rsidP="00246730">
      <w:pPr>
        <w:spacing w:before="120" w:after="120"/>
        <w:ind w:firstLine="720"/>
        <w:jc w:val="center"/>
        <w:rPr>
          <w:i/>
          <w:sz w:val="20"/>
          <w:szCs w:val="20"/>
        </w:rPr>
      </w:pPr>
      <w:r w:rsidRPr="00246730">
        <w:rPr>
          <w:i/>
          <w:sz w:val="20"/>
          <w:szCs w:val="20"/>
        </w:rPr>
        <w:t>Източник: Изчисления на МФ по данни на БНБ</w:t>
      </w:r>
    </w:p>
    <w:p w:rsidR="000938C1" w:rsidRPr="00246730" w:rsidRDefault="000938C1" w:rsidP="00246730">
      <w:pPr>
        <w:keepNext/>
        <w:keepLines/>
        <w:spacing w:before="120"/>
        <w:ind w:firstLine="709"/>
        <w:rPr>
          <w:color w:val="0070C0"/>
        </w:rPr>
      </w:pPr>
      <w:r w:rsidRPr="00246730">
        <w:t>Така ф</w:t>
      </w:r>
      <w:r>
        <w:t>ормираният търговски дефицит (5,</w:t>
      </w:r>
      <w:r w:rsidRPr="00246730">
        <w:t>9</w:t>
      </w:r>
      <w:r>
        <w:t xml:space="preserve"> </w:t>
      </w:r>
      <w:r w:rsidRPr="00246730">
        <w:t>% от БВП) се подобри с 2,2 млрд. лв. спрямо предходната година.</w:t>
      </w:r>
    </w:p>
    <w:p w:rsidR="000938C1" w:rsidRPr="00246730" w:rsidRDefault="000938C1" w:rsidP="00246730">
      <w:pPr>
        <w:ind w:firstLine="709"/>
        <w:jc w:val="both"/>
        <w:rPr>
          <w:color w:val="0070C0"/>
        </w:rPr>
      </w:pPr>
      <w:r w:rsidRPr="00246730">
        <w:t>Излишъкът по услугите се понижи до 4,1 млрд. лв. през 2013 г. (при излишък от 4,7 млрд. лв. за предходната година). По-ниските приходи от предоставени строително-монтажни, комуникационни и други бизнес услуги на нерезиденти, бяха основните причини за влошеното салдо. Приходите от чуждестранни пътувания в страната нараснаха с 4,9</w:t>
      </w:r>
      <w:r>
        <w:t xml:space="preserve"> процентни пункта</w:t>
      </w:r>
      <w:r w:rsidRPr="00246730">
        <w:t>.</w:t>
      </w:r>
    </w:p>
    <w:p w:rsidR="000938C1" w:rsidRPr="00246730" w:rsidRDefault="000938C1" w:rsidP="00246730">
      <w:pPr>
        <w:ind w:firstLine="709"/>
        <w:jc w:val="both"/>
      </w:pPr>
      <w:r w:rsidRPr="00246730">
        <w:t>Отрицателният баланс по статия доход се влоши леко през 2013 г., достигайки 2,7 млрд. лв. (3,5</w:t>
      </w:r>
      <w:r>
        <w:t xml:space="preserve"> </w:t>
      </w:r>
      <w:r w:rsidRPr="00246730">
        <w:t>% от БВП). Промяната отново се дължеше на динамиката в дебитното салдо, като плащанията по статия инвестиционен доход, свързани основно с изплащане на средства към чуждестранните компании-майки, се повишиха с 489,6 млн. лв. Същевременно, бе наблюдавано увеличение на компенсациите на българите на сезонна работа извън страната.</w:t>
      </w:r>
    </w:p>
    <w:p w:rsidR="000938C1" w:rsidRPr="00246730" w:rsidRDefault="000938C1" w:rsidP="009439B2">
      <w:pPr>
        <w:ind w:firstLine="709"/>
        <w:jc w:val="both"/>
        <w:outlineLvl w:val="3"/>
      </w:pPr>
      <w:r w:rsidRPr="00246730">
        <w:t>По-големите входящи трансфери в резултат от изплащане на средства към бенефициенти по оперативни програми на ЕС (с 698,4 млн. лв. повече спрямо 2012 г.), доведоха до ръст на излишъка на нетните текущи трансфери до 4,7 млрд. лв. за 2013 г. и увеличиха положителния принос на статията в баланса на текущата сметка.</w:t>
      </w:r>
    </w:p>
    <w:p w:rsidR="000938C1" w:rsidRPr="00246730" w:rsidRDefault="000938C1" w:rsidP="009439B2">
      <w:pPr>
        <w:ind w:firstLine="709"/>
        <w:jc w:val="both"/>
      </w:pPr>
      <w:r w:rsidRPr="00246730">
        <w:t>Финансовата сметка бе отрицателна в размер на 2,9 млрд. лв. при излишък от 2,9 млрд. лв. през 2012 г. Изходящите потоци бяха свързани главно с увеличаване на активите, държани от български банки в чужбина под формата на валута и депозити.</w:t>
      </w:r>
    </w:p>
    <w:p w:rsidR="000938C1" w:rsidRPr="00246730" w:rsidRDefault="000938C1" w:rsidP="009439B2">
      <w:pPr>
        <w:ind w:firstLine="709"/>
        <w:jc w:val="both"/>
        <w:outlineLvl w:val="3"/>
      </w:pPr>
      <w:r w:rsidRPr="00246730">
        <w:t>Динамиката на портфейлните инвестиции бе предопределяна от еднократни транзакции – изплащането на държавен дълг в началото на годината и пласирането на корпоративни облигации през ноември. Преките чуждестранни инвестиции (ПЧИ) в страната бяха основният входящ поток по финансовата сметка. Те възлязоха на 2,1 млрд. лв. или 2,7</w:t>
      </w:r>
      <w:r>
        <w:t xml:space="preserve"> </w:t>
      </w:r>
      <w:r w:rsidRPr="00246730">
        <w:t>% от БВП през 2013 г., отбелязвайки повишение от 2,1</w:t>
      </w:r>
      <w:r>
        <w:t xml:space="preserve"> </w:t>
      </w:r>
      <w:r w:rsidRPr="00246730">
        <w:t xml:space="preserve">%. Инвестициите бяха насочени главно към </w:t>
      </w:r>
      <w:r w:rsidRPr="00246730">
        <w:rPr>
          <w:i/>
        </w:rPr>
        <w:t xml:space="preserve">транспорт, складиране и съобщения, търговия </w:t>
      </w:r>
      <w:r w:rsidRPr="00673D4D">
        <w:t>и</w:t>
      </w:r>
      <w:r w:rsidRPr="00246730">
        <w:rPr>
          <w:i/>
        </w:rPr>
        <w:t xml:space="preserve"> преработваща промишленост</w:t>
      </w:r>
      <w:r w:rsidRPr="00246730">
        <w:t>.</w:t>
      </w:r>
    </w:p>
    <w:p w:rsidR="000938C1" w:rsidRDefault="000938C1" w:rsidP="009439B2">
      <w:pPr>
        <w:ind w:firstLine="709"/>
        <w:jc w:val="both"/>
      </w:pPr>
      <w:r w:rsidRPr="00246730">
        <w:t>Общият платежен баланс за 2013 г. бе отрицателен и валутните резерви на страната се понижиха с 1,2 млрд. л</w:t>
      </w:r>
      <w:r>
        <w:t>е</w:t>
      </w:r>
      <w:r w:rsidRPr="00246730">
        <w:t>в</w:t>
      </w:r>
      <w:r>
        <w:t>а</w:t>
      </w:r>
      <w:r w:rsidRPr="00246730">
        <w:t>.</w:t>
      </w:r>
    </w:p>
    <w:p w:rsidR="000938C1" w:rsidRPr="00CF1A14" w:rsidRDefault="000938C1" w:rsidP="00E7165D">
      <w:pPr>
        <w:pStyle w:val="BodyText"/>
        <w:jc w:val="both"/>
        <w:rPr>
          <w:color w:val="0070C0"/>
          <w:sz w:val="2"/>
          <w:szCs w:val="2"/>
        </w:rPr>
      </w:pPr>
    </w:p>
    <w:p w:rsidR="000938C1" w:rsidRPr="00246730" w:rsidRDefault="000938C1" w:rsidP="00F30F79">
      <w:pPr>
        <w:pStyle w:val="Heading1"/>
        <w:numPr>
          <w:ilvl w:val="0"/>
          <w:numId w:val="18"/>
        </w:numPr>
        <w:jc w:val="left"/>
      </w:pPr>
      <w:bookmarkStart w:id="36" w:name="_Toc324863386"/>
      <w:bookmarkStart w:id="37" w:name="_Toc136597712"/>
      <w:bookmarkStart w:id="38" w:name="_Toc136601615"/>
      <w:bookmarkStart w:id="39" w:name="_Toc166304012"/>
      <w:bookmarkStart w:id="40" w:name="_Toc166381572"/>
      <w:bookmarkStart w:id="41" w:name="_Toc167005087"/>
      <w:bookmarkStart w:id="42" w:name="_Toc261276554"/>
      <w:bookmarkStart w:id="43" w:name="_Toc393728045"/>
      <w:r w:rsidRPr="00246730">
        <w:t>Финансов сектор</w:t>
      </w:r>
      <w:bookmarkEnd w:id="36"/>
      <w:bookmarkEnd w:id="37"/>
      <w:bookmarkEnd w:id="38"/>
      <w:bookmarkEnd w:id="39"/>
      <w:bookmarkEnd w:id="40"/>
      <w:bookmarkEnd w:id="41"/>
      <w:bookmarkEnd w:id="42"/>
      <w:bookmarkEnd w:id="43"/>
    </w:p>
    <w:p w:rsidR="000938C1" w:rsidRPr="00CF1A14" w:rsidRDefault="000938C1" w:rsidP="005E255B">
      <w:pPr>
        <w:rPr>
          <w:color w:val="0070C0"/>
          <w:sz w:val="12"/>
          <w:szCs w:val="12"/>
          <w:lang w:eastAsia="en-US"/>
        </w:rPr>
      </w:pPr>
    </w:p>
    <w:p w:rsidR="000938C1" w:rsidRPr="00246730" w:rsidRDefault="000938C1" w:rsidP="00246730">
      <w:pPr>
        <w:keepNext/>
        <w:ind w:firstLine="709"/>
        <w:jc w:val="both"/>
        <w:rPr>
          <w:rFonts w:cs="Arial"/>
          <w:bCs/>
          <w:color w:val="0070C0"/>
          <w:szCs w:val="26"/>
        </w:rPr>
      </w:pPr>
      <w:bookmarkStart w:id="44" w:name="_Фискална_политика,_ръст_на_кредитит"/>
      <w:bookmarkEnd w:id="44"/>
      <w:r w:rsidRPr="00246730">
        <w:t>Българският финансов сектор се представи сравнително успешно през 2013 г. и завърши годината с добри резултати. Валутният борд, един от основните фактори за финансова стабилност на страната, запази солидни показатели. Международните валутни резерви достигнаха 14,4 млрд. евро в края на декември. Те се понижиха на годишна база със 7,2</w:t>
      </w:r>
      <w:r>
        <w:t xml:space="preserve"> </w:t>
      </w:r>
      <w:r w:rsidRPr="00246730">
        <w:t>%, след като през предходната година постигнаха ръст от 16,5</w:t>
      </w:r>
      <w:r>
        <w:t xml:space="preserve"> </w:t>
      </w:r>
      <w:r w:rsidRPr="00246730">
        <w:t>%. Високият ръст на резервите през 2012 г. и съответно понижението през 2013 г. се дължаха в най-голяма степен на базовия ефект от емитираната през юли 2012 г. емисия еврооблигации, със средствата от която през януари 2013 г. бе изплатен падежиращ дълг.</w:t>
      </w:r>
    </w:p>
    <w:p w:rsidR="000938C1" w:rsidRPr="00246730" w:rsidRDefault="000938C1" w:rsidP="00246730">
      <w:pPr>
        <w:spacing w:before="240" w:after="120"/>
        <w:jc w:val="center"/>
        <w:outlineLvl w:val="3"/>
        <w:rPr>
          <w:rFonts w:ascii="Calibri" w:hAnsi="Calibri"/>
          <w:b/>
          <w:bCs/>
          <w:i/>
          <w:noProof/>
          <w:sz w:val="22"/>
          <w:szCs w:val="22"/>
        </w:rPr>
      </w:pPr>
      <w:r w:rsidRPr="00246730">
        <w:rPr>
          <w:rFonts w:ascii="Calibri" w:hAnsi="Calibri"/>
          <w:b/>
          <w:bCs/>
          <w:i/>
          <w:noProof/>
          <w:sz w:val="22"/>
          <w:szCs w:val="22"/>
        </w:rPr>
        <w:t>Ключови отношения за валутния борд</w:t>
      </w:r>
    </w:p>
    <w:p w:rsidR="000938C1" w:rsidRPr="00246730" w:rsidRDefault="000938C1" w:rsidP="00246730">
      <w:pPr>
        <w:ind w:firstLine="709"/>
        <w:rPr>
          <w:rFonts w:ascii="Calibri" w:hAnsi="Calibri"/>
          <w:b/>
          <w:bCs/>
        </w:rPr>
      </w:pPr>
      <w:r w:rsidRPr="00BC4ACD">
        <w:rPr>
          <w:rFonts w:ascii="Calibri" w:hAnsi="Calibri"/>
          <w:noProof/>
        </w:rPr>
        <w:pict>
          <v:shape id="Picture 2" o:spid="_x0000_i1026" type="#_x0000_t75" style="width:398.25pt;height:196.5pt;visibility:visible" o:bordertopcolor="#a6a6a6" o:borderleftcolor="#a6a6a6" o:borderbottomcolor="#a6a6a6" o:borderrightcolor="#a6a6a6">
            <v:imagedata r:id="rId11" o:title="" croptop="-310f" cropbottom="-766f" cropleft="-1487f" cropright="-1580f"/>
            <w10:bordertop type="single" width="6"/>
            <w10:borderleft type="single" width="6"/>
            <w10:borderbottom type="single" width="6"/>
            <w10:borderright type="single" width="6"/>
          </v:shape>
        </w:pict>
      </w:r>
    </w:p>
    <w:p w:rsidR="000938C1" w:rsidRPr="00246730" w:rsidRDefault="000938C1" w:rsidP="00246730">
      <w:pPr>
        <w:ind w:firstLine="709"/>
        <w:jc w:val="both"/>
        <w:rPr>
          <w:color w:val="0070C0"/>
        </w:rPr>
      </w:pPr>
    </w:p>
    <w:p w:rsidR="000938C1" w:rsidRPr="00246730" w:rsidRDefault="000938C1" w:rsidP="00246730">
      <w:pPr>
        <w:keepNext/>
        <w:ind w:firstLine="709"/>
        <w:jc w:val="right"/>
        <w:rPr>
          <w:rFonts w:cs="Arial"/>
          <w:bCs/>
          <w:i/>
          <w:sz w:val="20"/>
          <w:szCs w:val="20"/>
        </w:rPr>
      </w:pPr>
      <w:r w:rsidRPr="00246730">
        <w:rPr>
          <w:rFonts w:cs="Arial"/>
          <w:bCs/>
          <w:i/>
          <w:sz w:val="20"/>
          <w:szCs w:val="20"/>
        </w:rPr>
        <w:t>Източник: БНБ, МФ</w:t>
      </w:r>
    </w:p>
    <w:p w:rsidR="000938C1" w:rsidRDefault="000938C1" w:rsidP="00246730">
      <w:pPr>
        <w:autoSpaceDE w:val="0"/>
        <w:autoSpaceDN w:val="0"/>
        <w:adjustRightInd w:val="0"/>
        <w:spacing w:after="120"/>
        <w:ind w:firstLine="720"/>
        <w:jc w:val="both"/>
      </w:pPr>
    </w:p>
    <w:p w:rsidR="000938C1" w:rsidRPr="003F3005" w:rsidRDefault="000938C1" w:rsidP="00246730">
      <w:pPr>
        <w:autoSpaceDE w:val="0"/>
        <w:autoSpaceDN w:val="0"/>
        <w:adjustRightInd w:val="0"/>
        <w:spacing w:after="120"/>
        <w:ind w:firstLine="720"/>
        <w:jc w:val="both"/>
        <w:rPr>
          <w:lang w:val="en-US"/>
        </w:rPr>
      </w:pPr>
      <w:r w:rsidRPr="00246730">
        <w:t>Покритието на паричната база с валутни резерви в края на 2013 г. достигна 162</w:t>
      </w:r>
      <w:r w:rsidRPr="003F3005">
        <w:rPr>
          <w:lang w:val="en-US"/>
        </w:rPr>
        <w:t>,</w:t>
      </w:r>
      <w:r w:rsidRPr="00246730">
        <w:t>9</w:t>
      </w:r>
      <w:r>
        <w:t xml:space="preserve"> </w:t>
      </w:r>
      <w:r w:rsidRPr="00246730">
        <w:t>%. Покритието на вноса на стоки и услуги достигна 6</w:t>
      </w:r>
      <w:r w:rsidRPr="003F3005">
        <w:rPr>
          <w:lang w:val="en-US"/>
        </w:rPr>
        <w:t>,</w:t>
      </w:r>
      <w:r w:rsidRPr="00246730">
        <w:t xml:space="preserve">1 месеца, за което допринесе динамиката на резервите. </w:t>
      </w:r>
      <w:r w:rsidRPr="00246730">
        <w:rPr>
          <w:bCs/>
        </w:rPr>
        <w:t>Въпреки свиването на краткосрочния външен дълг през 2013</w:t>
      </w:r>
      <w:r w:rsidRPr="00246730">
        <w:rPr>
          <w:bCs/>
          <w:lang w:val="en-US"/>
        </w:rPr>
        <w:t> </w:t>
      </w:r>
      <w:r w:rsidRPr="00246730">
        <w:rPr>
          <w:bCs/>
        </w:rPr>
        <w:t>г., по-бързият спад на валутните резерви доведе до понижение на покритието на дълга от 149</w:t>
      </w:r>
      <w:r>
        <w:rPr>
          <w:bCs/>
        </w:rPr>
        <w:t>,</w:t>
      </w:r>
      <w:r w:rsidRPr="00246730">
        <w:rPr>
          <w:bCs/>
        </w:rPr>
        <w:t>2</w:t>
      </w:r>
      <w:r>
        <w:rPr>
          <w:bCs/>
        </w:rPr>
        <w:t xml:space="preserve"> </w:t>
      </w:r>
      <w:r w:rsidRPr="00246730">
        <w:rPr>
          <w:bCs/>
        </w:rPr>
        <w:t>% в края на 2012</w:t>
      </w:r>
      <w:r w:rsidRPr="00246730">
        <w:rPr>
          <w:bCs/>
          <w:lang w:val="en-US"/>
        </w:rPr>
        <w:t> </w:t>
      </w:r>
      <w:r w:rsidRPr="00246730">
        <w:rPr>
          <w:bCs/>
        </w:rPr>
        <w:t>г. до 148</w:t>
      </w:r>
      <w:r>
        <w:rPr>
          <w:bCs/>
        </w:rPr>
        <w:t>,0 процента</w:t>
      </w:r>
      <w:r w:rsidRPr="00246730">
        <w:rPr>
          <w:bCs/>
        </w:rPr>
        <w:t>.</w:t>
      </w:r>
    </w:p>
    <w:p w:rsidR="000938C1" w:rsidRPr="00246730" w:rsidRDefault="000938C1" w:rsidP="00246730">
      <w:pPr>
        <w:spacing w:after="120"/>
        <w:ind w:firstLine="709"/>
        <w:jc w:val="both"/>
        <w:outlineLvl w:val="3"/>
      </w:pPr>
      <w:r w:rsidRPr="00246730">
        <w:t>Благодарение на адекватното управление на балансите и паричните си потоци, българската банкова система запази солидни показатели по отношение на капитализация, ликвидност и рентабилност. В края на декември 2013 г. общата капиталова адекватност бе 16</w:t>
      </w:r>
      <w:r w:rsidRPr="003F3005">
        <w:rPr>
          <w:lang w:val="en-US"/>
        </w:rPr>
        <w:t>,</w:t>
      </w:r>
      <w:r w:rsidRPr="00246730">
        <w:t>9</w:t>
      </w:r>
      <w:r>
        <w:t xml:space="preserve"> </w:t>
      </w:r>
      <w:r w:rsidRPr="00246730">
        <w:t>%, отбелязвайки леко повишение спрямо същия месец на 2012 г., когато бе 16</w:t>
      </w:r>
      <w:r w:rsidRPr="003F3005">
        <w:rPr>
          <w:lang w:val="en-US"/>
        </w:rPr>
        <w:t>,</w:t>
      </w:r>
      <w:r w:rsidRPr="00246730">
        <w:t>7</w:t>
      </w:r>
      <w:r>
        <w:t xml:space="preserve"> </w:t>
      </w:r>
      <w:r w:rsidRPr="00246730">
        <w:t>%. В допълнение на високото ниво на показателя, системата разполагаше с допълнителен капиталов буфер в размер на близо 2</w:t>
      </w:r>
      <w:r w:rsidRPr="003F3005">
        <w:rPr>
          <w:lang w:val="en-US"/>
        </w:rPr>
        <w:t>,</w:t>
      </w:r>
      <w:r w:rsidRPr="00246730">
        <w:t>7 млрд. лв. Коефициентът на ликвидните активи достигна 27</w:t>
      </w:r>
      <w:r w:rsidRPr="003F3005">
        <w:rPr>
          <w:lang w:val="en-US"/>
        </w:rPr>
        <w:t>,</w:t>
      </w:r>
      <w:r w:rsidRPr="00246730">
        <w:t>1</w:t>
      </w:r>
      <w:r>
        <w:t xml:space="preserve"> </w:t>
      </w:r>
      <w:r w:rsidRPr="00246730">
        <w:t>% при 26</w:t>
      </w:r>
      <w:r>
        <w:t xml:space="preserve"> </w:t>
      </w:r>
      <w:r w:rsidRPr="00246730">
        <w:t>% година по-рано. Банковата система приключи 2013 г. с нетна неодитирана печалба в размер на 584</w:t>
      </w:r>
      <w:r w:rsidRPr="003F3005">
        <w:rPr>
          <w:lang w:val="en-US"/>
        </w:rPr>
        <w:t>,</w:t>
      </w:r>
      <w:r w:rsidRPr="00246730">
        <w:t>9 млн. лв. (повишение от 3</w:t>
      </w:r>
      <w:r w:rsidRPr="003F3005">
        <w:rPr>
          <w:lang w:val="en-US"/>
        </w:rPr>
        <w:t>,</w:t>
      </w:r>
      <w:r w:rsidRPr="00246730">
        <w:t>2% на годишна база). Последното се дължеше на ускорилия се спад на годишна база на разходите за обезценка, който изпревари темпа на понижение на нетния лихвен доход. В края на четвъртото тримесечие кредитите с просрочие над 90 дни бяха 16</w:t>
      </w:r>
      <w:r w:rsidRPr="003F3005">
        <w:rPr>
          <w:lang w:val="en-US"/>
        </w:rPr>
        <w:t>,</w:t>
      </w:r>
      <w:r w:rsidRPr="00246730">
        <w:t>9</w:t>
      </w:r>
      <w:r>
        <w:t xml:space="preserve"> </w:t>
      </w:r>
      <w:r w:rsidRPr="00246730">
        <w:t>% от брутните кредити за нефинансови предприятия и домакинства (16</w:t>
      </w:r>
      <w:r w:rsidRPr="003F3005">
        <w:rPr>
          <w:lang w:val="en-US"/>
        </w:rPr>
        <w:t>,</w:t>
      </w:r>
      <w:r w:rsidRPr="00246730">
        <w:t>6</w:t>
      </w:r>
      <w:r>
        <w:t xml:space="preserve"> </w:t>
      </w:r>
      <w:r w:rsidRPr="00246730">
        <w:t>% в края на 2012 г.). Въпреки минималното нарастване на дела им, темпът им на растеж на годишна база се забави значително през 2013 г</w:t>
      </w:r>
      <w:r>
        <w:t>одина</w:t>
      </w:r>
      <w:r w:rsidRPr="00246730">
        <w:t xml:space="preserve">. </w:t>
      </w:r>
    </w:p>
    <w:p w:rsidR="000938C1" w:rsidRPr="00246730" w:rsidRDefault="000938C1" w:rsidP="00246730">
      <w:pPr>
        <w:spacing w:after="120"/>
        <w:ind w:firstLine="709"/>
        <w:jc w:val="both"/>
        <w:outlineLvl w:val="3"/>
      </w:pPr>
      <w:r w:rsidRPr="00246730">
        <w:t>Годишният темп на нарастване на кредита за частния сектор следваше тенденция на забавяне през цялата 2013 г., като се сви до едва 0</w:t>
      </w:r>
      <w:r w:rsidRPr="003F3005">
        <w:rPr>
          <w:lang w:val="en-US"/>
        </w:rPr>
        <w:t>,</w:t>
      </w:r>
      <w:r w:rsidRPr="00246730">
        <w:t>2</w:t>
      </w:r>
      <w:r>
        <w:t xml:space="preserve"> </w:t>
      </w:r>
      <w:r w:rsidRPr="00246730">
        <w:t>% към края на декември от 3</w:t>
      </w:r>
      <w:r>
        <w:t xml:space="preserve"> </w:t>
      </w:r>
      <w:r w:rsidRPr="00246730">
        <w:t>% в края на 2012 г. По-видимо забавяне бе наблюдавано през втората половина на годината по линия на базов ефект, след като най-високите растежи на частния кредит през 2012 г. бяха отчетени именно в средата на годината. Определящо значение за динамиката на частния кредит имаше търсенето на заемни ресурси от икономическите агенти. То остана слабо под влиянието на ниския икономически растеж и все още недостатъчно благоприятното развитие на пазара на труда. Като допълнителен фактор може да се разглежда и възходящата динамика на реалните лихвени проценти по депозитите и кредитите, видима през втората половина на 2013 г., което прави вземането на кредити по-неизгодно и респективно облагодетелства спестяванията. От страна на предлагането, банките запазиха консервативните си стандарти въпреки наличието на свръхликвидност в системата, като се ръководеха от ограничения брой кредитоспособни клиенти и оставащия висок дял на необслужваните кредити. С най-висок принос за минималния годишен растеж на кредита за частния сектор в края на годината бяха потребителските кредити. След като отбелязаха спад от 2</w:t>
      </w:r>
      <w:r w:rsidRPr="00CE1B03">
        <w:rPr>
          <w:lang w:val="ru-RU"/>
        </w:rPr>
        <w:t>,</w:t>
      </w:r>
      <w:r w:rsidRPr="00246730">
        <w:t>3</w:t>
      </w:r>
      <w:r>
        <w:t xml:space="preserve"> </w:t>
      </w:r>
      <w:r w:rsidRPr="00246730">
        <w:t>% през 2012 г., темпът им на понижение се забавяше през цялата година. Благодарение на постигнатия месечен растеж от 2</w:t>
      </w:r>
      <w:r w:rsidRPr="00CE1B03">
        <w:rPr>
          <w:lang w:val="ru-RU"/>
        </w:rPr>
        <w:t>,</w:t>
      </w:r>
      <w:r w:rsidRPr="00246730">
        <w:t>1</w:t>
      </w:r>
      <w:r>
        <w:t xml:space="preserve"> </w:t>
      </w:r>
      <w:r w:rsidRPr="00246730">
        <w:t>% през декември, годишното им изменение стана положително и достигна 2</w:t>
      </w:r>
      <w:r w:rsidRPr="00CE1B03">
        <w:rPr>
          <w:lang w:val="ru-RU"/>
        </w:rPr>
        <w:t>,</w:t>
      </w:r>
      <w:r w:rsidRPr="00246730">
        <w:t>2</w:t>
      </w:r>
      <w:r>
        <w:t xml:space="preserve"> </w:t>
      </w:r>
      <w:r w:rsidRPr="00246730">
        <w:t>%. Кредитите за нефинансови предприятия забавиха нарастването си от 5</w:t>
      </w:r>
      <w:r>
        <w:t xml:space="preserve"> </w:t>
      </w:r>
      <w:r w:rsidRPr="00246730">
        <w:t>% през 2012 г. до едва 0</w:t>
      </w:r>
      <w:r w:rsidRPr="00CE1B03">
        <w:rPr>
          <w:lang w:val="ru-RU"/>
        </w:rPr>
        <w:t>,</w:t>
      </w:r>
      <w:r w:rsidRPr="00246730">
        <w:t>1</w:t>
      </w:r>
      <w:r>
        <w:t xml:space="preserve"> </w:t>
      </w:r>
      <w:r w:rsidRPr="00246730">
        <w:t>% в края на 2013 г. и по този начин загубиха водещата си роля за динамиката на частния кредит. Жилищните кредити нарастваха с понижаващ се годишен темп (всеки от месеците на 2013 г. спрямо съответния месец на 2012 г.) до средата на годината, след което започнаха да се понижават на годишна база. В края на годината темпът им на спад достигна 1</w:t>
      </w:r>
      <w:r w:rsidRPr="00CE1B03">
        <w:rPr>
          <w:lang w:val="ru-RU"/>
        </w:rPr>
        <w:t>,</w:t>
      </w:r>
      <w:r w:rsidRPr="00246730">
        <w:t>2</w:t>
      </w:r>
      <w:r>
        <w:t xml:space="preserve"> </w:t>
      </w:r>
      <w:r w:rsidRPr="00246730">
        <w:t>% при положителен ръст от 0</w:t>
      </w:r>
      <w:r w:rsidRPr="00CE1B03">
        <w:rPr>
          <w:lang w:val="ru-RU"/>
        </w:rPr>
        <w:t>,</w:t>
      </w:r>
      <w:r w:rsidRPr="00246730">
        <w:t>8</w:t>
      </w:r>
      <w:r>
        <w:t xml:space="preserve"> </w:t>
      </w:r>
      <w:r w:rsidRPr="00246730">
        <w:t>% година по-рано.</w:t>
      </w:r>
    </w:p>
    <w:p w:rsidR="000938C1" w:rsidRPr="00246730" w:rsidRDefault="000938C1" w:rsidP="00246730">
      <w:pPr>
        <w:spacing w:before="240" w:after="120"/>
        <w:jc w:val="center"/>
        <w:outlineLvl w:val="3"/>
        <w:rPr>
          <w:rFonts w:ascii="Calibri" w:hAnsi="Calibri"/>
          <w:b/>
          <w:bCs/>
          <w:i/>
          <w:noProof/>
          <w:sz w:val="22"/>
          <w:szCs w:val="22"/>
        </w:rPr>
      </w:pPr>
      <w:r w:rsidRPr="00246730">
        <w:rPr>
          <w:rFonts w:ascii="Calibri" w:hAnsi="Calibri"/>
          <w:b/>
          <w:bCs/>
          <w:i/>
          <w:noProof/>
          <w:sz w:val="22"/>
          <w:szCs w:val="22"/>
        </w:rPr>
        <w:t>Растеж на кредита за частния сектор</w:t>
      </w:r>
    </w:p>
    <w:p w:rsidR="000938C1" w:rsidRPr="00246730" w:rsidRDefault="000938C1" w:rsidP="00246730">
      <w:pPr>
        <w:keepNext/>
        <w:rPr>
          <w:rFonts w:cs="Arial"/>
          <w:bCs/>
          <w:color w:val="0070C0"/>
          <w:szCs w:val="26"/>
        </w:rPr>
      </w:pPr>
      <w:r w:rsidRPr="00BC4ACD">
        <w:rPr>
          <w:rFonts w:ascii="Calibri" w:hAnsi="Calibri"/>
          <w:noProof/>
        </w:rPr>
        <w:pict>
          <v:shape id="Picture 3" o:spid="_x0000_i1027" type="#_x0000_t75" style="width:436.5pt;height:192pt;visibility:visible" o:bordertopcolor="#a6a6a6" o:borderleftcolor="#a6a6a6" o:borderbottomcolor="#a6a6a6" o:borderrightcolor="#a6a6a6">
            <v:imagedata r:id="rId12" o:title="" cropbottom="-30f"/>
            <w10:bordertop type="single" width="6"/>
            <w10:borderleft type="single" width="6"/>
            <w10:borderbottom type="single" width="6"/>
            <w10:borderright type="single" width="6"/>
          </v:shape>
        </w:pict>
      </w:r>
    </w:p>
    <w:p w:rsidR="000938C1" w:rsidRPr="00246730" w:rsidRDefault="000938C1" w:rsidP="00246730">
      <w:pPr>
        <w:autoSpaceDE w:val="0"/>
        <w:autoSpaceDN w:val="0"/>
        <w:adjustRightInd w:val="0"/>
        <w:ind w:firstLine="720"/>
        <w:jc w:val="both"/>
        <w:rPr>
          <w:rFonts w:cs="Arial"/>
          <w:b/>
          <w:noProof/>
          <w:color w:val="0070C0"/>
          <w:szCs w:val="26"/>
        </w:rPr>
      </w:pPr>
    </w:p>
    <w:p w:rsidR="000938C1" w:rsidRPr="00246730" w:rsidRDefault="000938C1" w:rsidP="00246730">
      <w:pPr>
        <w:keepNext/>
        <w:ind w:firstLine="709"/>
        <w:jc w:val="right"/>
        <w:rPr>
          <w:rFonts w:cs="Arial"/>
          <w:bCs/>
          <w:i/>
          <w:sz w:val="20"/>
          <w:szCs w:val="20"/>
        </w:rPr>
      </w:pPr>
      <w:r w:rsidRPr="00246730">
        <w:rPr>
          <w:rFonts w:cs="Arial"/>
          <w:bCs/>
          <w:i/>
          <w:sz w:val="20"/>
          <w:szCs w:val="20"/>
        </w:rPr>
        <w:t>Източник: БНБ, МФ</w:t>
      </w:r>
    </w:p>
    <w:p w:rsidR="000938C1" w:rsidRDefault="000938C1" w:rsidP="00246730">
      <w:pPr>
        <w:spacing w:after="120"/>
        <w:ind w:firstLine="709"/>
        <w:jc w:val="both"/>
        <w:outlineLvl w:val="3"/>
      </w:pPr>
    </w:p>
    <w:p w:rsidR="000938C1" w:rsidRPr="003F3005" w:rsidRDefault="000938C1" w:rsidP="00246730">
      <w:pPr>
        <w:spacing w:after="120"/>
        <w:ind w:firstLine="709"/>
        <w:jc w:val="both"/>
        <w:outlineLvl w:val="3"/>
        <w:rPr>
          <w:lang w:val="en-US"/>
        </w:rPr>
      </w:pPr>
      <w:r w:rsidRPr="00246730">
        <w:t>Депозитите на фирмите и домакинствата продължиха да бъдат основния източник на финансиране на банките и през 2013 г. Общата сума на депозитите в края на декември нарасна на годишна база с 9</w:t>
      </w:r>
      <w:r w:rsidRPr="003F3005">
        <w:rPr>
          <w:lang w:val="en-US"/>
        </w:rPr>
        <w:t>,</w:t>
      </w:r>
      <w:r w:rsidRPr="00246730">
        <w:t>4</w:t>
      </w:r>
      <w:r>
        <w:t xml:space="preserve"> </w:t>
      </w:r>
      <w:r w:rsidRPr="00246730">
        <w:t>% при 8</w:t>
      </w:r>
      <w:r w:rsidRPr="003F3005">
        <w:rPr>
          <w:lang w:val="en-US"/>
        </w:rPr>
        <w:t>,</w:t>
      </w:r>
      <w:r w:rsidRPr="00246730">
        <w:t>4</w:t>
      </w:r>
      <w:r>
        <w:t xml:space="preserve"> </w:t>
      </w:r>
      <w:r w:rsidRPr="00246730">
        <w:t>% година по-рано. В по-голяма степен за това допринесе ускоряването на годишния темп на растеж на депозитите на нефинансови предприятия (от 3</w:t>
      </w:r>
      <w:r w:rsidRPr="003F3005">
        <w:rPr>
          <w:lang w:val="en-US"/>
        </w:rPr>
        <w:t>,</w:t>
      </w:r>
      <w:r w:rsidRPr="00246730">
        <w:t>8</w:t>
      </w:r>
      <w:r>
        <w:t xml:space="preserve"> </w:t>
      </w:r>
      <w:r w:rsidRPr="00246730">
        <w:t>% в края на 2012 г. до 8</w:t>
      </w:r>
      <w:r w:rsidRPr="003F3005">
        <w:rPr>
          <w:lang w:val="en-US"/>
        </w:rPr>
        <w:t>,</w:t>
      </w:r>
      <w:r w:rsidRPr="00246730">
        <w:t>9</w:t>
      </w:r>
      <w:r>
        <w:t xml:space="preserve"> </w:t>
      </w:r>
      <w:r w:rsidRPr="00246730">
        <w:t>% в края на 2013 г.), както и положителният растеж на депозитите от финансови предприятия (12</w:t>
      </w:r>
      <w:r w:rsidRPr="003F3005">
        <w:rPr>
          <w:lang w:val="en-US"/>
        </w:rPr>
        <w:t>,</w:t>
      </w:r>
      <w:r w:rsidRPr="00246730">
        <w:t>3</w:t>
      </w:r>
      <w:r>
        <w:t xml:space="preserve"> </w:t>
      </w:r>
      <w:r w:rsidRPr="00246730">
        <w:t>% на годишна база), които в края на предходната година отчетоха понижение от 3</w:t>
      </w:r>
      <w:r w:rsidRPr="003F3005">
        <w:rPr>
          <w:lang w:val="en-US"/>
        </w:rPr>
        <w:t>,</w:t>
      </w:r>
      <w:r w:rsidRPr="00246730">
        <w:t>3</w:t>
      </w:r>
      <w:r>
        <w:t xml:space="preserve"> </w:t>
      </w:r>
      <w:r w:rsidRPr="00246730">
        <w:t>%. Депозитите на домакинствата, които традиционно имат най-висок принос за увеличението на всички депозити в банковата система, забавиха нарастването си за периода от 11</w:t>
      </w:r>
      <w:r>
        <w:t xml:space="preserve"> </w:t>
      </w:r>
      <w:r w:rsidRPr="00246730">
        <w:t>% до 8</w:t>
      </w:r>
      <w:r w:rsidRPr="003F3005">
        <w:rPr>
          <w:lang w:val="en-US"/>
        </w:rPr>
        <w:t>,</w:t>
      </w:r>
      <w:r w:rsidRPr="00246730">
        <w:t>9</w:t>
      </w:r>
      <w:r>
        <w:t xml:space="preserve"> </w:t>
      </w:r>
      <w:r w:rsidRPr="00246730">
        <w:t>%. Въпреки това, може да се каже, че стремежът към спестяване на домакинствата остана висок през 2013 г., като се вземат предвид забавянето на темпа на растеж на средномесечната заплата и базовия ефект.</w:t>
      </w:r>
    </w:p>
    <w:p w:rsidR="000938C1" w:rsidRDefault="000938C1" w:rsidP="00246730">
      <w:pPr>
        <w:spacing w:before="240" w:after="120"/>
        <w:jc w:val="center"/>
        <w:outlineLvl w:val="3"/>
        <w:rPr>
          <w:rFonts w:ascii="Calibri" w:hAnsi="Calibri"/>
          <w:b/>
          <w:bCs/>
          <w:i/>
          <w:noProof/>
          <w:sz w:val="22"/>
          <w:szCs w:val="22"/>
        </w:rPr>
      </w:pPr>
    </w:p>
    <w:p w:rsidR="000938C1" w:rsidRDefault="000938C1" w:rsidP="00246730">
      <w:pPr>
        <w:spacing w:before="240" w:after="120"/>
        <w:jc w:val="center"/>
        <w:outlineLvl w:val="3"/>
        <w:rPr>
          <w:rFonts w:ascii="Calibri" w:hAnsi="Calibri"/>
          <w:b/>
          <w:bCs/>
          <w:i/>
          <w:noProof/>
          <w:sz w:val="22"/>
          <w:szCs w:val="22"/>
        </w:rPr>
      </w:pPr>
    </w:p>
    <w:p w:rsidR="000938C1" w:rsidRPr="00C0005A" w:rsidRDefault="000938C1" w:rsidP="00246730">
      <w:pPr>
        <w:spacing w:before="240" w:after="120"/>
        <w:jc w:val="center"/>
        <w:outlineLvl w:val="3"/>
        <w:rPr>
          <w:rFonts w:ascii="Calibri" w:hAnsi="Calibri"/>
          <w:b/>
          <w:bCs/>
          <w:i/>
          <w:noProof/>
          <w:sz w:val="22"/>
          <w:szCs w:val="22"/>
          <w:lang w:val="en-US"/>
        </w:rPr>
      </w:pPr>
      <w:r w:rsidRPr="00246730">
        <w:rPr>
          <w:rFonts w:ascii="Calibri" w:hAnsi="Calibri"/>
          <w:b/>
          <w:bCs/>
          <w:i/>
          <w:noProof/>
          <w:sz w:val="22"/>
          <w:szCs w:val="22"/>
        </w:rPr>
        <w:t>Лихвени проценти по депозити и кредити</w:t>
      </w:r>
    </w:p>
    <w:p w:rsidR="000938C1" w:rsidRPr="00246730" w:rsidRDefault="000938C1" w:rsidP="00246730">
      <w:pPr>
        <w:spacing w:before="240" w:after="120"/>
        <w:jc w:val="center"/>
        <w:outlineLvl w:val="3"/>
        <w:rPr>
          <w:rFonts w:ascii="Calibri" w:hAnsi="Calibri"/>
          <w:b/>
          <w:bCs/>
          <w:i/>
          <w:noProof/>
          <w:sz w:val="22"/>
          <w:szCs w:val="22"/>
          <w:lang w:val="en-US"/>
        </w:rPr>
      </w:pPr>
      <w:r w:rsidRPr="00656AB5">
        <w:rPr>
          <w:noProof/>
        </w:rPr>
        <w:object w:dxaOrig="8295" w:dyaOrig="4541">
          <v:shape id="Object 4" o:spid="_x0000_i1028" type="#_x0000_t75" style="width:414.75pt;height:227.25pt;visibility:visible" o:ole="">
            <v:imagedata r:id="rId13" o:title="" cropbottom="-72f"/>
            <o:lock v:ext="edit" aspectratio="f"/>
          </v:shape>
          <o:OLEObject Type="Embed" ProgID="Excel.Chart.8" ShapeID="Object 4" DrawAspect="Content" ObjectID="_1467645783" r:id="rId14"/>
        </w:object>
      </w:r>
    </w:p>
    <w:p w:rsidR="000938C1" w:rsidRPr="00246730" w:rsidRDefault="000938C1" w:rsidP="00246730">
      <w:pPr>
        <w:spacing w:before="120" w:after="240"/>
        <w:ind w:right="1134"/>
        <w:jc w:val="right"/>
        <w:outlineLvl w:val="3"/>
        <w:rPr>
          <w:rFonts w:ascii="Calibri" w:hAnsi="Calibri"/>
          <w:bCs/>
          <w:i/>
          <w:sz w:val="20"/>
          <w:szCs w:val="20"/>
        </w:rPr>
      </w:pPr>
      <w:r w:rsidRPr="00246730">
        <w:rPr>
          <w:rFonts w:ascii="Calibri" w:hAnsi="Calibri"/>
          <w:bCs/>
          <w:i/>
          <w:sz w:val="20"/>
          <w:szCs w:val="20"/>
        </w:rPr>
        <w:t>Източник: БНБ, МФ</w:t>
      </w:r>
    </w:p>
    <w:p w:rsidR="000938C1" w:rsidRPr="003F3005" w:rsidRDefault="000938C1" w:rsidP="00246730">
      <w:pPr>
        <w:spacing w:after="120"/>
        <w:ind w:firstLine="709"/>
        <w:jc w:val="both"/>
        <w:outlineLvl w:val="3"/>
        <w:rPr>
          <w:lang w:val="en-US"/>
        </w:rPr>
      </w:pPr>
      <w:r w:rsidRPr="00246730">
        <w:t>Продължилата няколко години тенденция на понижение на лихвените проценти по кредити бе прекъсната през 2013 г. Към края на декември среднопретегленият лихвен процент по фирмени кредити нарасна с 45 б.т. спрямо края на 2012 г., а този по потребителските кредити – с 59 б.т. Единствено цената на жилищните кредити отбеляза минимално понижение за периода, като бе по-ниска с 12 б.т. Лихвените проценти по депозити продължиха да отразяват нарастващата свръхликвидност на банките и запазиха тенденцията си на понижение през 2013 г. Среднопретегленият лихвен процент по депозити в лева за нефинансови предприятия се понижи на годишна база в края на декември с 30 б.т., а възвръщаемостта на левовите депозити за домакинства намаля в по-голяма степен със 106 б.т.</w:t>
      </w:r>
    </w:p>
    <w:p w:rsidR="000938C1" w:rsidRPr="00CF1A14" w:rsidRDefault="000938C1" w:rsidP="00964429">
      <w:pPr>
        <w:tabs>
          <w:tab w:val="left" w:pos="900"/>
        </w:tabs>
        <w:ind w:firstLine="540"/>
        <w:jc w:val="both"/>
        <w:rPr>
          <w:color w:val="0070C0"/>
          <w:sz w:val="4"/>
          <w:szCs w:val="4"/>
        </w:rPr>
      </w:pPr>
    </w:p>
    <w:p w:rsidR="000938C1" w:rsidRPr="00246730" w:rsidRDefault="000938C1" w:rsidP="00F30F79">
      <w:pPr>
        <w:pStyle w:val="Heading1"/>
        <w:numPr>
          <w:ilvl w:val="0"/>
          <w:numId w:val="18"/>
        </w:numPr>
        <w:jc w:val="left"/>
      </w:pPr>
      <w:bookmarkStart w:id="45" w:name="_Toc324863387"/>
      <w:bookmarkStart w:id="46" w:name="_Toc393728046"/>
      <w:r w:rsidRPr="00246730">
        <w:t>Тенденции при основните макроикономически показатели и съпоставка с допусканията и параметрите, заложени в макрорамката по ЗДБРБ за 2013 г.</w:t>
      </w:r>
      <w:bookmarkEnd w:id="45"/>
      <w:bookmarkEnd w:id="46"/>
    </w:p>
    <w:p w:rsidR="000938C1" w:rsidRPr="00CF1A14" w:rsidRDefault="000938C1" w:rsidP="005E255B">
      <w:pPr>
        <w:rPr>
          <w:color w:val="0070C0"/>
          <w:sz w:val="12"/>
          <w:szCs w:val="12"/>
          <w:lang w:eastAsia="en-US"/>
        </w:rPr>
      </w:pPr>
    </w:p>
    <w:p w:rsidR="000938C1" w:rsidRPr="00246730" w:rsidRDefault="000938C1" w:rsidP="00246730">
      <w:pPr>
        <w:spacing w:before="120" w:after="120"/>
        <w:ind w:firstLine="709"/>
        <w:jc w:val="both"/>
        <w:outlineLvl w:val="3"/>
      </w:pPr>
      <w:r w:rsidRPr="00246730">
        <w:t>През 2013 г. българската икономика нарасна с 0</w:t>
      </w:r>
      <w:r w:rsidRPr="003F3005">
        <w:rPr>
          <w:lang w:val="en-US"/>
        </w:rPr>
        <w:t>,</w:t>
      </w:r>
      <w:r w:rsidRPr="00246730">
        <w:t>9</w:t>
      </w:r>
      <w:r>
        <w:t xml:space="preserve"> </w:t>
      </w:r>
      <w:r w:rsidRPr="00246730">
        <w:t>% в реално изражение в сравнение с очакван ръст от 1</w:t>
      </w:r>
      <w:r w:rsidRPr="003F3005">
        <w:rPr>
          <w:lang w:val="en-US"/>
        </w:rPr>
        <w:t>,</w:t>
      </w:r>
      <w:r w:rsidRPr="00246730">
        <w:t>9</w:t>
      </w:r>
      <w:r>
        <w:t xml:space="preserve"> </w:t>
      </w:r>
      <w:r w:rsidRPr="00246730">
        <w:t>% според макроикономическата прогноза по ЗДБРБ за 2013 г. Основен фактор за отчетения по-нисък растеж беше слабото вътрешно търсене. Въпреки нарастването на реалните доходи на домакинствата, високите нива на безработица и слабата кредитна активност се отразиха в понижение на частното потребление, докато частните инвестиции бяха водещи за отчетената низходяща динамика на инвестиционната активност в страната.</w:t>
      </w:r>
    </w:p>
    <w:p w:rsidR="000938C1" w:rsidRDefault="000938C1" w:rsidP="00246730">
      <w:pPr>
        <w:spacing w:before="120" w:after="120"/>
        <w:ind w:firstLine="709"/>
        <w:jc w:val="both"/>
        <w:outlineLvl w:val="3"/>
      </w:pPr>
      <w:r w:rsidRPr="00246730">
        <w:t>Голямото отклонение между прогнозирания общ дефлатор на БВП от 2</w:t>
      </w:r>
      <w:r w:rsidRPr="00CE1B03">
        <w:rPr>
          <w:lang w:val="ru-RU"/>
        </w:rPr>
        <w:t>,</w:t>
      </w:r>
      <w:r w:rsidRPr="00246730">
        <w:t>9</w:t>
      </w:r>
      <w:r>
        <w:t xml:space="preserve"> </w:t>
      </w:r>
      <w:r w:rsidRPr="00246730">
        <w:t>% и отчетения отрицателен дефлатор от 0</w:t>
      </w:r>
      <w:r w:rsidRPr="003F3005">
        <w:rPr>
          <w:lang w:val="en-US"/>
        </w:rPr>
        <w:t>,</w:t>
      </w:r>
      <w:r w:rsidRPr="00246730">
        <w:t>8</w:t>
      </w:r>
      <w:r>
        <w:t xml:space="preserve"> </w:t>
      </w:r>
      <w:r w:rsidRPr="00246730">
        <w:t>% допринасят значително за по-ниския БВП по текущи цени. Дефлаторите по основни компоненти на БВП също бяха отрицателни. Спадът в международните цени на енергийни и неенергийни суровини, поскъпването на европейската валута, както и по-ниското търсене в развиващите се пазарни икономики бяха причините и за същественото забавяне на темпа на инфлация и за страните от ЕС.</w:t>
      </w:r>
    </w:p>
    <w:p w:rsidR="000938C1" w:rsidRDefault="000938C1" w:rsidP="00246730">
      <w:pPr>
        <w:spacing w:before="120" w:after="120"/>
        <w:ind w:firstLine="709"/>
        <w:jc w:val="both"/>
        <w:outlineLvl w:val="3"/>
      </w:pPr>
    </w:p>
    <w:p w:rsidR="000938C1" w:rsidRPr="003F3005" w:rsidRDefault="000938C1" w:rsidP="00246730">
      <w:pPr>
        <w:spacing w:before="120" w:after="120"/>
        <w:ind w:firstLine="709"/>
        <w:jc w:val="both"/>
        <w:outlineLvl w:val="3"/>
        <w:rPr>
          <w:bCs/>
          <w:color w:val="0070C0"/>
          <w:szCs w:val="26"/>
          <w:lang w:val="en-US"/>
        </w:rPr>
      </w:pPr>
    </w:p>
    <w:p w:rsidR="000938C1" w:rsidRPr="00246730" w:rsidRDefault="000938C1" w:rsidP="00246730">
      <w:pPr>
        <w:spacing w:after="120"/>
        <w:ind w:firstLine="142"/>
        <w:rPr>
          <w:b/>
          <w:i/>
        </w:rPr>
      </w:pPr>
      <w:r w:rsidRPr="00246730">
        <w:rPr>
          <w:b/>
          <w:i/>
          <w:lang w:val="ru-RU"/>
        </w:rPr>
        <w:tab/>
      </w:r>
      <w:r w:rsidRPr="00246730">
        <w:rPr>
          <w:b/>
          <w:i/>
        </w:rPr>
        <w:t>Основни макроикономически показатели на България през 201</w:t>
      </w:r>
      <w:r w:rsidRPr="003F3005">
        <w:rPr>
          <w:b/>
          <w:i/>
          <w:lang w:val="en-US"/>
        </w:rPr>
        <w:t>3</w:t>
      </w:r>
      <w:r w:rsidRPr="00246730">
        <w:rPr>
          <w:b/>
          <w:i/>
        </w:rPr>
        <w:t xml:space="preserve"> г.</w:t>
      </w:r>
    </w:p>
    <w:p w:rsidR="000938C1" w:rsidRPr="00246730" w:rsidRDefault="000938C1" w:rsidP="00246730">
      <w:pPr>
        <w:ind w:firstLine="142"/>
        <w:jc w:val="center"/>
        <w:rPr>
          <w:bCs/>
          <w:i/>
          <w:sz w:val="20"/>
          <w:szCs w:val="20"/>
        </w:rPr>
      </w:pPr>
      <w:r w:rsidRPr="00246730">
        <w:rPr>
          <w:color w:val="0070C0"/>
        </w:rPr>
        <w:object w:dxaOrig="7508" w:dyaOrig="4380">
          <v:shape id="_x0000_i1029" type="#_x0000_t75" style="width:409.5pt;height:223.5pt" o:ole="">
            <v:imagedata r:id="rId15" o:title=""/>
          </v:shape>
          <o:OLEObject Type="Embed" ProgID="Excel.Sheet.8" ShapeID="_x0000_i1029" DrawAspect="Content" ObjectID="_1467645784" r:id="rId16"/>
        </w:object>
      </w:r>
      <w:r w:rsidRPr="00246730">
        <w:rPr>
          <w:color w:val="0070C0"/>
        </w:rPr>
        <w:tab/>
      </w:r>
      <w:r w:rsidRPr="00246730">
        <w:rPr>
          <w:color w:val="0070C0"/>
        </w:rPr>
        <w:tab/>
      </w:r>
      <w:r w:rsidRPr="00246730">
        <w:rPr>
          <w:color w:val="0070C0"/>
        </w:rPr>
        <w:tab/>
      </w:r>
      <w:r w:rsidRPr="00246730">
        <w:rPr>
          <w:color w:val="0070C0"/>
        </w:rPr>
        <w:tab/>
      </w:r>
      <w:r w:rsidRPr="00246730">
        <w:rPr>
          <w:color w:val="0070C0"/>
        </w:rPr>
        <w:tab/>
      </w:r>
      <w:r w:rsidRPr="00246730">
        <w:rPr>
          <w:bCs/>
          <w:i/>
          <w:sz w:val="20"/>
          <w:szCs w:val="20"/>
        </w:rPr>
        <w:t>Източник: НСИ, БНБ, МФ, Евростат, МВФ</w:t>
      </w:r>
    </w:p>
    <w:p w:rsidR="000938C1" w:rsidRPr="00246730" w:rsidRDefault="000938C1" w:rsidP="00246730">
      <w:pPr>
        <w:rPr>
          <w:bCs/>
          <w:i/>
          <w:color w:val="0070C0"/>
          <w:sz w:val="10"/>
          <w:szCs w:val="10"/>
        </w:rPr>
      </w:pPr>
    </w:p>
    <w:p w:rsidR="000938C1" w:rsidRPr="003F3005" w:rsidRDefault="000938C1" w:rsidP="00246730">
      <w:pPr>
        <w:keepNext/>
        <w:spacing w:after="120"/>
        <w:ind w:firstLine="709"/>
        <w:jc w:val="both"/>
        <w:rPr>
          <w:rFonts w:cs="Arial"/>
          <w:bCs/>
          <w:color w:val="0070C0"/>
          <w:szCs w:val="26"/>
          <w:lang w:val="en-US"/>
        </w:rPr>
      </w:pPr>
      <w:r w:rsidRPr="00246730">
        <w:t>Прогнозата по ЗДБРБ за 2013 г. бе изготвена при налични данни за първото полугодие на 2012 г. На база на тази статистическа информация се очакваше българската икономика да нарасне с 1,2</w:t>
      </w:r>
      <w:r>
        <w:t xml:space="preserve"> </w:t>
      </w:r>
      <w:r w:rsidRPr="00246730">
        <w:t>% за цялата 2012 г., след което растежът да се ускори през 2013 г. Ревизията на данните за БВП от март 2014 г., която обхваща последните две години, промени очерталата се динамика. Растежът на българската икономика през 2012 г. се оказа по-нисък (0,6</w:t>
      </w:r>
      <w:r>
        <w:t xml:space="preserve"> </w:t>
      </w:r>
      <w:r w:rsidRPr="00246730">
        <w:t>%), а разходите на домакинствата за 2013 г. бяха ревизирани значително надолу и това се отрази в по-нисък от очаквания ръст на икономиката.</w:t>
      </w:r>
    </w:p>
    <w:p w:rsidR="000938C1" w:rsidRPr="00246730" w:rsidRDefault="000938C1" w:rsidP="00246730">
      <w:pPr>
        <w:keepNext/>
        <w:spacing w:after="120"/>
        <w:ind w:firstLine="709"/>
        <w:jc w:val="both"/>
      </w:pPr>
      <w:r w:rsidRPr="00246730">
        <w:t>Очакванията за развитието на пазара на труда в ЗДБРБ за 2013 г. в голяма степен се потвърдиха в отчетената динамика на основните показатели. Броят на заетите се очакваше да се стабилизира около нивото си от 2012 г., при запазване на слабо отрицателна динамика на показателя на годишна база от 0,1</w:t>
      </w:r>
      <w:r>
        <w:t xml:space="preserve"> </w:t>
      </w:r>
      <w:r w:rsidRPr="00246730">
        <w:t>%. Отчетеното намаление на заетостта бе по-голямо, в размер на 0,4</w:t>
      </w:r>
      <w:r>
        <w:t xml:space="preserve"> </w:t>
      </w:r>
      <w:r w:rsidRPr="00246730">
        <w:t>%, и беше обусловено от ускореното намаление на заетите в промишлеността. Нивото на безработица се покачи до 12,9</w:t>
      </w:r>
      <w:r>
        <w:t xml:space="preserve"> </w:t>
      </w:r>
      <w:r w:rsidRPr="00246730">
        <w:t>%, при очаквано запазване на стойността му на 12,4</w:t>
      </w:r>
      <w:r>
        <w:t xml:space="preserve"> </w:t>
      </w:r>
      <w:r w:rsidRPr="00246730">
        <w:t>% или близо до стойността на коефициента през 2012 г. Отклонението при този показател беше свързано с реализираната по-висока спрямо очакваната икономическа активност на населението, която допринесе и за по-високото от очакваното ниво на безработица.</w:t>
      </w:r>
    </w:p>
    <w:p w:rsidR="000938C1" w:rsidRPr="003F3005" w:rsidRDefault="000938C1" w:rsidP="00246730">
      <w:pPr>
        <w:keepNext/>
        <w:spacing w:after="120"/>
        <w:ind w:firstLine="709"/>
        <w:jc w:val="both"/>
        <w:rPr>
          <w:rFonts w:cs="Arial"/>
          <w:bCs/>
          <w:color w:val="0070C0"/>
          <w:szCs w:val="26"/>
          <w:lang w:val="en-US"/>
        </w:rPr>
      </w:pPr>
      <w:r w:rsidRPr="00246730">
        <w:rPr>
          <w:bCs/>
        </w:rPr>
        <w:t>Различията по отношение на динамиката на компенсациите на наетите лица между заложената в бюджета прогноза и отчетните данни също не бяха съществени. През 2013 г. разглежданият показател се характеризираше със забавен темп на изменение, което бе в съответствия с очакванията за неговото развитие. Прогнозата за растежа на компенсациите на един нает бе 4,3</w:t>
      </w:r>
      <w:r>
        <w:rPr>
          <w:bCs/>
        </w:rPr>
        <w:t xml:space="preserve"> </w:t>
      </w:r>
      <w:r w:rsidRPr="00246730">
        <w:rPr>
          <w:bCs/>
        </w:rPr>
        <w:t>%, а отчетната стойност възлезе на 6,6</w:t>
      </w:r>
      <w:r>
        <w:rPr>
          <w:bCs/>
        </w:rPr>
        <w:t xml:space="preserve"> процента</w:t>
      </w:r>
      <w:r w:rsidRPr="00246730">
        <w:rPr>
          <w:bCs/>
        </w:rPr>
        <w:t>.</w:t>
      </w:r>
    </w:p>
    <w:p w:rsidR="000938C1" w:rsidRPr="00246730" w:rsidRDefault="000938C1" w:rsidP="00246730">
      <w:pPr>
        <w:keepNext/>
        <w:spacing w:after="120"/>
        <w:ind w:firstLine="709"/>
        <w:jc w:val="both"/>
        <w:rPr>
          <w:rFonts w:cs="Arial"/>
          <w:bCs/>
          <w:color w:val="0070C0"/>
          <w:szCs w:val="26"/>
        </w:rPr>
      </w:pPr>
      <w:r w:rsidRPr="00246730">
        <w:rPr>
          <w:bCs/>
        </w:rPr>
        <w:t>Спадът при цените на храните на международните пазари, който бе по-висок от очаквания, както и поскъпването на еврото спрямо щатския долар предизвикаха дефлационен ефект върху производствените и потребителските цени на хранителни продукти в страната. Направените корекции в административните цени на електроенергията, които кумулативно доведоха до спад в цената й с малко над 11</w:t>
      </w:r>
      <w:r>
        <w:rPr>
          <w:bCs/>
        </w:rPr>
        <w:t xml:space="preserve"> </w:t>
      </w:r>
      <w:r w:rsidRPr="00246730">
        <w:rPr>
          <w:bCs/>
        </w:rPr>
        <w:t>%, също се отразиха в поевтиняване на енергийните стоки с 2,9</w:t>
      </w:r>
      <w:r>
        <w:rPr>
          <w:bCs/>
        </w:rPr>
        <w:t xml:space="preserve"> </w:t>
      </w:r>
      <w:r w:rsidRPr="00246730">
        <w:rPr>
          <w:bCs/>
        </w:rPr>
        <w:t>%, при очаквано повишение от 1,7</w:t>
      </w:r>
      <w:r>
        <w:rPr>
          <w:bCs/>
        </w:rPr>
        <w:t xml:space="preserve"> </w:t>
      </w:r>
      <w:r w:rsidRPr="00246730">
        <w:rPr>
          <w:bCs/>
        </w:rPr>
        <w:t>%. Прогнозата за инфлацията през 2013 г. предвиждаше и по-висок принос от страна на вътрешно</w:t>
      </w:r>
      <w:r>
        <w:rPr>
          <w:bCs/>
        </w:rPr>
        <w:t>то</w:t>
      </w:r>
      <w:r w:rsidRPr="00246730">
        <w:rPr>
          <w:bCs/>
        </w:rPr>
        <w:t xml:space="preserve"> търсене за ускорение на базисната инфлация, което не се реализира. Нарастването на цените на пазарните услуги се сви значително спрямо отчетеното през предходната година, а отрицателният прираст при цените на неенергийните нехранителни стоки се задълбочи. В резултат на описаните процеси, в края на периода бе отчетена отрицателна инфлация от 0,9</w:t>
      </w:r>
      <w:r>
        <w:rPr>
          <w:bCs/>
        </w:rPr>
        <w:t xml:space="preserve"> </w:t>
      </w:r>
      <w:r w:rsidRPr="00246730">
        <w:rPr>
          <w:bCs/>
        </w:rPr>
        <w:t>%, при прогнозирано нарастване на потребителските цени от 2,5</w:t>
      </w:r>
      <w:r>
        <w:rPr>
          <w:bCs/>
        </w:rPr>
        <w:t xml:space="preserve"> </w:t>
      </w:r>
      <w:r w:rsidRPr="00246730">
        <w:rPr>
          <w:bCs/>
        </w:rPr>
        <w:t>%, а средното повишение на ХИПЦ се забави до 0,4</w:t>
      </w:r>
      <w:r>
        <w:rPr>
          <w:bCs/>
        </w:rPr>
        <w:t xml:space="preserve"> </w:t>
      </w:r>
      <w:r w:rsidRPr="00246730">
        <w:rPr>
          <w:bCs/>
        </w:rPr>
        <w:t>%, като също бе по-ниско от очакваното (3,4</w:t>
      </w:r>
      <w:r>
        <w:rPr>
          <w:bCs/>
        </w:rPr>
        <w:t xml:space="preserve"> </w:t>
      </w:r>
      <w:r w:rsidRPr="00246730">
        <w:rPr>
          <w:bCs/>
        </w:rPr>
        <w:t>%).</w:t>
      </w:r>
    </w:p>
    <w:p w:rsidR="000938C1" w:rsidRDefault="000938C1" w:rsidP="00246730">
      <w:pPr>
        <w:keepNext/>
        <w:ind w:firstLine="709"/>
        <w:jc w:val="both"/>
        <w:rPr>
          <w:bCs/>
        </w:rPr>
      </w:pPr>
      <w:r w:rsidRPr="00246730">
        <w:rPr>
          <w:bCs/>
        </w:rPr>
        <w:t>Споменатото подобрение на външната среда, съчетано с влошено вътрешно търсене и глобалната тенденция към забавяне на темповете на инфлацията през 2013 г. до голяма степен бяха в основата на разликата между очакванията за динамиката на платежния баланс и отчетените развития. Темпът на нарастване на износа на стоки (7</w:t>
      </w:r>
      <w:r>
        <w:rPr>
          <w:bCs/>
        </w:rPr>
        <w:t xml:space="preserve"> </w:t>
      </w:r>
      <w:r w:rsidRPr="00246730">
        <w:rPr>
          <w:bCs/>
        </w:rPr>
        <w:t>%) бе сходен с прогнозирания (8</w:t>
      </w:r>
      <w:r>
        <w:rPr>
          <w:bCs/>
        </w:rPr>
        <w:t xml:space="preserve"> </w:t>
      </w:r>
      <w:r w:rsidRPr="00246730">
        <w:rPr>
          <w:bCs/>
        </w:rPr>
        <w:t>%), но бе воден от повишение в изнесените количества при по-ниски цени. Номиналният ръст на вноса от 1,4</w:t>
      </w:r>
      <w:r>
        <w:rPr>
          <w:bCs/>
        </w:rPr>
        <w:t xml:space="preserve"> </w:t>
      </w:r>
      <w:r w:rsidRPr="00246730">
        <w:rPr>
          <w:bCs/>
        </w:rPr>
        <w:t>% бе значително по-нисък от прогнозираното (10,5</w:t>
      </w:r>
      <w:r>
        <w:rPr>
          <w:bCs/>
        </w:rPr>
        <w:t xml:space="preserve"> </w:t>
      </w:r>
      <w:r w:rsidRPr="00246730">
        <w:rPr>
          <w:bCs/>
        </w:rPr>
        <w:t>%), след като същественият спад в цените компенсира по-високия количествен внос. В резултат бе наблюдавано подобрение на търговския дефицит и положителен принос на нетния износ за изменението на БВП. Балансът по текущата сметка бе положителен в размер на 1,9</w:t>
      </w:r>
      <w:r>
        <w:rPr>
          <w:bCs/>
        </w:rPr>
        <w:t xml:space="preserve"> </w:t>
      </w:r>
      <w:r w:rsidRPr="00246730">
        <w:rPr>
          <w:bCs/>
        </w:rPr>
        <w:t>% от БВП, при очаквания за дефицит. С излишък по текущата и капиталовата сметка, страната бе в позиция на нетен кредитор спрямо останалия свят. Очакваното забавяне в изплащанията на чуждестранни задължения от страна на частния сектор бе съпътствано с ускорено нарастване на чуждестранните активи на банките, което допринесе за формирания дефицит по финансовата сметка. Преките чуждестранни инвестиции останаха под прогнозираните нива.</w:t>
      </w:r>
    </w:p>
    <w:p w:rsidR="000938C1" w:rsidRPr="00D77048" w:rsidRDefault="000938C1" w:rsidP="00246730">
      <w:pPr>
        <w:keepNext/>
        <w:ind w:firstLine="709"/>
        <w:jc w:val="both"/>
        <w:rPr>
          <w:rFonts w:cs="Arial"/>
          <w:bCs/>
          <w:color w:val="0070C0"/>
          <w:sz w:val="12"/>
          <w:szCs w:val="12"/>
        </w:rPr>
      </w:pPr>
    </w:p>
    <w:p w:rsidR="000938C1" w:rsidRPr="00CF1A14" w:rsidRDefault="000938C1" w:rsidP="00097254">
      <w:pPr>
        <w:tabs>
          <w:tab w:val="left" w:pos="720"/>
        </w:tabs>
        <w:ind w:firstLine="540"/>
        <w:jc w:val="both"/>
        <w:rPr>
          <w:color w:val="0070C0"/>
          <w:sz w:val="12"/>
          <w:szCs w:val="12"/>
        </w:rPr>
      </w:pPr>
    </w:p>
    <w:p w:rsidR="000938C1" w:rsidRPr="00246730" w:rsidRDefault="000938C1" w:rsidP="00F30F79">
      <w:pPr>
        <w:pStyle w:val="Heading1"/>
        <w:numPr>
          <w:ilvl w:val="0"/>
          <w:numId w:val="18"/>
        </w:numPr>
        <w:jc w:val="left"/>
      </w:pPr>
      <w:bookmarkStart w:id="47" w:name="_Toc261276556"/>
      <w:bookmarkStart w:id="48" w:name="_Toc324863388"/>
      <w:bookmarkStart w:id="49" w:name="_Toc393728047"/>
      <w:r w:rsidRPr="00246730">
        <w:t>Оценка на въздействието на данъчната политика и политиката на разходите в бюджетния сектор върху развитието на националната икономика</w:t>
      </w:r>
      <w:bookmarkEnd w:id="47"/>
      <w:bookmarkEnd w:id="48"/>
      <w:bookmarkEnd w:id="49"/>
    </w:p>
    <w:p w:rsidR="000938C1" w:rsidRPr="00CF1A14" w:rsidRDefault="000938C1" w:rsidP="005E255B">
      <w:pPr>
        <w:rPr>
          <w:color w:val="0070C0"/>
          <w:sz w:val="12"/>
          <w:szCs w:val="12"/>
          <w:lang w:eastAsia="en-US"/>
        </w:rPr>
      </w:pPr>
    </w:p>
    <w:p w:rsidR="000938C1" w:rsidRPr="00246730" w:rsidRDefault="000938C1" w:rsidP="00246730">
      <w:pPr>
        <w:autoSpaceDE w:val="0"/>
        <w:autoSpaceDN w:val="0"/>
        <w:adjustRightInd w:val="0"/>
        <w:ind w:firstLine="720"/>
        <w:jc w:val="both"/>
        <w:rPr>
          <w:rFonts w:cs="Arial"/>
          <w:bCs/>
          <w:color w:val="0070C0"/>
          <w:szCs w:val="26"/>
        </w:rPr>
      </w:pPr>
      <w:r w:rsidRPr="00246730">
        <w:t>Данъчно-осигурителната политика за 2013</w:t>
      </w:r>
      <w:r w:rsidRPr="00246730">
        <w:rPr>
          <w:lang w:val="en-US"/>
        </w:rPr>
        <w:t> </w:t>
      </w:r>
      <w:r w:rsidRPr="00246730">
        <w:t>г. се базираше на запазване на ставките на преките данъци и осигурителните вноски като предпоставка за създаване на благоприятна бизнес среда и стимулиране на инвестициите и заетостта, както и на предприемане на мерки за подобряване на събираемостта на приходите от страна на администрацията.</w:t>
      </w:r>
    </w:p>
    <w:p w:rsidR="000938C1" w:rsidRPr="00246730" w:rsidRDefault="000938C1" w:rsidP="00246730">
      <w:pPr>
        <w:spacing w:before="120" w:after="120"/>
        <w:ind w:firstLine="709"/>
        <w:jc w:val="both"/>
        <w:outlineLvl w:val="3"/>
      </w:pPr>
      <w:r w:rsidRPr="00246730">
        <w:t>От януари 2013 г. размерът на минималната работна заплата бе променен от 290 на 310 лв. По този начин нейното средногодишно увеличение възлезе на 9,4</w:t>
      </w:r>
      <w:r>
        <w:t xml:space="preserve"> </w:t>
      </w:r>
      <w:r w:rsidRPr="00246730">
        <w:t>% в номинално изражение. Заложеният темп на изменение бе близък до този на средната работна заплата (10,5</w:t>
      </w:r>
      <w:r>
        <w:t xml:space="preserve"> </w:t>
      </w:r>
      <w:r w:rsidRPr="00246730">
        <w:t>%). През 2013 г. отношението между размера на минималната и средната работна заплата в страната се понижи с 0.4 п.п. до 38,4</w:t>
      </w:r>
      <w:r>
        <w:t xml:space="preserve"> </w:t>
      </w:r>
      <w:r w:rsidRPr="00246730">
        <w:t>%, като стойността на разглеждания показател остана по-ниска спрямо нивата от предкризисния период, както и спрямо средното за страните от ЕС.</w:t>
      </w:r>
    </w:p>
    <w:p w:rsidR="000938C1" w:rsidRPr="00246730" w:rsidRDefault="000938C1" w:rsidP="00246730">
      <w:pPr>
        <w:autoSpaceDE w:val="0"/>
        <w:autoSpaceDN w:val="0"/>
        <w:adjustRightInd w:val="0"/>
        <w:spacing w:after="120"/>
        <w:ind w:firstLine="720"/>
        <w:jc w:val="both"/>
      </w:pPr>
      <w:r w:rsidRPr="00246730">
        <w:t xml:space="preserve">Своевременното възстановяване на ДДС бе сред основните приоритети през </w:t>
      </w:r>
      <w:r>
        <w:t xml:space="preserve">втората половина на </w:t>
      </w:r>
      <w:r w:rsidRPr="00246730">
        <w:t>годината, като бе въведен принцип за възстановяване на ДДС по поредност на подадените справки-декларации. Размерът на възстановения данък бе по-висок спрямо 2012 г., а невъзстановеният ДДС към края на 2013 г. бе сведен до най-ниското му равнище за последните години. Това би следвало да се отрази положително върху дейността на фирмите, регистрирани по ДДС, създавайки условия за подобряване на бизнес средата и по-голяма предвидимост в процеса на планиране на оборотните средства на компаниите от частния сектор.</w:t>
      </w:r>
    </w:p>
    <w:p w:rsidR="000938C1" w:rsidRPr="00246730" w:rsidRDefault="000938C1" w:rsidP="00246730">
      <w:pPr>
        <w:autoSpaceDE w:val="0"/>
        <w:autoSpaceDN w:val="0"/>
        <w:adjustRightInd w:val="0"/>
        <w:spacing w:after="120"/>
        <w:ind w:firstLine="720"/>
        <w:jc w:val="both"/>
        <w:rPr>
          <w:rFonts w:cs="Arial"/>
          <w:bCs/>
          <w:color w:val="0070C0"/>
          <w:szCs w:val="26"/>
        </w:rPr>
      </w:pPr>
      <w:r w:rsidRPr="00246730">
        <w:t>Повишени бяха акцизните ставки на газьола и керосина от 630 на 645 лв./1000 л. Ефектът по отношение на инфлацията в края на годината се оценява на 0,03 п.п.</w:t>
      </w:r>
    </w:p>
    <w:p w:rsidR="000938C1" w:rsidRPr="00246730" w:rsidRDefault="000938C1" w:rsidP="00246730">
      <w:pPr>
        <w:spacing w:after="120"/>
        <w:ind w:firstLine="709"/>
        <w:jc w:val="both"/>
        <w:outlineLvl w:val="3"/>
      </w:pPr>
      <w:r w:rsidRPr="00246730">
        <w:t>От 1 април 2013 г. бе реализирано предвиденото в бюджета на ДОО увеличение на всички пенсии. Индексацията бе с процент равен на натрупаната инфлация за периода от второто полугодие на 2009 г. до края на 2012 г., вариращ в зависимост от началната дата на отпускането на пенсията. През декември бе изплатена коледна добавка на пенсионерите с най-ниски пенсии. Увеличена бе минималната пенсия за осигурителен стаж и възраст от 145 на 150 лв., социалната пенсия за старост, както и максималният размер на получаваните една или повече пенсии. Тези нормативни промени доведоха до нарастване на общите разходи за пенсии със 7,3% в номинално изражение спрямо предходната година, което имаше положителен принос към регистрирано увеличение на разполагаемия доход на домакинствата от 2,4</w:t>
      </w:r>
      <w:r>
        <w:t xml:space="preserve"> </w:t>
      </w:r>
      <w:r w:rsidRPr="00246730">
        <w:t>% в номинално изражение през 2013 г</w:t>
      </w:r>
      <w:r>
        <w:t>одина</w:t>
      </w:r>
      <w:r w:rsidRPr="00246730">
        <w:t>.</w:t>
      </w:r>
    </w:p>
    <w:p w:rsidR="000938C1" w:rsidRPr="00246730" w:rsidRDefault="000938C1" w:rsidP="00246730">
      <w:pPr>
        <w:autoSpaceDE w:val="0"/>
        <w:autoSpaceDN w:val="0"/>
        <w:adjustRightInd w:val="0"/>
        <w:spacing w:after="120"/>
        <w:ind w:firstLine="720"/>
        <w:jc w:val="both"/>
      </w:pPr>
      <w:r w:rsidRPr="00246730">
        <w:t xml:space="preserve">Капиталовите разходи по </w:t>
      </w:r>
      <w:r>
        <w:t>КФП</w:t>
      </w:r>
      <w:r w:rsidRPr="00246730">
        <w:t xml:space="preserve"> се увеличиха с 11</w:t>
      </w:r>
      <w:r>
        <w:t>,</w:t>
      </w:r>
      <w:r w:rsidRPr="00246730">
        <w:t>7</w:t>
      </w:r>
      <w:r>
        <w:t xml:space="preserve"> </w:t>
      </w:r>
      <w:r w:rsidRPr="00246730">
        <w:t>% спрямо 2012 г., което бе свързано с предприетите мерки за ускоряване на процеса по усвояване на средствата по Оперативните програми и фондове на ЕС. Имайки предвид регистрирания спад на частните инвестиции през годината, нарастването на публичните инвестиционни разходи ограничи до известна степен негативния принос на общото брутокапиталообразуване към растежа на БВП за 2013 г</w:t>
      </w:r>
      <w:r>
        <w:t>одина</w:t>
      </w:r>
      <w:r w:rsidRPr="00246730">
        <w:t>.</w:t>
      </w:r>
    </w:p>
    <w:p w:rsidR="000938C1" w:rsidRPr="00246730" w:rsidRDefault="000938C1" w:rsidP="00246730">
      <w:pPr>
        <w:spacing w:before="120" w:after="120"/>
        <w:ind w:firstLine="709"/>
        <w:jc w:val="both"/>
        <w:outlineLvl w:val="3"/>
      </w:pPr>
      <w:r w:rsidRPr="00246730">
        <w:t>При крайните потребителски разходи на правителството също бе отчетено нарастване вследствие на по-високите разходи за заплати и други възнаграждения на персонала, социално и здравноосигурителни вноски и издръжка. Трябва да се има предвид, че значителното нарастване на разходите за осигуровки обхваща ефекта от увеличението с 20 п.п. от началото на годината на осигурителната вноска за фонд „Пенсии“ за работещите в специалните ведомства. Правителственото потребление имаше положителен принос от 0,4 п.п. към реалния растеж на БВП през 2013 г</w:t>
      </w:r>
      <w:r>
        <w:t>одина</w:t>
      </w:r>
      <w:r w:rsidRPr="00246730">
        <w:t>.</w:t>
      </w:r>
    </w:p>
    <w:p w:rsidR="000938C1" w:rsidRPr="00246730" w:rsidRDefault="000938C1" w:rsidP="00246730">
      <w:pPr>
        <w:autoSpaceDE w:val="0"/>
        <w:autoSpaceDN w:val="0"/>
        <w:adjustRightInd w:val="0"/>
        <w:spacing w:after="120"/>
        <w:ind w:firstLine="720"/>
        <w:jc w:val="both"/>
      </w:pPr>
      <w:r w:rsidRPr="00246730">
        <w:t xml:space="preserve">Разходите за субсидии бяха по-високи от планираното, основно в резултат на усвоени през годината европейски средства по програмата </w:t>
      </w:r>
      <w:r>
        <w:t xml:space="preserve">на </w:t>
      </w:r>
      <w:r w:rsidRPr="00246730">
        <w:t>МОН „Учене през целия живот“</w:t>
      </w:r>
      <w:r>
        <w:t xml:space="preserve"> и др</w:t>
      </w:r>
      <w:r w:rsidRPr="00246730">
        <w:t>. Мерките по отношение на пазара на труда са от съществено значение за преодоляването на негативните ефекти от кризата върху нивото на безработицата.</w:t>
      </w:r>
    </w:p>
    <w:p w:rsidR="000938C1" w:rsidRDefault="000938C1" w:rsidP="00246730">
      <w:pPr>
        <w:autoSpaceDE w:val="0"/>
        <w:autoSpaceDN w:val="0"/>
        <w:adjustRightInd w:val="0"/>
        <w:ind w:firstLine="720"/>
        <w:jc w:val="both"/>
      </w:pPr>
      <w:r w:rsidRPr="00246730">
        <w:t>През 2013 г. целта на България за структурния дефицит бе 0,5</w:t>
      </w:r>
      <w:r>
        <w:t xml:space="preserve"> </w:t>
      </w:r>
      <w:r w:rsidRPr="00246730">
        <w:t>% от БВП. По оценки на Министерство на финансите през 2013 г. бюджетното салдо, коригирано спрямо фазата на икономическия цикъл и еднократните ефекти, възлезе на дефицит в размер на 1% от БВП. Влошаването на фискалната позиция в структурно изражение с 0,6 п.п. бе в резултат предимно на по-високите социални плащания, капиталови разходи и заплати и осигурителни вноски за персонала в бюджетния сектор. Фискалната политика, измерена чрез промяната на структурния дефицит в две съседни години, през изминалата година се оценява като антициклична, имайки предвид увеличаването на отрицателното отклонение от потенциалния БВП от 1,3</w:t>
      </w:r>
      <w:r>
        <w:t xml:space="preserve"> </w:t>
      </w:r>
      <w:r w:rsidRPr="00246730">
        <w:t>% през 2012 г. до 1,6</w:t>
      </w:r>
      <w:r>
        <w:t xml:space="preserve"> </w:t>
      </w:r>
      <w:r w:rsidRPr="00246730">
        <w:t>% през 2013 г</w:t>
      </w:r>
      <w:r>
        <w:t>одина</w:t>
      </w:r>
      <w:r w:rsidRPr="00246730">
        <w:t>.</w:t>
      </w:r>
    </w:p>
    <w:p w:rsidR="000938C1" w:rsidRPr="00D77048" w:rsidRDefault="000938C1" w:rsidP="00246730">
      <w:pPr>
        <w:autoSpaceDE w:val="0"/>
        <w:autoSpaceDN w:val="0"/>
        <w:adjustRightInd w:val="0"/>
        <w:ind w:firstLine="720"/>
        <w:jc w:val="both"/>
        <w:rPr>
          <w:rFonts w:cs="Arial"/>
          <w:bCs/>
          <w:color w:val="0070C0"/>
          <w:sz w:val="12"/>
          <w:szCs w:val="12"/>
        </w:rPr>
      </w:pPr>
    </w:p>
    <w:p w:rsidR="000938C1" w:rsidRPr="00D77048" w:rsidRDefault="000938C1" w:rsidP="001E7518">
      <w:pPr>
        <w:autoSpaceDE w:val="0"/>
        <w:autoSpaceDN w:val="0"/>
        <w:adjustRightInd w:val="0"/>
        <w:ind w:firstLine="720"/>
        <w:jc w:val="both"/>
        <w:rPr>
          <w:rFonts w:cs="Arial"/>
          <w:bCs/>
          <w:color w:val="0070C0"/>
          <w:sz w:val="12"/>
          <w:szCs w:val="12"/>
          <w:lang w:val="ru-RU"/>
        </w:rPr>
      </w:pPr>
    </w:p>
    <w:p w:rsidR="000938C1" w:rsidRPr="009439B2" w:rsidRDefault="000938C1" w:rsidP="00F30F79">
      <w:pPr>
        <w:pStyle w:val="Heading1"/>
        <w:numPr>
          <w:ilvl w:val="0"/>
          <w:numId w:val="18"/>
        </w:numPr>
        <w:jc w:val="both"/>
      </w:pPr>
      <w:bookmarkStart w:id="50" w:name="_Toc324863389"/>
      <w:bookmarkStart w:id="51" w:name="_Toc393728048"/>
      <w:r w:rsidRPr="009439B2">
        <w:t>Макроикономически ефект от усвояването на европейските средства</w:t>
      </w:r>
      <w:bookmarkEnd w:id="50"/>
      <w:bookmarkEnd w:id="51"/>
    </w:p>
    <w:p w:rsidR="000938C1" w:rsidRPr="00CF1A14" w:rsidRDefault="000938C1" w:rsidP="00321AE2">
      <w:pPr>
        <w:rPr>
          <w:color w:val="0070C0"/>
          <w:sz w:val="12"/>
          <w:szCs w:val="12"/>
          <w:lang w:val="ru-RU" w:eastAsia="en-US"/>
        </w:rPr>
      </w:pPr>
    </w:p>
    <w:p w:rsidR="000938C1" w:rsidRPr="009439B2" w:rsidRDefault="000938C1" w:rsidP="009439B2">
      <w:pPr>
        <w:ind w:firstLine="709"/>
        <w:jc w:val="both"/>
        <w:rPr>
          <w:color w:val="0070C0"/>
        </w:rPr>
      </w:pPr>
      <w:r w:rsidRPr="009439B2">
        <w:t>Усвояването на средствата от европейските фондове се подобри значително през 2013 г. Общата стойност на публичните средства по оперативните програми, разплатени през годината, възлезе на 1,6 млрд. евро, което представлява близо 20</w:t>
      </w:r>
      <w:r>
        <w:t xml:space="preserve"> </w:t>
      </w:r>
      <w:r w:rsidRPr="009439B2">
        <w:t>% от бюджета на програмите, съфинансирани със средства от Структурните фондове и Кохезионния фонд на ЕС.</w:t>
      </w:r>
    </w:p>
    <w:p w:rsidR="000938C1" w:rsidRPr="009439B2" w:rsidRDefault="000938C1" w:rsidP="009439B2">
      <w:pPr>
        <w:spacing w:before="120" w:after="120"/>
        <w:ind w:firstLine="709"/>
        <w:jc w:val="both"/>
        <w:outlineLvl w:val="3"/>
      </w:pPr>
      <w:r w:rsidRPr="009439B2">
        <w:t>Размерът на усвоените публични средства за периода януари 2007 - декември 2013 г. възлиза на 4,3 млрд. евро или 54</w:t>
      </w:r>
      <w:r>
        <w:t xml:space="preserve"> </w:t>
      </w:r>
      <w:r w:rsidRPr="009439B2">
        <w:t>% от общия бюджет по програмите. Най-голям е процентът на усвоените средства по ОП „Развитие на човешките ресурси“ (60,5</w:t>
      </w:r>
      <w:r>
        <w:t xml:space="preserve"> </w:t>
      </w:r>
      <w:r w:rsidRPr="009439B2">
        <w:t>%), а най-нисък – по ОП „Околна среда“ (42,5</w:t>
      </w:r>
      <w:r>
        <w:t xml:space="preserve"> </w:t>
      </w:r>
      <w:r w:rsidRPr="009439B2">
        <w:t>%), като средният процент на изпълнение на оперативните програми е 55</w:t>
      </w:r>
      <w:r>
        <w:t xml:space="preserve"> </w:t>
      </w:r>
      <w:r w:rsidRPr="009439B2">
        <w:t xml:space="preserve">%. </w:t>
      </w:r>
    </w:p>
    <w:p w:rsidR="000938C1" w:rsidRDefault="000938C1" w:rsidP="009439B2">
      <w:pPr>
        <w:ind w:firstLine="709"/>
        <w:jc w:val="both"/>
        <w:rPr>
          <w:color w:val="0070C0"/>
          <w:lang w:val="ru-RU"/>
        </w:rPr>
      </w:pPr>
    </w:p>
    <w:p w:rsidR="000938C1" w:rsidRDefault="000938C1" w:rsidP="009439B2">
      <w:pPr>
        <w:ind w:firstLine="709"/>
        <w:jc w:val="both"/>
        <w:rPr>
          <w:color w:val="0070C0"/>
          <w:lang w:val="ru-RU"/>
        </w:rPr>
      </w:pPr>
    </w:p>
    <w:p w:rsidR="000938C1" w:rsidRPr="009439B2" w:rsidRDefault="000938C1" w:rsidP="009439B2">
      <w:pPr>
        <w:ind w:firstLine="709"/>
        <w:jc w:val="both"/>
        <w:rPr>
          <w:color w:val="0070C0"/>
          <w:lang w:val="ru-RU"/>
        </w:rPr>
      </w:pPr>
    </w:p>
    <w:p w:rsidR="000938C1" w:rsidRPr="009439B2" w:rsidRDefault="000938C1" w:rsidP="009439B2">
      <w:pPr>
        <w:tabs>
          <w:tab w:val="left" w:pos="720"/>
        </w:tabs>
        <w:spacing w:before="120"/>
        <w:ind w:right="108"/>
        <w:jc w:val="center"/>
        <w:rPr>
          <w:b/>
          <w:i/>
        </w:rPr>
      </w:pPr>
      <w:r w:rsidRPr="009439B2">
        <w:rPr>
          <w:b/>
          <w:i/>
        </w:rPr>
        <w:t>Финансово изпълнение на Структурните фондове и Кохезионния фонд на ЕС</w:t>
      </w:r>
    </w:p>
    <w:p w:rsidR="000938C1" w:rsidRPr="009439B2" w:rsidRDefault="000938C1" w:rsidP="009439B2">
      <w:pPr>
        <w:tabs>
          <w:tab w:val="left" w:pos="720"/>
        </w:tabs>
        <w:spacing w:before="120"/>
        <w:ind w:right="108"/>
        <w:jc w:val="center"/>
        <w:rPr>
          <w:b/>
          <w:i/>
          <w:color w:val="0070C0"/>
          <w:sz w:val="12"/>
          <w:szCs w:val="12"/>
        </w:rPr>
      </w:pPr>
    </w:p>
    <w:tbl>
      <w:tblPr>
        <w:tblW w:w="9397" w:type="dxa"/>
        <w:tblInd w:w="108" w:type="dxa"/>
        <w:tblBorders>
          <w:insideH w:val="single" w:sz="18" w:space="0" w:color="FFFFFF"/>
          <w:insideV w:val="single" w:sz="18" w:space="0" w:color="FFFFFF"/>
        </w:tblBorders>
        <w:tblLayout w:type="fixed"/>
        <w:tblLook w:val="01E0"/>
      </w:tblPr>
      <w:tblGrid>
        <w:gridCol w:w="3828"/>
        <w:gridCol w:w="1384"/>
        <w:gridCol w:w="1395"/>
        <w:gridCol w:w="1395"/>
        <w:gridCol w:w="1395"/>
      </w:tblGrid>
      <w:tr w:rsidR="000938C1" w:rsidRPr="009439B2" w:rsidTr="006643EC">
        <w:trPr>
          <w:trHeight w:val="389"/>
        </w:trPr>
        <w:tc>
          <w:tcPr>
            <w:tcW w:w="3828" w:type="dxa"/>
            <w:vMerge w:val="restart"/>
            <w:tcBorders>
              <w:top w:val="single" w:sz="12" w:space="0" w:color="808080"/>
              <w:left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sz w:val="20"/>
                <w:szCs w:val="20"/>
              </w:rPr>
            </w:pPr>
            <w:r w:rsidRPr="009439B2">
              <w:rPr>
                <w:sz w:val="20"/>
                <w:szCs w:val="20"/>
              </w:rPr>
              <w:t>ПРОГРАМА</w:t>
            </w:r>
          </w:p>
        </w:tc>
        <w:tc>
          <w:tcPr>
            <w:tcW w:w="2779" w:type="dxa"/>
            <w:gridSpan w:val="2"/>
            <w:tcBorders>
              <w:top w:val="single" w:sz="12" w:space="0" w:color="808080"/>
              <w:left w:val="single" w:sz="12" w:space="0" w:color="808080"/>
              <w:bottom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sz w:val="20"/>
                <w:szCs w:val="20"/>
              </w:rPr>
            </w:pPr>
            <w:r w:rsidRPr="009439B2">
              <w:rPr>
                <w:sz w:val="20"/>
                <w:szCs w:val="20"/>
              </w:rPr>
              <w:t>Получени траншове от ЕК</w:t>
            </w:r>
          </w:p>
        </w:tc>
        <w:tc>
          <w:tcPr>
            <w:tcW w:w="2790" w:type="dxa"/>
            <w:gridSpan w:val="2"/>
            <w:tcBorders>
              <w:top w:val="single" w:sz="12" w:space="0" w:color="808080"/>
              <w:left w:val="single" w:sz="12" w:space="0" w:color="808080"/>
              <w:bottom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sz w:val="20"/>
                <w:szCs w:val="20"/>
                <w:lang w:val="ru-RU"/>
              </w:rPr>
            </w:pPr>
            <w:r w:rsidRPr="009439B2">
              <w:rPr>
                <w:sz w:val="20"/>
                <w:szCs w:val="20"/>
              </w:rPr>
              <w:t xml:space="preserve">Изплатени средства по Оперативните програми </w:t>
            </w:r>
            <w:r w:rsidRPr="009439B2">
              <w:rPr>
                <w:sz w:val="20"/>
                <w:szCs w:val="20"/>
                <w:lang w:val="ru-RU"/>
              </w:rPr>
              <w:t>*</w:t>
            </w:r>
          </w:p>
        </w:tc>
      </w:tr>
      <w:tr w:rsidR="000938C1" w:rsidRPr="009439B2" w:rsidTr="006643EC">
        <w:trPr>
          <w:trHeight w:val="697"/>
        </w:trPr>
        <w:tc>
          <w:tcPr>
            <w:tcW w:w="3828" w:type="dxa"/>
            <w:vMerge/>
            <w:tcBorders>
              <w:left w:val="single" w:sz="12" w:space="0" w:color="808080"/>
              <w:bottom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bCs/>
              </w:rPr>
            </w:pPr>
          </w:p>
        </w:tc>
        <w:tc>
          <w:tcPr>
            <w:tcW w:w="1384" w:type="dxa"/>
            <w:tcBorders>
              <w:top w:val="single" w:sz="4" w:space="0" w:color="auto"/>
              <w:left w:val="single" w:sz="12" w:space="0" w:color="808080"/>
              <w:bottom w:val="single" w:sz="12" w:space="0" w:color="808080"/>
            </w:tcBorders>
            <w:shd w:val="pct20" w:color="000000" w:fill="FFFFFF"/>
            <w:vAlign w:val="center"/>
          </w:tcPr>
          <w:p w:rsidR="000938C1" w:rsidRPr="009439B2" w:rsidRDefault="000938C1" w:rsidP="009439B2">
            <w:pPr>
              <w:spacing w:before="120" w:line="300" w:lineRule="exact"/>
              <w:jc w:val="center"/>
              <w:rPr>
                <w:bCs/>
                <w:sz w:val="20"/>
              </w:rPr>
            </w:pPr>
            <w:r w:rsidRPr="009439B2">
              <w:rPr>
                <w:bCs/>
                <w:sz w:val="20"/>
              </w:rPr>
              <w:t>с натрупване към 31.12.2013 г.</w:t>
            </w:r>
          </w:p>
        </w:tc>
        <w:tc>
          <w:tcPr>
            <w:tcW w:w="1395" w:type="dxa"/>
            <w:tcBorders>
              <w:top w:val="single" w:sz="12" w:space="0" w:color="808080"/>
              <w:bottom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bCs/>
                <w:sz w:val="20"/>
              </w:rPr>
            </w:pPr>
            <w:r w:rsidRPr="009439B2">
              <w:rPr>
                <w:bCs/>
                <w:sz w:val="20"/>
              </w:rPr>
              <w:t xml:space="preserve">за периода </w:t>
            </w:r>
            <w:r w:rsidRPr="009439B2">
              <w:rPr>
                <w:bCs/>
                <w:sz w:val="20"/>
              </w:rPr>
              <w:br/>
              <w:t>01.01. - 31.12.2013 г.</w:t>
            </w:r>
          </w:p>
        </w:tc>
        <w:tc>
          <w:tcPr>
            <w:tcW w:w="1395" w:type="dxa"/>
            <w:tcBorders>
              <w:top w:val="single" w:sz="12" w:space="0" w:color="808080"/>
              <w:left w:val="single" w:sz="12" w:space="0" w:color="808080"/>
              <w:bottom w:val="single" w:sz="12" w:space="0" w:color="808080"/>
            </w:tcBorders>
            <w:shd w:val="pct20" w:color="000000" w:fill="FFFFFF"/>
            <w:vAlign w:val="center"/>
          </w:tcPr>
          <w:p w:rsidR="000938C1" w:rsidRPr="009439B2" w:rsidRDefault="000938C1" w:rsidP="009439B2">
            <w:pPr>
              <w:spacing w:before="120" w:line="300" w:lineRule="exact"/>
              <w:jc w:val="center"/>
              <w:rPr>
                <w:sz w:val="20"/>
              </w:rPr>
            </w:pPr>
            <w:r w:rsidRPr="009439B2">
              <w:rPr>
                <w:bCs/>
                <w:sz w:val="20"/>
              </w:rPr>
              <w:t>с натрупване към 31.12.2013 г.</w:t>
            </w:r>
          </w:p>
        </w:tc>
        <w:tc>
          <w:tcPr>
            <w:tcW w:w="1395" w:type="dxa"/>
            <w:tcBorders>
              <w:top w:val="single" w:sz="12" w:space="0" w:color="808080"/>
              <w:bottom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bCs/>
                <w:sz w:val="20"/>
              </w:rPr>
            </w:pPr>
            <w:r w:rsidRPr="009439B2">
              <w:rPr>
                <w:bCs/>
                <w:sz w:val="20"/>
              </w:rPr>
              <w:t xml:space="preserve">за периода </w:t>
            </w:r>
            <w:r w:rsidRPr="009439B2">
              <w:rPr>
                <w:bCs/>
                <w:sz w:val="20"/>
              </w:rPr>
              <w:br/>
              <w:t>01.01. - 31.12.2013 г.</w:t>
            </w:r>
          </w:p>
        </w:tc>
      </w:tr>
      <w:tr w:rsidR="000938C1" w:rsidRPr="009439B2" w:rsidTr="006643EC">
        <w:trPr>
          <w:trHeight w:val="250"/>
        </w:trPr>
        <w:tc>
          <w:tcPr>
            <w:tcW w:w="3828" w:type="dxa"/>
            <w:tcBorders>
              <w:top w:val="single" w:sz="12" w:space="0" w:color="808080"/>
              <w:left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b/>
                <w:bCs/>
                <w:sz w:val="18"/>
                <w:szCs w:val="18"/>
              </w:rPr>
            </w:pPr>
            <w:r w:rsidRPr="009439B2">
              <w:rPr>
                <w:b/>
                <w:bCs/>
                <w:sz w:val="18"/>
                <w:szCs w:val="18"/>
              </w:rPr>
              <w:t> </w:t>
            </w:r>
          </w:p>
        </w:tc>
        <w:tc>
          <w:tcPr>
            <w:tcW w:w="2779" w:type="dxa"/>
            <w:gridSpan w:val="2"/>
            <w:tcBorders>
              <w:top w:val="single" w:sz="12" w:space="0" w:color="808080"/>
              <w:left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sz w:val="18"/>
                <w:szCs w:val="18"/>
              </w:rPr>
            </w:pPr>
            <w:r w:rsidRPr="009439B2">
              <w:rPr>
                <w:b/>
                <w:bCs/>
                <w:sz w:val="18"/>
                <w:szCs w:val="18"/>
              </w:rPr>
              <w:t>млн. евро</w:t>
            </w:r>
          </w:p>
        </w:tc>
        <w:tc>
          <w:tcPr>
            <w:tcW w:w="2790" w:type="dxa"/>
            <w:gridSpan w:val="2"/>
            <w:tcBorders>
              <w:top w:val="single" w:sz="12" w:space="0" w:color="808080"/>
              <w:left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jc w:val="center"/>
              <w:rPr>
                <w:b/>
                <w:bCs/>
                <w:sz w:val="18"/>
                <w:szCs w:val="18"/>
              </w:rPr>
            </w:pPr>
            <w:r w:rsidRPr="009439B2">
              <w:rPr>
                <w:b/>
                <w:bCs/>
                <w:sz w:val="18"/>
                <w:szCs w:val="18"/>
              </w:rPr>
              <w:t>млн. евро</w:t>
            </w:r>
          </w:p>
        </w:tc>
      </w:tr>
      <w:tr w:rsidR="000938C1" w:rsidRPr="009439B2" w:rsidTr="006643EC">
        <w:trPr>
          <w:trHeight w:val="284"/>
        </w:trPr>
        <w:tc>
          <w:tcPr>
            <w:tcW w:w="3828" w:type="dxa"/>
            <w:tcBorders>
              <w:top w:val="single" w:sz="4" w:space="0" w:color="auto"/>
              <w:left w:val="single" w:sz="12" w:space="0" w:color="808080"/>
              <w:right w:val="single" w:sz="12" w:space="0" w:color="808080"/>
            </w:tcBorders>
            <w:shd w:val="pct5" w:color="000000" w:fill="FFFFFF"/>
            <w:vAlign w:val="center"/>
          </w:tcPr>
          <w:p w:rsidR="000938C1" w:rsidRPr="009439B2" w:rsidRDefault="000938C1" w:rsidP="009439B2">
            <w:pPr>
              <w:spacing w:before="120" w:line="300" w:lineRule="exact"/>
              <w:ind w:left="612" w:hanging="612"/>
            </w:pPr>
            <w:r w:rsidRPr="009439B2">
              <w:rPr>
                <w:sz w:val="22"/>
                <w:szCs w:val="22"/>
              </w:rPr>
              <w:t>1. ОП „Транспорт“</w:t>
            </w:r>
          </w:p>
        </w:tc>
        <w:tc>
          <w:tcPr>
            <w:tcW w:w="1384" w:type="dxa"/>
            <w:tcBorders>
              <w:top w:val="single" w:sz="4" w:space="0" w:color="auto"/>
              <w:lef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949,3</w:t>
            </w:r>
          </w:p>
        </w:tc>
        <w:tc>
          <w:tcPr>
            <w:tcW w:w="1395" w:type="dxa"/>
            <w:tcBorders>
              <w:top w:val="single" w:sz="4" w:space="0" w:color="auto"/>
              <w:righ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128,3</w:t>
            </w:r>
          </w:p>
        </w:tc>
        <w:tc>
          <w:tcPr>
            <w:tcW w:w="1395" w:type="dxa"/>
            <w:tcBorders>
              <w:top w:val="single" w:sz="4" w:space="0" w:color="auto"/>
              <w:left w:val="single" w:sz="12" w:space="0" w:color="808080"/>
            </w:tcBorders>
            <w:shd w:val="pct5" w:color="000000" w:fill="FFFFFF"/>
            <w:vAlign w:val="bottom"/>
          </w:tcPr>
          <w:p w:rsidR="000938C1" w:rsidRPr="009439B2" w:rsidRDefault="000938C1" w:rsidP="009439B2">
            <w:pPr>
              <w:spacing w:before="120" w:line="300" w:lineRule="exact"/>
              <w:jc w:val="right"/>
              <w:rPr>
                <w:sz w:val="20"/>
              </w:rPr>
            </w:pPr>
            <w:r w:rsidRPr="009439B2">
              <w:rPr>
                <w:sz w:val="20"/>
              </w:rPr>
              <w:t>1 115,5</w:t>
            </w:r>
          </w:p>
        </w:tc>
        <w:tc>
          <w:tcPr>
            <w:tcW w:w="1395" w:type="dxa"/>
            <w:tcBorders>
              <w:top w:val="single" w:sz="4" w:space="0" w:color="auto"/>
              <w:righ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237,4</w:t>
            </w:r>
          </w:p>
        </w:tc>
      </w:tr>
      <w:tr w:rsidR="000938C1" w:rsidRPr="009439B2" w:rsidTr="006643EC">
        <w:trPr>
          <w:trHeight w:val="284"/>
        </w:trPr>
        <w:tc>
          <w:tcPr>
            <w:tcW w:w="3828" w:type="dxa"/>
            <w:tcBorders>
              <w:left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ind w:left="612" w:hanging="612"/>
            </w:pPr>
            <w:r w:rsidRPr="009439B2">
              <w:rPr>
                <w:sz w:val="22"/>
                <w:szCs w:val="22"/>
              </w:rPr>
              <w:t>2. ОП „Околна среда“</w:t>
            </w:r>
          </w:p>
        </w:tc>
        <w:tc>
          <w:tcPr>
            <w:tcW w:w="1384" w:type="dxa"/>
            <w:tcBorders>
              <w:lef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353,5</w:t>
            </w:r>
          </w:p>
        </w:tc>
        <w:tc>
          <w:tcPr>
            <w:tcW w:w="1395" w:type="dxa"/>
            <w:tcBorders>
              <w:righ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60,2</w:t>
            </w:r>
          </w:p>
        </w:tc>
        <w:tc>
          <w:tcPr>
            <w:tcW w:w="1395" w:type="dxa"/>
            <w:tcBorders>
              <w:left w:val="single" w:sz="12" w:space="0" w:color="808080"/>
            </w:tcBorders>
            <w:shd w:val="pct20" w:color="000000" w:fill="FFFFFF"/>
            <w:vAlign w:val="bottom"/>
          </w:tcPr>
          <w:p w:rsidR="000938C1" w:rsidRPr="009439B2" w:rsidRDefault="000938C1" w:rsidP="009439B2">
            <w:pPr>
              <w:spacing w:before="120" w:line="300" w:lineRule="exact"/>
              <w:jc w:val="right"/>
              <w:rPr>
                <w:sz w:val="20"/>
              </w:rPr>
            </w:pPr>
            <w:r w:rsidRPr="009439B2">
              <w:rPr>
                <w:sz w:val="20"/>
              </w:rPr>
              <w:t>765,1</w:t>
            </w:r>
          </w:p>
        </w:tc>
        <w:tc>
          <w:tcPr>
            <w:tcW w:w="1395" w:type="dxa"/>
            <w:tcBorders>
              <w:righ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445,0</w:t>
            </w:r>
          </w:p>
        </w:tc>
      </w:tr>
      <w:tr w:rsidR="000938C1" w:rsidRPr="009439B2" w:rsidTr="006643EC">
        <w:trPr>
          <w:trHeight w:val="284"/>
        </w:trPr>
        <w:tc>
          <w:tcPr>
            <w:tcW w:w="3828" w:type="dxa"/>
            <w:tcBorders>
              <w:left w:val="single" w:sz="12" w:space="0" w:color="808080"/>
              <w:right w:val="single" w:sz="12" w:space="0" w:color="808080"/>
            </w:tcBorders>
            <w:shd w:val="pct5" w:color="000000" w:fill="FFFFFF"/>
            <w:vAlign w:val="center"/>
          </w:tcPr>
          <w:p w:rsidR="000938C1" w:rsidRPr="009439B2" w:rsidRDefault="000938C1" w:rsidP="009439B2">
            <w:pPr>
              <w:spacing w:before="120" w:line="300" w:lineRule="exact"/>
              <w:ind w:left="612" w:hanging="612"/>
            </w:pPr>
            <w:r w:rsidRPr="009439B2">
              <w:rPr>
                <w:sz w:val="22"/>
                <w:szCs w:val="22"/>
              </w:rPr>
              <w:t>3. ОП „Регионално развитие“</w:t>
            </w:r>
          </w:p>
        </w:tc>
        <w:tc>
          <w:tcPr>
            <w:tcW w:w="1384" w:type="dxa"/>
            <w:tcBorders>
              <w:lef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689,6</w:t>
            </w:r>
          </w:p>
        </w:tc>
        <w:tc>
          <w:tcPr>
            <w:tcW w:w="1395" w:type="dxa"/>
            <w:tcBorders>
              <w:righ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260,4</w:t>
            </w:r>
          </w:p>
        </w:tc>
        <w:tc>
          <w:tcPr>
            <w:tcW w:w="1395" w:type="dxa"/>
            <w:tcBorders>
              <w:left w:val="single" w:sz="12" w:space="0" w:color="808080"/>
            </w:tcBorders>
            <w:shd w:val="pct5" w:color="000000" w:fill="FFFFFF"/>
            <w:vAlign w:val="bottom"/>
          </w:tcPr>
          <w:p w:rsidR="000938C1" w:rsidRPr="009439B2" w:rsidRDefault="000938C1" w:rsidP="009439B2">
            <w:pPr>
              <w:spacing w:before="120" w:line="300" w:lineRule="exact"/>
              <w:jc w:val="right"/>
              <w:rPr>
                <w:sz w:val="20"/>
              </w:rPr>
            </w:pPr>
            <w:r w:rsidRPr="009439B2">
              <w:rPr>
                <w:sz w:val="20"/>
              </w:rPr>
              <w:t>910,7</w:t>
            </w:r>
          </w:p>
        </w:tc>
        <w:tc>
          <w:tcPr>
            <w:tcW w:w="1395" w:type="dxa"/>
            <w:tcBorders>
              <w:right w:val="single" w:sz="12" w:space="0" w:color="808080"/>
            </w:tcBorders>
            <w:shd w:val="pct5" w:color="000000" w:fill="FFFFFF"/>
            <w:vAlign w:val="center"/>
          </w:tcPr>
          <w:p w:rsidR="000938C1" w:rsidRPr="009439B2" w:rsidRDefault="000938C1" w:rsidP="009439B2">
            <w:pPr>
              <w:spacing w:before="120" w:line="300" w:lineRule="exact"/>
              <w:jc w:val="right"/>
              <w:rPr>
                <w:sz w:val="20"/>
                <w:lang w:val="en-US"/>
              </w:rPr>
            </w:pPr>
            <w:r w:rsidRPr="009439B2">
              <w:rPr>
                <w:sz w:val="20"/>
              </w:rPr>
              <w:t>352,8</w:t>
            </w:r>
          </w:p>
        </w:tc>
      </w:tr>
      <w:tr w:rsidR="000938C1" w:rsidRPr="009439B2" w:rsidTr="006643EC">
        <w:trPr>
          <w:trHeight w:val="284"/>
        </w:trPr>
        <w:tc>
          <w:tcPr>
            <w:tcW w:w="3828" w:type="dxa"/>
            <w:tcBorders>
              <w:left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ind w:left="612" w:hanging="612"/>
            </w:pPr>
            <w:r w:rsidRPr="009439B2">
              <w:rPr>
                <w:sz w:val="22"/>
                <w:szCs w:val="22"/>
              </w:rPr>
              <w:t>4. ОП „Развитие на човешки ресурси“</w:t>
            </w:r>
          </w:p>
        </w:tc>
        <w:tc>
          <w:tcPr>
            <w:tcW w:w="1384" w:type="dxa"/>
            <w:tcBorders>
              <w:lef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599,3</w:t>
            </w:r>
          </w:p>
        </w:tc>
        <w:tc>
          <w:tcPr>
            <w:tcW w:w="1395" w:type="dxa"/>
            <w:tcBorders>
              <w:righ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284,1</w:t>
            </w:r>
          </w:p>
        </w:tc>
        <w:tc>
          <w:tcPr>
            <w:tcW w:w="1395" w:type="dxa"/>
            <w:tcBorders>
              <w:lef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734,9</w:t>
            </w:r>
          </w:p>
        </w:tc>
        <w:tc>
          <w:tcPr>
            <w:tcW w:w="1395" w:type="dxa"/>
            <w:tcBorders>
              <w:righ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349,3</w:t>
            </w:r>
          </w:p>
        </w:tc>
      </w:tr>
      <w:tr w:rsidR="000938C1" w:rsidRPr="009439B2" w:rsidTr="006643EC">
        <w:trPr>
          <w:trHeight w:val="284"/>
        </w:trPr>
        <w:tc>
          <w:tcPr>
            <w:tcW w:w="3828" w:type="dxa"/>
            <w:tcBorders>
              <w:left w:val="single" w:sz="12" w:space="0" w:color="808080"/>
              <w:right w:val="single" w:sz="12" w:space="0" w:color="808080"/>
            </w:tcBorders>
            <w:shd w:val="pct5" w:color="000000" w:fill="FFFFFF"/>
            <w:vAlign w:val="center"/>
          </w:tcPr>
          <w:p w:rsidR="000938C1" w:rsidRPr="009439B2" w:rsidRDefault="000938C1" w:rsidP="009439B2">
            <w:pPr>
              <w:spacing w:before="120" w:line="300" w:lineRule="exact"/>
              <w:ind w:left="612" w:hanging="612"/>
            </w:pPr>
            <w:r w:rsidRPr="009439B2">
              <w:rPr>
                <w:sz w:val="22"/>
                <w:szCs w:val="22"/>
              </w:rPr>
              <w:t>5. ОП „Конкурентоспособност“</w:t>
            </w:r>
          </w:p>
        </w:tc>
        <w:tc>
          <w:tcPr>
            <w:tcW w:w="1384" w:type="dxa"/>
            <w:tcBorders>
              <w:lef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605,5</w:t>
            </w:r>
          </w:p>
        </w:tc>
        <w:tc>
          <w:tcPr>
            <w:tcW w:w="1395" w:type="dxa"/>
            <w:tcBorders>
              <w:righ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122,4</w:t>
            </w:r>
          </w:p>
        </w:tc>
        <w:tc>
          <w:tcPr>
            <w:tcW w:w="1395" w:type="dxa"/>
            <w:tcBorders>
              <w:lef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671,4</w:t>
            </w:r>
          </w:p>
        </w:tc>
        <w:tc>
          <w:tcPr>
            <w:tcW w:w="1395" w:type="dxa"/>
            <w:tcBorders>
              <w:righ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170,9</w:t>
            </w:r>
          </w:p>
        </w:tc>
      </w:tr>
      <w:tr w:rsidR="000938C1" w:rsidRPr="009439B2" w:rsidTr="006643EC">
        <w:trPr>
          <w:trHeight w:val="284"/>
        </w:trPr>
        <w:tc>
          <w:tcPr>
            <w:tcW w:w="3828" w:type="dxa"/>
            <w:tcBorders>
              <w:left w:val="single" w:sz="12" w:space="0" w:color="808080"/>
              <w:right w:val="single" w:sz="12" w:space="0" w:color="808080"/>
            </w:tcBorders>
            <w:shd w:val="pct20" w:color="000000" w:fill="FFFFFF"/>
            <w:vAlign w:val="center"/>
          </w:tcPr>
          <w:p w:rsidR="000938C1" w:rsidRPr="009439B2" w:rsidRDefault="000938C1" w:rsidP="009439B2">
            <w:pPr>
              <w:spacing w:before="120" w:line="300" w:lineRule="exact"/>
              <w:ind w:left="612" w:hanging="612"/>
            </w:pPr>
            <w:r w:rsidRPr="009439B2">
              <w:rPr>
                <w:sz w:val="22"/>
                <w:szCs w:val="22"/>
              </w:rPr>
              <w:t>6. ОП „Административен капацитет“</w:t>
            </w:r>
          </w:p>
        </w:tc>
        <w:tc>
          <w:tcPr>
            <w:tcW w:w="1384" w:type="dxa"/>
            <w:tcBorders>
              <w:lef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82,3</w:t>
            </w:r>
          </w:p>
        </w:tc>
        <w:tc>
          <w:tcPr>
            <w:tcW w:w="1395" w:type="dxa"/>
            <w:tcBorders>
              <w:righ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24,5</w:t>
            </w:r>
          </w:p>
        </w:tc>
        <w:tc>
          <w:tcPr>
            <w:tcW w:w="1395" w:type="dxa"/>
            <w:tcBorders>
              <w:left w:val="single" w:sz="12" w:space="0" w:color="808080"/>
            </w:tcBorders>
            <w:shd w:val="pct20" w:color="000000" w:fill="FFFFFF"/>
            <w:vAlign w:val="bottom"/>
          </w:tcPr>
          <w:p w:rsidR="000938C1" w:rsidRPr="009439B2" w:rsidRDefault="000938C1" w:rsidP="009439B2">
            <w:pPr>
              <w:spacing w:before="120" w:line="300" w:lineRule="exact"/>
              <w:jc w:val="right"/>
              <w:rPr>
                <w:sz w:val="20"/>
              </w:rPr>
            </w:pPr>
            <w:r w:rsidRPr="009439B2">
              <w:rPr>
                <w:sz w:val="20"/>
              </w:rPr>
              <w:t>96,9</w:t>
            </w:r>
          </w:p>
        </w:tc>
        <w:tc>
          <w:tcPr>
            <w:tcW w:w="1395" w:type="dxa"/>
            <w:tcBorders>
              <w:right w:val="single" w:sz="12" w:space="0" w:color="808080"/>
            </w:tcBorders>
            <w:shd w:val="pct20" w:color="000000" w:fill="FFFFFF"/>
            <w:vAlign w:val="center"/>
          </w:tcPr>
          <w:p w:rsidR="000938C1" w:rsidRPr="009439B2" w:rsidRDefault="000938C1" w:rsidP="009439B2">
            <w:pPr>
              <w:spacing w:before="120" w:line="300" w:lineRule="exact"/>
              <w:jc w:val="right"/>
              <w:rPr>
                <w:sz w:val="20"/>
              </w:rPr>
            </w:pPr>
            <w:r w:rsidRPr="009439B2">
              <w:rPr>
                <w:sz w:val="20"/>
              </w:rPr>
              <w:t>28,5</w:t>
            </w:r>
          </w:p>
        </w:tc>
      </w:tr>
      <w:tr w:rsidR="000938C1" w:rsidRPr="009439B2" w:rsidTr="006643EC">
        <w:trPr>
          <w:trHeight w:val="284"/>
        </w:trPr>
        <w:tc>
          <w:tcPr>
            <w:tcW w:w="3828" w:type="dxa"/>
            <w:tcBorders>
              <w:left w:val="single" w:sz="12" w:space="0" w:color="808080"/>
              <w:bottom w:val="single" w:sz="4" w:space="0" w:color="auto"/>
              <w:right w:val="single" w:sz="12" w:space="0" w:color="808080"/>
            </w:tcBorders>
            <w:shd w:val="pct5" w:color="000000" w:fill="FFFFFF"/>
            <w:vAlign w:val="center"/>
          </w:tcPr>
          <w:p w:rsidR="000938C1" w:rsidRPr="009439B2" w:rsidRDefault="000938C1" w:rsidP="009439B2">
            <w:pPr>
              <w:spacing w:before="120" w:line="300" w:lineRule="exact"/>
              <w:ind w:left="612" w:hanging="612"/>
            </w:pPr>
            <w:r w:rsidRPr="009439B2">
              <w:rPr>
                <w:sz w:val="22"/>
                <w:szCs w:val="22"/>
              </w:rPr>
              <w:t>7. ОП „Техническа помощ“</w:t>
            </w:r>
          </w:p>
        </w:tc>
        <w:tc>
          <w:tcPr>
            <w:tcW w:w="1384" w:type="dxa"/>
            <w:tcBorders>
              <w:left w:val="single" w:sz="12" w:space="0" w:color="808080"/>
              <w:bottom w:val="single" w:sz="4" w:space="0" w:color="auto"/>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21,9</w:t>
            </w:r>
          </w:p>
        </w:tc>
        <w:tc>
          <w:tcPr>
            <w:tcW w:w="1395" w:type="dxa"/>
            <w:tcBorders>
              <w:bottom w:val="single" w:sz="4" w:space="0" w:color="auto"/>
              <w:righ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7,2</w:t>
            </w:r>
          </w:p>
        </w:tc>
        <w:tc>
          <w:tcPr>
            <w:tcW w:w="1395" w:type="dxa"/>
            <w:tcBorders>
              <w:left w:val="single" w:sz="12" w:space="0" w:color="808080"/>
              <w:bottom w:val="single" w:sz="4" w:space="0" w:color="auto"/>
            </w:tcBorders>
            <w:shd w:val="pct5" w:color="000000" w:fill="FFFFFF"/>
            <w:vAlign w:val="bottom"/>
          </w:tcPr>
          <w:p w:rsidR="000938C1" w:rsidRPr="009439B2" w:rsidRDefault="000938C1" w:rsidP="009439B2">
            <w:pPr>
              <w:spacing w:before="120" w:line="300" w:lineRule="exact"/>
              <w:jc w:val="right"/>
              <w:rPr>
                <w:sz w:val="20"/>
              </w:rPr>
            </w:pPr>
            <w:r w:rsidRPr="009439B2">
              <w:rPr>
                <w:sz w:val="20"/>
              </w:rPr>
              <w:t>31,3</w:t>
            </w:r>
          </w:p>
        </w:tc>
        <w:tc>
          <w:tcPr>
            <w:tcW w:w="1395" w:type="dxa"/>
            <w:tcBorders>
              <w:bottom w:val="single" w:sz="4" w:space="0" w:color="auto"/>
              <w:right w:val="single" w:sz="12" w:space="0" w:color="808080"/>
            </w:tcBorders>
            <w:shd w:val="pct5" w:color="000000" w:fill="FFFFFF"/>
            <w:vAlign w:val="center"/>
          </w:tcPr>
          <w:p w:rsidR="000938C1" w:rsidRPr="009439B2" w:rsidRDefault="000938C1" w:rsidP="009439B2">
            <w:pPr>
              <w:spacing w:before="120" w:line="300" w:lineRule="exact"/>
              <w:jc w:val="right"/>
              <w:rPr>
                <w:sz w:val="20"/>
              </w:rPr>
            </w:pPr>
            <w:r w:rsidRPr="009439B2">
              <w:rPr>
                <w:sz w:val="20"/>
              </w:rPr>
              <w:t>12,0</w:t>
            </w:r>
          </w:p>
        </w:tc>
      </w:tr>
      <w:tr w:rsidR="000938C1" w:rsidRPr="009439B2" w:rsidTr="006643EC">
        <w:trPr>
          <w:trHeight w:val="160"/>
        </w:trPr>
        <w:tc>
          <w:tcPr>
            <w:tcW w:w="3828" w:type="dxa"/>
            <w:tcBorders>
              <w:top w:val="single" w:sz="4" w:space="0" w:color="auto"/>
              <w:left w:val="single" w:sz="12" w:space="0" w:color="808080"/>
              <w:bottom w:val="single" w:sz="4" w:space="0" w:color="auto"/>
              <w:right w:val="single" w:sz="12" w:space="0" w:color="808080"/>
            </w:tcBorders>
            <w:shd w:val="pct20" w:color="000000" w:fill="FFFFFF"/>
            <w:vAlign w:val="center"/>
          </w:tcPr>
          <w:p w:rsidR="000938C1" w:rsidRPr="009439B2" w:rsidRDefault="000938C1" w:rsidP="009439B2">
            <w:pPr>
              <w:spacing w:before="120" w:line="300" w:lineRule="exact"/>
              <w:rPr>
                <w:b/>
                <w:bCs/>
                <w:i/>
                <w:iCs/>
              </w:rPr>
            </w:pPr>
            <w:r w:rsidRPr="009439B2">
              <w:rPr>
                <w:b/>
                <w:bCs/>
                <w:i/>
                <w:iCs/>
                <w:sz w:val="22"/>
                <w:szCs w:val="22"/>
              </w:rPr>
              <w:t>Общо за ОП</w:t>
            </w:r>
          </w:p>
        </w:tc>
        <w:tc>
          <w:tcPr>
            <w:tcW w:w="1384" w:type="dxa"/>
            <w:tcBorders>
              <w:top w:val="single" w:sz="4" w:space="0" w:color="auto"/>
              <w:left w:val="single" w:sz="12" w:space="0" w:color="808080"/>
              <w:bottom w:val="single" w:sz="4" w:space="0" w:color="auto"/>
            </w:tcBorders>
            <w:shd w:val="pct20" w:color="000000" w:fill="FFFFFF"/>
            <w:vAlign w:val="center"/>
          </w:tcPr>
          <w:p w:rsidR="000938C1" w:rsidRPr="009439B2" w:rsidRDefault="000938C1" w:rsidP="009439B2">
            <w:pPr>
              <w:spacing w:before="120" w:line="300" w:lineRule="exact"/>
              <w:jc w:val="right"/>
              <w:rPr>
                <w:b/>
                <w:sz w:val="20"/>
              </w:rPr>
            </w:pPr>
            <w:r w:rsidRPr="009439B2">
              <w:rPr>
                <w:b/>
                <w:sz w:val="20"/>
              </w:rPr>
              <w:t>3 301,1</w:t>
            </w:r>
          </w:p>
        </w:tc>
        <w:tc>
          <w:tcPr>
            <w:tcW w:w="1395" w:type="dxa"/>
            <w:tcBorders>
              <w:top w:val="single" w:sz="4" w:space="0" w:color="auto"/>
              <w:bottom w:val="single" w:sz="4" w:space="0" w:color="auto"/>
              <w:right w:val="single" w:sz="12" w:space="0" w:color="808080"/>
            </w:tcBorders>
            <w:shd w:val="pct20" w:color="000000" w:fill="FFFFFF"/>
            <w:vAlign w:val="center"/>
          </w:tcPr>
          <w:p w:rsidR="000938C1" w:rsidRPr="009439B2" w:rsidRDefault="000938C1" w:rsidP="009439B2">
            <w:pPr>
              <w:spacing w:before="120" w:line="300" w:lineRule="exact"/>
              <w:jc w:val="right"/>
              <w:rPr>
                <w:b/>
                <w:bCs/>
                <w:sz w:val="20"/>
              </w:rPr>
            </w:pPr>
            <w:r w:rsidRPr="009439B2">
              <w:rPr>
                <w:b/>
                <w:bCs/>
                <w:sz w:val="20"/>
              </w:rPr>
              <w:t>887,1</w:t>
            </w:r>
          </w:p>
        </w:tc>
        <w:tc>
          <w:tcPr>
            <w:tcW w:w="1395" w:type="dxa"/>
            <w:tcBorders>
              <w:top w:val="single" w:sz="4" w:space="0" w:color="auto"/>
              <w:left w:val="single" w:sz="12" w:space="0" w:color="808080"/>
              <w:bottom w:val="single" w:sz="4" w:space="0" w:color="auto"/>
            </w:tcBorders>
            <w:shd w:val="pct20" w:color="000000" w:fill="FFFFFF"/>
            <w:vAlign w:val="center"/>
          </w:tcPr>
          <w:p w:rsidR="000938C1" w:rsidRPr="009439B2" w:rsidRDefault="000938C1" w:rsidP="009439B2">
            <w:pPr>
              <w:spacing w:before="120" w:line="300" w:lineRule="exact"/>
              <w:jc w:val="right"/>
              <w:rPr>
                <w:b/>
                <w:bCs/>
                <w:sz w:val="20"/>
              </w:rPr>
            </w:pPr>
            <w:r w:rsidRPr="009439B2">
              <w:rPr>
                <w:b/>
                <w:bCs/>
                <w:sz w:val="20"/>
              </w:rPr>
              <w:t>4 325,8</w:t>
            </w:r>
          </w:p>
        </w:tc>
        <w:tc>
          <w:tcPr>
            <w:tcW w:w="1395" w:type="dxa"/>
            <w:tcBorders>
              <w:top w:val="single" w:sz="4" w:space="0" w:color="auto"/>
              <w:bottom w:val="single" w:sz="4" w:space="0" w:color="auto"/>
              <w:right w:val="single" w:sz="12" w:space="0" w:color="808080"/>
            </w:tcBorders>
            <w:shd w:val="pct20" w:color="000000" w:fill="FFFFFF"/>
            <w:vAlign w:val="center"/>
          </w:tcPr>
          <w:p w:rsidR="000938C1" w:rsidRPr="009439B2" w:rsidRDefault="000938C1" w:rsidP="009439B2">
            <w:pPr>
              <w:spacing w:before="120" w:line="300" w:lineRule="exact"/>
              <w:jc w:val="right"/>
              <w:rPr>
                <w:b/>
                <w:bCs/>
                <w:iCs/>
                <w:sz w:val="20"/>
              </w:rPr>
            </w:pPr>
            <w:r w:rsidRPr="009439B2">
              <w:rPr>
                <w:b/>
                <w:bCs/>
                <w:iCs/>
                <w:sz w:val="20"/>
                <w:lang w:val="en-US"/>
              </w:rPr>
              <w:t>1 </w:t>
            </w:r>
            <w:r w:rsidRPr="009439B2">
              <w:rPr>
                <w:b/>
                <w:bCs/>
                <w:iCs/>
                <w:sz w:val="20"/>
              </w:rPr>
              <w:t>595,9</w:t>
            </w:r>
          </w:p>
        </w:tc>
      </w:tr>
    </w:tbl>
    <w:p w:rsidR="000938C1" w:rsidRPr="009439B2" w:rsidRDefault="000938C1" w:rsidP="009439B2">
      <w:pPr>
        <w:rPr>
          <w:i/>
          <w:sz w:val="16"/>
          <w:szCs w:val="16"/>
        </w:rPr>
      </w:pPr>
    </w:p>
    <w:p w:rsidR="000938C1" w:rsidRPr="009439B2" w:rsidRDefault="000938C1" w:rsidP="009439B2">
      <w:pPr>
        <w:rPr>
          <w:i/>
          <w:sz w:val="16"/>
          <w:szCs w:val="16"/>
        </w:rPr>
      </w:pPr>
      <w:r w:rsidRPr="009439B2">
        <w:rPr>
          <w:i/>
          <w:sz w:val="16"/>
          <w:szCs w:val="16"/>
          <w:lang w:val="en-US"/>
        </w:rPr>
        <w:t xml:space="preserve">* </w:t>
      </w:r>
      <w:r w:rsidRPr="009439B2">
        <w:rPr>
          <w:i/>
          <w:sz w:val="16"/>
          <w:szCs w:val="16"/>
        </w:rPr>
        <w:t>Вкл. национално съфинансиране</w:t>
      </w:r>
      <w:r w:rsidRPr="009439B2">
        <w:rPr>
          <w:i/>
          <w:sz w:val="16"/>
          <w:szCs w:val="16"/>
        </w:rPr>
        <w:tab/>
      </w:r>
      <w:r w:rsidRPr="009439B2">
        <w:rPr>
          <w:i/>
          <w:sz w:val="16"/>
          <w:szCs w:val="16"/>
        </w:rPr>
        <w:tab/>
      </w:r>
      <w:r w:rsidRPr="009439B2">
        <w:rPr>
          <w:i/>
          <w:sz w:val="16"/>
          <w:szCs w:val="16"/>
        </w:rPr>
        <w:tab/>
      </w:r>
      <w:r w:rsidRPr="009439B2">
        <w:rPr>
          <w:i/>
          <w:sz w:val="16"/>
          <w:szCs w:val="16"/>
        </w:rPr>
        <w:tab/>
      </w:r>
      <w:r w:rsidRPr="009439B2">
        <w:rPr>
          <w:i/>
          <w:sz w:val="16"/>
          <w:szCs w:val="16"/>
        </w:rPr>
        <w:tab/>
      </w:r>
      <w:r w:rsidRPr="009439B2">
        <w:rPr>
          <w:i/>
          <w:sz w:val="16"/>
          <w:szCs w:val="16"/>
        </w:rPr>
        <w:tab/>
      </w:r>
      <w:r w:rsidRPr="009439B2">
        <w:rPr>
          <w:i/>
          <w:sz w:val="16"/>
          <w:szCs w:val="16"/>
        </w:rPr>
        <w:tab/>
      </w:r>
      <w:r w:rsidRPr="009439B2">
        <w:rPr>
          <w:i/>
          <w:sz w:val="16"/>
          <w:szCs w:val="16"/>
        </w:rPr>
        <w:tab/>
        <w:t>Източник: МФ</w:t>
      </w:r>
    </w:p>
    <w:p w:rsidR="000938C1" w:rsidRPr="009439B2" w:rsidRDefault="000938C1" w:rsidP="009439B2">
      <w:pPr>
        <w:spacing w:before="120" w:line="300" w:lineRule="exact"/>
        <w:rPr>
          <w:b/>
          <w:i/>
          <w:color w:val="0070C0"/>
          <w:sz w:val="22"/>
          <w:szCs w:val="22"/>
        </w:rPr>
      </w:pPr>
    </w:p>
    <w:p w:rsidR="000938C1" w:rsidRPr="009439B2" w:rsidRDefault="000938C1" w:rsidP="009439B2">
      <w:pPr>
        <w:spacing w:before="120"/>
        <w:jc w:val="both"/>
        <w:rPr>
          <w:color w:val="0070C0"/>
          <w:lang w:val="en-US"/>
        </w:rPr>
      </w:pPr>
      <w:r w:rsidRPr="00BC4ACD">
        <w:rPr>
          <w:noProof/>
          <w:color w:val="0070C0"/>
        </w:rPr>
        <w:pict>
          <v:shape id="Picture 6" o:spid="_x0000_i1030" type="#_x0000_t75" style="width:423.75pt;height:228pt;visibility:visible">
            <v:imagedata r:id="rId17" o:title=""/>
          </v:shape>
        </w:pict>
      </w:r>
    </w:p>
    <w:p w:rsidR="000938C1" w:rsidRPr="009439B2" w:rsidRDefault="000938C1" w:rsidP="009439B2">
      <w:pPr>
        <w:spacing w:before="120"/>
        <w:jc w:val="both"/>
        <w:rPr>
          <w:color w:val="0070C0"/>
          <w:lang w:val="en-US"/>
        </w:rPr>
      </w:pPr>
    </w:p>
    <w:p w:rsidR="000938C1" w:rsidRPr="009439B2" w:rsidRDefault="000938C1" w:rsidP="009439B2">
      <w:pPr>
        <w:spacing w:before="120"/>
        <w:jc w:val="both"/>
        <w:rPr>
          <w:color w:val="0070C0"/>
          <w:lang w:val="en-US"/>
        </w:rPr>
      </w:pPr>
      <w:r w:rsidRPr="00BC4ACD">
        <w:rPr>
          <w:noProof/>
          <w:color w:val="0070C0"/>
        </w:rPr>
        <w:pict>
          <v:shape id="Picture 7" o:spid="_x0000_i1031" type="#_x0000_t75" style="width:416.25pt;height:233.25pt;visibility:visible">
            <v:imagedata r:id="rId18" o:title=""/>
          </v:shape>
        </w:pict>
      </w:r>
    </w:p>
    <w:p w:rsidR="000938C1" w:rsidRPr="009439B2" w:rsidRDefault="000938C1" w:rsidP="009439B2">
      <w:pPr>
        <w:spacing w:before="120"/>
        <w:ind w:firstLine="709"/>
        <w:jc w:val="both"/>
        <w:rPr>
          <w:color w:val="0070C0"/>
        </w:rPr>
      </w:pPr>
    </w:p>
    <w:p w:rsidR="000938C1" w:rsidRPr="009439B2" w:rsidRDefault="000938C1" w:rsidP="009439B2">
      <w:pPr>
        <w:spacing w:before="120"/>
        <w:ind w:firstLine="709"/>
        <w:jc w:val="both"/>
        <w:rPr>
          <w:color w:val="0070C0"/>
        </w:rPr>
      </w:pPr>
    </w:p>
    <w:p w:rsidR="000938C1" w:rsidRPr="009439B2" w:rsidRDefault="000938C1" w:rsidP="009439B2">
      <w:pPr>
        <w:spacing w:after="120"/>
        <w:ind w:firstLine="709"/>
        <w:jc w:val="both"/>
        <w:outlineLvl w:val="3"/>
      </w:pPr>
      <w:r w:rsidRPr="009439B2">
        <w:t>По изчисления на Министерство на финансите с данни от консолидираната фискална програма на страната за периода 2008-2013 г. средствата от ЕС са финансирали около 40% от всички дългосрочни капиталови инвестиции. При това през последните години има ясно изразена тенденция на нарастване на техния принос – от 11,6</w:t>
      </w:r>
      <w:r>
        <w:t xml:space="preserve"> </w:t>
      </w:r>
      <w:r w:rsidRPr="009439B2">
        <w:t>% през 2008 г. до 61,6</w:t>
      </w:r>
      <w:r>
        <w:t xml:space="preserve"> </w:t>
      </w:r>
      <w:r w:rsidRPr="009439B2">
        <w:t>% през 2013 г. Макроикономическият ефект върху българската икономика от средствата по линия на Кохезионната политика на ЕС е оценен чрез иконометричния модел СИБИЛА. Изчисленията показват, че 35,8% от генерирания растеж за периода 2007-2013 г. се дължи на изпълнението на Оперативните програми. Така към края на 2013 г. нивото на реалния БВП е по-високо с 5,7</w:t>
      </w:r>
      <w:r>
        <w:t xml:space="preserve"> </w:t>
      </w:r>
      <w:r w:rsidRPr="009439B2">
        <w:t>% спрямо сценария без средства от ЕС. Данните само за 2013 г. показват ефект от 1,1</w:t>
      </w:r>
      <w:r>
        <w:t xml:space="preserve"> </w:t>
      </w:r>
      <w:r w:rsidRPr="009439B2">
        <w:t>% върху БВП от еврофондовете.</w:t>
      </w:r>
    </w:p>
    <w:p w:rsidR="000938C1" w:rsidRPr="009439B2" w:rsidRDefault="000938C1" w:rsidP="009439B2">
      <w:pPr>
        <w:spacing w:after="120"/>
        <w:ind w:firstLine="709"/>
        <w:jc w:val="both"/>
        <w:outlineLvl w:val="3"/>
      </w:pPr>
      <w:r w:rsidRPr="009439B2">
        <w:t>Структурните инструменти имат положително въздействие и върху пазара на труда, като средно за периода 2008-2013 г. са допринесли за 5,6</w:t>
      </w:r>
      <w:r>
        <w:t xml:space="preserve"> </w:t>
      </w:r>
      <w:r w:rsidRPr="009439B2">
        <w:t>% по-висок брой на заетите в икономиката. Коефициентът на безработицата за същия период би бил с 3,1 п.п. по-нисък в отсъствието на средствата от ЕС. Номиналната средна работна заплата в страната е с 13,6</w:t>
      </w:r>
      <w:r>
        <w:t xml:space="preserve"> </w:t>
      </w:r>
      <w:r w:rsidRPr="009439B2">
        <w:t>% по-висока в резултат от усвоените евросредства.</w:t>
      </w:r>
    </w:p>
    <w:p w:rsidR="000938C1" w:rsidRPr="00CF1A14" w:rsidRDefault="000938C1" w:rsidP="00B04159">
      <w:pPr>
        <w:ind w:firstLine="720"/>
        <w:jc w:val="both"/>
        <w:rPr>
          <w:color w:val="0070C0"/>
          <w:sz w:val="8"/>
          <w:szCs w:val="8"/>
          <w:lang w:eastAsia="en-US"/>
        </w:rPr>
      </w:pPr>
      <w:bookmarkStart w:id="52" w:name="_Toc136519946"/>
      <w:bookmarkStart w:id="53" w:name="_Toc136597714"/>
      <w:bookmarkStart w:id="54" w:name="_Toc136601617"/>
      <w:bookmarkStart w:id="55" w:name="_Toc166304014"/>
      <w:bookmarkStart w:id="56" w:name="_Toc166381574"/>
      <w:bookmarkStart w:id="57" w:name="_Toc167005089"/>
    </w:p>
    <w:p w:rsidR="000938C1" w:rsidRPr="00CF1A14" w:rsidRDefault="000938C1" w:rsidP="00B04159">
      <w:pPr>
        <w:ind w:firstLine="720"/>
        <w:jc w:val="both"/>
        <w:rPr>
          <w:color w:val="0070C0"/>
          <w:sz w:val="8"/>
          <w:szCs w:val="8"/>
          <w:lang w:eastAsia="en-US"/>
        </w:rPr>
      </w:pPr>
    </w:p>
    <w:p w:rsidR="000938C1" w:rsidRPr="00CF1A14" w:rsidRDefault="000938C1" w:rsidP="00B04159">
      <w:pPr>
        <w:ind w:firstLine="720"/>
        <w:jc w:val="both"/>
        <w:rPr>
          <w:color w:val="0070C0"/>
          <w:sz w:val="8"/>
          <w:szCs w:val="8"/>
          <w:lang w:eastAsia="en-US"/>
        </w:rPr>
      </w:pPr>
    </w:p>
    <w:p w:rsidR="000938C1" w:rsidRPr="00CF1A14" w:rsidRDefault="000938C1" w:rsidP="00B04159">
      <w:pPr>
        <w:ind w:firstLine="720"/>
        <w:jc w:val="both"/>
        <w:rPr>
          <w:color w:val="0070C0"/>
          <w:sz w:val="8"/>
          <w:szCs w:val="8"/>
          <w:lang w:eastAsia="en-US"/>
        </w:rPr>
      </w:pPr>
    </w:p>
    <w:p w:rsidR="000938C1" w:rsidRPr="00CF1A14" w:rsidRDefault="000938C1" w:rsidP="00B04159">
      <w:pPr>
        <w:ind w:firstLine="720"/>
        <w:jc w:val="both"/>
        <w:rPr>
          <w:color w:val="0070C0"/>
          <w:sz w:val="8"/>
          <w:szCs w:val="8"/>
          <w:lang w:eastAsia="en-US"/>
        </w:rPr>
      </w:pPr>
    </w:p>
    <w:p w:rsidR="000938C1" w:rsidRPr="00CF1A14" w:rsidRDefault="000938C1" w:rsidP="002A567D">
      <w:pPr>
        <w:pStyle w:val="Heading1"/>
        <w:rPr>
          <w:color w:val="0070C0"/>
        </w:rPr>
      </w:pPr>
      <w:bookmarkStart w:id="58" w:name="_Toc261276558"/>
      <w:bookmarkStart w:id="59" w:name="_Toc324863391"/>
    </w:p>
    <w:p w:rsidR="000938C1" w:rsidRPr="00CF1A14" w:rsidRDefault="000938C1" w:rsidP="005E222A">
      <w:pPr>
        <w:rPr>
          <w:color w:val="0070C0"/>
          <w:lang w:eastAsia="en-US"/>
        </w:rPr>
      </w:pPr>
    </w:p>
    <w:p w:rsidR="000938C1" w:rsidRPr="00CF1A14" w:rsidRDefault="000938C1" w:rsidP="005E222A">
      <w:pPr>
        <w:rPr>
          <w:color w:val="0070C0"/>
          <w:lang w:eastAsia="en-US"/>
        </w:rPr>
      </w:pPr>
    </w:p>
    <w:p w:rsidR="000938C1" w:rsidRPr="00CF1A14" w:rsidRDefault="000938C1" w:rsidP="005E222A">
      <w:pPr>
        <w:rPr>
          <w:color w:val="0070C0"/>
          <w:sz w:val="8"/>
          <w:szCs w:val="8"/>
          <w:lang w:eastAsia="en-US"/>
        </w:rPr>
      </w:pPr>
      <w:r w:rsidRPr="00CF1A14">
        <w:rPr>
          <w:color w:val="0070C0"/>
          <w:lang w:eastAsia="en-US"/>
        </w:rPr>
        <w:br w:type="page"/>
      </w:r>
    </w:p>
    <w:p w:rsidR="000938C1" w:rsidRPr="00D9479E" w:rsidRDefault="000938C1" w:rsidP="002A567D">
      <w:pPr>
        <w:pStyle w:val="Heading1"/>
      </w:pPr>
      <w:bookmarkStart w:id="60" w:name="_Toc393728049"/>
      <w:r w:rsidRPr="00D9479E">
        <w:t>ІІ. ФИСКАЛНА ПОЛИТИКА</w:t>
      </w:r>
      <w:bookmarkEnd w:id="52"/>
      <w:bookmarkEnd w:id="53"/>
      <w:bookmarkEnd w:id="54"/>
      <w:bookmarkEnd w:id="55"/>
      <w:bookmarkEnd w:id="56"/>
      <w:bookmarkEnd w:id="57"/>
      <w:bookmarkEnd w:id="58"/>
      <w:bookmarkEnd w:id="59"/>
      <w:bookmarkEnd w:id="60"/>
    </w:p>
    <w:p w:rsidR="000938C1" w:rsidRPr="00D9479E" w:rsidRDefault="000938C1" w:rsidP="00964429">
      <w:pPr>
        <w:jc w:val="center"/>
        <w:rPr>
          <w:b/>
          <w:bCs/>
          <w:sz w:val="16"/>
          <w:szCs w:val="16"/>
        </w:rPr>
      </w:pPr>
    </w:p>
    <w:p w:rsidR="000938C1" w:rsidRPr="00D9479E" w:rsidRDefault="000938C1" w:rsidP="00964429">
      <w:pPr>
        <w:jc w:val="center"/>
        <w:rPr>
          <w:b/>
          <w:bCs/>
          <w:sz w:val="12"/>
          <w:szCs w:val="12"/>
        </w:rPr>
      </w:pPr>
    </w:p>
    <w:p w:rsidR="000938C1" w:rsidRPr="002A1932" w:rsidRDefault="000938C1" w:rsidP="002A1932">
      <w:pPr>
        <w:keepNext/>
        <w:numPr>
          <w:ilvl w:val="0"/>
          <w:numId w:val="40"/>
        </w:numPr>
        <w:spacing w:after="120"/>
        <w:outlineLvl w:val="0"/>
        <w:rPr>
          <w:b/>
          <w:bCs/>
          <w:color w:val="000000"/>
          <w:lang w:eastAsia="en-US"/>
        </w:rPr>
      </w:pPr>
      <w:bookmarkStart w:id="61" w:name="_Toc136519947"/>
      <w:bookmarkStart w:id="62" w:name="_Toc136597715"/>
      <w:bookmarkStart w:id="63" w:name="_Toc136601618"/>
      <w:bookmarkStart w:id="64" w:name="_Toc166304015"/>
      <w:bookmarkStart w:id="65" w:name="_Toc166381575"/>
      <w:bookmarkStart w:id="66" w:name="_Toc167005090"/>
      <w:bookmarkStart w:id="67" w:name="_Toc261276559"/>
      <w:bookmarkStart w:id="68" w:name="_Toc324863392"/>
      <w:bookmarkStart w:id="69" w:name="_Toc357527067"/>
      <w:bookmarkStart w:id="70" w:name="_Toc393728050"/>
      <w:bookmarkStart w:id="71" w:name="_Toc230007041"/>
      <w:bookmarkStart w:id="72" w:name="_Toc324863393"/>
      <w:r w:rsidRPr="002A1932">
        <w:rPr>
          <w:b/>
          <w:bCs/>
          <w:color w:val="000000"/>
          <w:lang w:eastAsia="en-US"/>
        </w:rPr>
        <w:t>Основни акценти на фискалната политика по отношение на бюджетното изпълнение през 201</w:t>
      </w:r>
      <w:r w:rsidRPr="002A1932">
        <w:rPr>
          <w:b/>
          <w:bCs/>
          <w:color w:val="000000"/>
          <w:lang w:val="ru-RU" w:eastAsia="en-US"/>
        </w:rPr>
        <w:t>3</w:t>
      </w:r>
      <w:r w:rsidRPr="002A1932">
        <w:rPr>
          <w:b/>
          <w:bCs/>
          <w:color w:val="000000"/>
          <w:lang w:eastAsia="en-US"/>
        </w:rPr>
        <w:t xml:space="preserve"> г.</w:t>
      </w:r>
      <w:bookmarkEnd w:id="61"/>
      <w:bookmarkEnd w:id="62"/>
      <w:bookmarkEnd w:id="63"/>
      <w:bookmarkEnd w:id="64"/>
      <w:bookmarkEnd w:id="65"/>
      <w:bookmarkEnd w:id="66"/>
      <w:bookmarkEnd w:id="67"/>
      <w:bookmarkEnd w:id="68"/>
      <w:bookmarkEnd w:id="69"/>
      <w:bookmarkEnd w:id="70"/>
    </w:p>
    <w:p w:rsidR="000938C1" w:rsidRPr="002A1932" w:rsidRDefault="000938C1" w:rsidP="002A1932">
      <w:pPr>
        <w:spacing w:after="120"/>
        <w:ind w:left="720"/>
        <w:jc w:val="both"/>
        <w:rPr>
          <w:b/>
          <w:bCs/>
          <w:i/>
          <w:iCs/>
          <w:color w:val="0070C0"/>
          <w:sz w:val="12"/>
          <w:szCs w:val="12"/>
          <w:u w:val="single"/>
          <w:lang w:val="ru-RU"/>
        </w:rPr>
      </w:pPr>
      <w:bookmarkStart w:id="73" w:name="_Toc326165882"/>
      <w:bookmarkStart w:id="74" w:name="_Toc326165985"/>
      <w:bookmarkStart w:id="75" w:name="_Toc326226584"/>
      <w:bookmarkStart w:id="76" w:name="_Toc326165884"/>
      <w:bookmarkStart w:id="77" w:name="_Toc326165987"/>
      <w:bookmarkStart w:id="78" w:name="_Toc326226586"/>
      <w:bookmarkStart w:id="79" w:name="_Toc326165886"/>
      <w:bookmarkStart w:id="80" w:name="_Toc326165989"/>
      <w:bookmarkStart w:id="81" w:name="_Toc326226588"/>
      <w:bookmarkStart w:id="82" w:name="_Toc326165888"/>
      <w:bookmarkStart w:id="83" w:name="_Toc326165991"/>
      <w:bookmarkStart w:id="84" w:name="_Toc326226590"/>
      <w:bookmarkStart w:id="85" w:name="_Toc326165889"/>
      <w:bookmarkStart w:id="86" w:name="_Toc326165992"/>
      <w:bookmarkStart w:id="87" w:name="_Toc326226591"/>
      <w:bookmarkStart w:id="88" w:name="_Toc326165890"/>
      <w:bookmarkStart w:id="89" w:name="_Toc326165993"/>
      <w:bookmarkStart w:id="90" w:name="_Toc32622659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rsidR="000938C1" w:rsidRPr="002A1932" w:rsidRDefault="000938C1" w:rsidP="002A1932">
      <w:pPr>
        <w:spacing w:after="120"/>
        <w:jc w:val="both"/>
        <w:rPr>
          <w:b/>
          <w:bCs/>
          <w:i/>
          <w:iCs/>
          <w:color w:val="000000"/>
          <w:u w:val="single"/>
          <w:lang w:val="ru-RU"/>
        </w:rPr>
      </w:pPr>
      <w:r w:rsidRPr="002A1932">
        <w:t xml:space="preserve">След няколко последователни години на строга фискална консолидация, през 2013 г. бяха променени насоките на фискалната политика, като освен поддържане на дисциплинирана и устойчива фискална позиция във водещ приоритет бе издигната и подкрепата за икономиката и ускоряване на икономическия растеж. В средата на годината бе направена актуализация на Закона за държавния бюджет за 2013 г. с отразяване в него на промените в текущата икономическа ситуация в страната и обезпечаване с необходимия ресурс на приоритетните политики в програмата на новоизбраното правителството до края на годината. Придържайки се към принципите на действащите европейски и национални фискални правила фискалната политика се ориентира към </w:t>
      </w:r>
      <w:r w:rsidRPr="002A1932">
        <w:rPr>
          <w:color w:val="000000"/>
        </w:rPr>
        <w:t>залагане на умерено експанзивна фискална позиция, като фискалната цел за годината бе променена и бе предвидено дефицитът</w:t>
      </w:r>
      <w:r>
        <w:rPr>
          <w:color w:val="000000"/>
        </w:rPr>
        <w:t xml:space="preserve"> </w:t>
      </w:r>
      <w:r w:rsidRPr="002A1932">
        <w:rPr>
          <w:color w:val="000000"/>
        </w:rPr>
        <w:t>за 2013 г. да не надвиши 2 % от прогнозния БВП</w:t>
      </w:r>
      <w:r w:rsidRPr="002A1932">
        <w:rPr>
          <w:color w:val="000000"/>
          <w:lang w:val="ru-RU"/>
        </w:rPr>
        <w:t>.</w:t>
      </w:r>
    </w:p>
    <w:p w:rsidR="000938C1" w:rsidRPr="002A1932" w:rsidRDefault="000938C1" w:rsidP="002A1932">
      <w:pPr>
        <w:spacing w:after="120"/>
        <w:ind w:firstLine="720"/>
        <w:jc w:val="both"/>
        <w:rPr>
          <w:b/>
          <w:bCs/>
          <w:i/>
          <w:iCs/>
          <w:color w:val="000000"/>
          <w:u w:val="single"/>
        </w:rPr>
      </w:pPr>
      <w:r w:rsidRPr="002A1932">
        <w:rPr>
          <w:b/>
          <w:bCs/>
          <w:i/>
          <w:iCs/>
          <w:color w:val="000000"/>
          <w:u w:val="single"/>
        </w:rPr>
        <w:t>Бюджетна позиция на страната за 201</w:t>
      </w:r>
      <w:r w:rsidRPr="002A1932">
        <w:rPr>
          <w:b/>
          <w:bCs/>
          <w:i/>
          <w:iCs/>
          <w:color w:val="000000"/>
          <w:u w:val="single"/>
          <w:lang w:val="ru-RU"/>
        </w:rPr>
        <w:t>3</w:t>
      </w:r>
      <w:r w:rsidRPr="002A1932">
        <w:rPr>
          <w:b/>
          <w:bCs/>
          <w:i/>
          <w:iCs/>
          <w:color w:val="000000"/>
          <w:u w:val="single"/>
        </w:rPr>
        <w:t xml:space="preserve"> г.</w:t>
      </w:r>
    </w:p>
    <w:p w:rsidR="000938C1" w:rsidRPr="002A1932" w:rsidRDefault="000938C1" w:rsidP="002A1932">
      <w:pPr>
        <w:spacing w:after="120"/>
        <w:jc w:val="both"/>
        <w:rPr>
          <w:bCs/>
          <w:color w:val="000000"/>
        </w:rPr>
      </w:pPr>
      <w:r w:rsidRPr="002A1932">
        <w:rPr>
          <w:bCs/>
          <w:iCs/>
          <w:color w:val="000000"/>
        </w:rPr>
        <w:t xml:space="preserve">На база на данните от годишните отчети за касово изпълнение на бюджета на първостепенните разпоредители </w:t>
      </w:r>
      <w:r>
        <w:rPr>
          <w:bCs/>
          <w:iCs/>
          <w:color w:val="000000"/>
        </w:rPr>
        <w:t xml:space="preserve">с бюджет, </w:t>
      </w:r>
      <w:r w:rsidRPr="002A1932">
        <w:rPr>
          <w:bCs/>
          <w:color w:val="000000"/>
        </w:rPr>
        <w:t>201</w:t>
      </w:r>
      <w:r w:rsidRPr="002A1932">
        <w:rPr>
          <w:bCs/>
          <w:color w:val="000000"/>
          <w:lang w:val="ru-RU"/>
        </w:rPr>
        <w:t>3</w:t>
      </w:r>
      <w:r w:rsidRPr="002A1932">
        <w:rPr>
          <w:bCs/>
          <w:color w:val="000000"/>
        </w:rPr>
        <w:t xml:space="preserve"> година приключи с дефицит по консолидираната фискална програма на касова основа в размер на </w:t>
      </w:r>
      <w:r w:rsidRPr="002A1932">
        <w:rPr>
          <w:bCs/>
          <w:color w:val="000000"/>
          <w:lang w:val="ru-RU"/>
        </w:rPr>
        <w:t>1</w:t>
      </w:r>
      <w:r>
        <w:rPr>
          <w:bCs/>
          <w:color w:val="000000"/>
          <w:lang w:val="en-US"/>
        </w:rPr>
        <w:t> </w:t>
      </w:r>
      <w:r w:rsidRPr="002A1932">
        <w:rPr>
          <w:bCs/>
          <w:color w:val="000000"/>
          <w:lang w:val="ru-RU"/>
        </w:rPr>
        <w:t>4</w:t>
      </w:r>
      <w:r>
        <w:rPr>
          <w:bCs/>
          <w:color w:val="000000"/>
          <w:lang w:val="ru-RU"/>
        </w:rPr>
        <w:t>40,</w:t>
      </w:r>
      <w:r>
        <w:rPr>
          <w:bCs/>
          <w:color w:val="000000"/>
          <w:lang w:val="en-US"/>
        </w:rPr>
        <w:t>7</w:t>
      </w:r>
      <w:r w:rsidRPr="002A1932">
        <w:rPr>
          <w:bCs/>
          <w:color w:val="000000"/>
        </w:rPr>
        <w:t xml:space="preserve"> млн. лв., което представлява дефицит в размер на </w:t>
      </w:r>
      <w:r w:rsidRPr="002A1932">
        <w:rPr>
          <w:bCs/>
          <w:color w:val="000000"/>
          <w:lang w:val="ru-RU"/>
        </w:rPr>
        <w:t>1</w:t>
      </w:r>
      <w:r>
        <w:rPr>
          <w:bCs/>
          <w:color w:val="000000"/>
          <w:lang w:val="ru-RU"/>
        </w:rPr>
        <w:t xml:space="preserve">,8 </w:t>
      </w:r>
      <w:r w:rsidRPr="002A1932">
        <w:rPr>
          <w:bCs/>
          <w:color w:val="000000"/>
        </w:rPr>
        <w:t>% от БВП</w:t>
      </w:r>
      <w:r>
        <w:rPr>
          <w:rStyle w:val="FootnoteReference"/>
          <w:bCs/>
          <w:color w:val="000000"/>
        </w:rPr>
        <w:footnoteReference w:id="5"/>
      </w:r>
      <w:r w:rsidRPr="002A1932">
        <w:rPr>
          <w:bCs/>
          <w:color w:val="000000"/>
        </w:rPr>
        <w:t xml:space="preserve">. </w:t>
      </w:r>
    </w:p>
    <w:p w:rsidR="000938C1" w:rsidRPr="002A1932" w:rsidRDefault="000938C1" w:rsidP="002A1932">
      <w:pPr>
        <w:spacing w:after="120"/>
        <w:jc w:val="both"/>
        <w:rPr>
          <w:bCs/>
          <w:color w:val="000000"/>
        </w:rPr>
      </w:pPr>
      <w:r w:rsidRPr="002A1932">
        <w:rPr>
          <w:bCs/>
          <w:color w:val="000000"/>
        </w:rPr>
        <w:t>Фискалният резерв към края на 201</w:t>
      </w:r>
      <w:r w:rsidRPr="002A1932">
        <w:rPr>
          <w:bCs/>
          <w:color w:val="000000"/>
          <w:lang w:val="ru-RU"/>
        </w:rPr>
        <w:t>3</w:t>
      </w:r>
      <w:r w:rsidRPr="002A1932">
        <w:rPr>
          <w:bCs/>
          <w:color w:val="000000"/>
        </w:rPr>
        <w:t xml:space="preserve"> г. е в размер на </w:t>
      </w:r>
      <w:r w:rsidRPr="002A1932">
        <w:rPr>
          <w:bCs/>
          <w:color w:val="000000"/>
          <w:lang w:val="ru-RU"/>
        </w:rPr>
        <w:t>4</w:t>
      </w:r>
      <w:r>
        <w:rPr>
          <w:bCs/>
          <w:color w:val="000000"/>
          <w:lang w:val="ru-RU"/>
        </w:rPr>
        <w:t>,</w:t>
      </w:r>
      <w:r w:rsidRPr="002A1932">
        <w:rPr>
          <w:bCs/>
          <w:color w:val="000000"/>
          <w:lang w:val="ru-RU"/>
        </w:rPr>
        <w:t>7</w:t>
      </w:r>
      <w:r w:rsidRPr="002A1932">
        <w:rPr>
          <w:bCs/>
          <w:color w:val="000000"/>
        </w:rPr>
        <w:t xml:space="preserve"> млрд. лв. Фискалният резерв към 31 декември 201</w:t>
      </w:r>
      <w:r w:rsidRPr="002A1932">
        <w:rPr>
          <w:bCs/>
          <w:color w:val="000000"/>
          <w:lang w:val="ru-RU"/>
        </w:rPr>
        <w:t>3</w:t>
      </w:r>
      <w:r w:rsidRPr="002A1932">
        <w:rPr>
          <w:bCs/>
          <w:color w:val="000000"/>
        </w:rPr>
        <w:t xml:space="preserve"> г. е над определения в §6 на ПЗР на ЗДБРБ за 2013 г. минимален размер от 4</w:t>
      </w:r>
      <w:r>
        <w:rPr>
          <w:bCs/>
          <w:color w:val="000000"/>
        </w:rPr>
        <w:t>,</w:t>
      </w:r>
      <w:r w:rsidRPr="002A1932">
        <w:rPr>
          <w:bCs/>
          <w:color w:val="000000"/>
        </w:rPr>
        <w:t>5 млрд. л</w:t>
      </w:r>
      <w:r>
        <w:rPr>
          <w:bCs/>
          <w:color w:val="000000"/>
        </w:rPr>
        <w:t>е</w:t>
      </w:r>
      <w:r w:rsidRPr="002A1932">
        <w:rPr>
          <w:bCs/>
          <w:color w:val="000000"/>
        </w:rPr>
        <w:t>в</w:t>
      </w:r>
      <w:r>
        <w:rPr>
          <w:bCs/>
          <w:color w:val="000000"/>
        </w:rPr>
        <w:t>а</w:t>
      </w:r>
      <w:r w:rsidRPr="002A1932">
        <w:rPr>
          <w:bCs/>
          <w:color w:val="000000"/>
        </w:rPr>
        <w:t xml:space="preserve">. </w:t>
      </w:r>
    </w:p>
    <w:p w:rsidR="000938C1" w:rsidRPr="002A1932" w:rsidRDefault="000938C1" w:rsidP="002A1932">
      <w:pPr>
        <w:spacing w:after="120"/>
        <w:jc w:val="both"/>
      </w:pPr>
      <w:r w:rsidRPr="002A1932">
        <w:t>По отношение на държавния дълг предвидените законови ограничители са спазени , като размерът на държавния дълг към 31.12.2013 г. е 14</w:t>
      </w:r>
      <w:r>
        <w:t>,</w:t>
      </w:r>
      <w:r w:rsidRPr="002A1932">
        <w:t>1 млрд. лв. или 96</w:t>
      </w:r>
      <w:r>
        <w:t>,</w:t>
      </w:r>
      <w:r w:rsidRPr="002A1932">
        <w:t>7% от заложеният лимит за максималния размер на държавния дълг към края на 2013 г. в ЗДБРБ за 2013 г.(14</w:t>
      </w:r>
      <w:r>
        <w:t>,</w:t>
      </w:r>
      <w:r w:rsidRPr="002A1932">
        <w:t>6 млрд. лв.).</w:t>
      </w:r>
    </w:p>
    <w:p w:rsidR="000938C1" w:rsidRPr="00673D4D" w:rsidRDefault="000938C1" w:rsidP="002A1932">
      <w:pPr>
        <w:spacing w:after="120"/>
        <w:jc w:val="both"/>
        <w:rPr>
          <w:color w:val="000000"/>
        </w:rPr>
      </w:pPr>
      <w:r w:rsidRPr="00FC7E40">
        <w:rPr>
          <w:bCs/>
          <w:color w:val="000000"/>
        </w:rPr>
        <w:t>Дефицитът на сектор „Държавно управление” за 201</w:t>
      </w:r>
      <w:r w:rsidRPr="00673D4D">
        <w:rPr>
          <w:bCs/>
          <w:color w:val="000000"/>
        </w:rPr>
        <w:t>3</w:t>
      </w:r>
      <w:r w:rsidRPr="00FC7E40">
        <w:rPr>
          <w:bCs/>
          <w:color w:val="000000"/>
        </w:rPr>
        <w:t xml:space="preserve"> г. по методологията на ЕСС 95 на начислена основа съгласно априлските нотификационни таблици за дефицита и дълга е в размер на </w:t>
      </w:r>
      <w:r w:rsidRPr="00673D4D">
        <w:rPr>
          <w:bCs/>
          <w:color w:val="000000"/>
        </w:rPr>
        <w:t xml:space="preserve">1,5 </w:t>
      </w:r>
      <w:r w:rsidRPr="00FC7E40">
        <w:rPr>
          <w:bCs/>
          <w:color w:val="000000"/>
        </w:rPr>
        <w:t xml:space="preserve">% от БВП. </w:t>
      </w:r>
      <w:r w:rsidRPr="00673D4D">
        <w:rPr>
          <w:color w:val="000000"/>
        </w:rPr>
        <w:t xml:space="preserve">При съпоставка с останалите държави-членки с бюджетен дефицит за 2013 г. България е на пето място в ЕС по показателя най-нисък дефицит на сектор </w:t>
      </w:r>
      <w:r>
        <w:rPr>
          <w:color w:val="000000"/>
        </w:rPr>
        <w:t>„Д</w:t>
      </w:r>
      <w:r w:rsidRPr="00673D4D">
        <w:rPr>
          <w:color w:val="000000"/>
        </w:rPr>
        <w:t>ържавно управление</w:t>
      </w:r>
      <w:r>
        <w:rPr>
          <w:color w:val="000000"/>
        </w:rPr>
        <w:t>“</w:t>
      </w:r>
      <w:r w:rsidRPr="00673D4D">
        <w:rPr>
          <w:color w:val="000000"/>
        </w:rPr>
        <w:t xml:space="preserve"> заедно с Австрия и Чехия. </w:t>
      </w:r>
      <w:r w:rsidRPr="00FC7E40">
        <w:rPr>
          <w:color w:val="000000"/>
        </w:rPr>
        <w:t xml:space="preserve">Осреднената стойност на </w:t>
      </w:r>
      <w:r w:rsidRPr="00673D4D">
        <w:rPr>
          <w:color w:val="000000"/>
        </w:rPr>
        <w:t>дефицита за държавите-членки на ЕС за 2013</w:t>
      </w:r>
      <w:r w:rsidRPr="00FC7E40">
        <w:rPr>
          <w:color w:val="000000"/>
        </w:rPr>
        <w:t> </w:t>
      </w:r>
      <w:r w:rsidRPr="00673D4D">
        <w:rPr>
          <w:color w:val="000000"/>
        </w:rPr>
        <w:t xml:space="preserve">г. се равнява на 3,3 % от БВП, а за страните от еврозоната – 3,0 % от БВП. Десет държави-членки все още отчитат дефицит на сектор </w:t>
      </w:r>
      <w:r>
        <w:rPr>
          <w:color w:val="000000"/>
        </w:rPr>
        <w:t>„Д</w:t>
      </w:r>
      <w:r w:rsidRPr="00673D4D">
        <w:rPr>
          <w:color w:val="000000"/>
        </w:rPr>
        <w:t>ържавно управление</w:t>
      </w:r>
      <w:r>
        <w:rPr>
          <w:color w:val="000000"/>
        </w:rPr>
        <w:t>“</w:t>
      </w:r>
      <w:r w:rsidRPr="00673D4D">
        <w:rPr>
          <w:color w:val="000000"/>
        </w:rPr>
        <w:t xml:space="preserve"> за 2013 г. по-голям от референтната стойност от 3 % от БВП в Пакта за стабилност и растеж. По отношение на държавния дълг България е втора с най-нисък държавен дълг в ЕС (18,9 % от БВП) след Естония.</w:t>
      </w:r>
    </w:p>
    <w:p w:rsidR="000938C1" w:rsidRPr="002A1932" w:rsidRDefault="000938C1" w:rsidP="002A1932">
      <w:pPr>
        <w:spacing w:after="120"/>
        <w:ind w:firstLine="720"/>
        <w:jc w:val="both"/>
        <w:rPr>
          <w:b/>
          <w:bCs/>
          <w:i/>
          <w:iCs/>
          <w:color w:val="000000"/>
          <w:u w:val="single"/>
        </w:rPr>
      </w:pPr>
      <w:r w:rsidRPr="002A1932">
        <w:rPr>
          <w:b/>
          <w:bCs/>
          <w:i/>
          <w:iCs/>
          <w:color w:val="000000"/>
          <w:u w:val="single"/>
        </w:rPr>
        <w:t>Основни параметри по консолидираната фискална програма за 2013 г.</w:t>
      </w:r>
    </w:p>
    <w:p w:rsidR="000938C1" w:rsidRPr="002A1932" w:rsidRDefault="000938C1" w:rsidP="002A1932">
      <w:pPr>
        <w:spacing w:after="120"/>
        <w:jc w:val="both"/>
        <w:rPr>
          <w:color w:val="000000"/>
          <w:sz w:val="4"/>
          <w:szCs w:val="4"/>
        </w:rPr>
      </w:pPr>
    </w:p>
    <w:p w:rsidR="000938C1" w:rsidRPr="002A1932" w:rsidRDefault="000938C1" w:rsidP="002A1932">
      <w:pPr>
        <w:spacing w:after="120"/>
        <w:jc w:val="both"/>
        <w:rPr>
          <w:color w:val="000000"/>
        </w:rPr>
      </w:pPr>
      <w:r w:rsidRPr="002A1932">
        <w:rPr>
          <w:color w:val="000000"/>
        </w:rPr>
        <w:t>През 201</w:t>
      </w:r>
      <w:r w:rsidRPr="002A1932">
        <w:rPr>
          <w:color w:val="000000"/>
          <w:lang w:val="ru-RU"/>
        </w:rPr>
        <w:t>3</w:t>
      </w:r>
      <w:r w:rsidRPr="002A1932">
        <w:rPr>
          <w:color w:val="000000"/>
        </w:rPr>
        <w:t xml:space="preserve"> г. икономическата среда се разви по-песимистично от първоначалните прогнози,</w:t>
      </w:r>
      <w:r>
        <w:rPr>
          <w:color w:val="000000"/>
        </w:rPr>
        <w:t xml:space="preserve"> </w:t>
      </w:r>
      <w:r w:rsidRPr="002A1932">
        <w:rPr>
          <w:color w:val="000000"/>
        </w:rPr>
        <w:t xml:space="preserve">като икономическият растеж остана сравнително слаб и не позволи по-интензивно възстановяване на приходите. Предвид тенденциите при изпълнението на приходите през първото полугодие на годината и изчерпаните буфери в бюджета в средата на годината Министерския съвет предложи актуализация на фискалната рамка. В актуализираната рамка бяха отразени от една страна понижените очаквания за постъпленията от някои данъци в годишен план, а от друга мерки за стимулиране на икономическия растеж, социални ангажименти към най-уязвимите социални групи, мерки за равнопоставени взаимоотношения на държавата с бизнеса, подпомагане на сектора на енергетиката, недопускане на възникване на необезпечени задължения в края на годината и др. В </w:t>
      </w:r>
      <w:r>
        <w:rPr>
          <w:color w:val="000000"/>
        </w:rPr>
        <w:t xml:space="preserve">актуализираната фискална рамка </w:t>
      </w:r>
      <w:r w:rsidRPr="002A1932">
        <w:rPr>
          <w:color w:val="000000"/>
        </w:rPr>
        <w:t>бе предвидено дефицитът по консолидираната фискална програма за годината да не надвиши 2</w:t>
      </w:r>
      <w:r>
        <w:rPr>
          <w:color w:val="000000"/>
        </w:rPr>
        <w:t xml:space="preserve"> </w:t>
      </w:r>
      <w:r w:rsidRPr="002A1932">
        <w:rPr>
          <w:color w:val="000000"/>
        </w:rPr>
        <w:t xml:space="preserve">% от БВП, в съответствие с действащите фискални правила. </w:t>
      </w:r>
    </w:p>
    <w:p w:rsidR="000938C1" w:rsidRPr="002A1932" w:rsidRDefault="000938C1" w:rsidP="002A1932">
      <w:pPr>
        <w:jc w:val="both"/>
        <w:rPr>
          <w:color w:val="000000"/>
        </w:rPr>
      </w:pPr>
      <w:r w:rsidRPr="002A1932">
        <w:rPr>
          <w:color w:val="000000"/>
        </w:rPr>
        <w:t xml:space="preserve">През 2013 г. делът на приходите в БВП достигна </w:t>
      </w:r>
      <w:r w:rsidRPr="002A1932">
        <w:rPr>
          <w:color w:val="000000"/>
          <w:lang w:val="ru-RU"/>
        </w:rPr>
        <w:t>37</w:t>
      </w:r>
      <w:r>
        <w:rPr>
          <w:color w:val="000000"/>
          <w:lang w:val="ru-RU"/>
        </w:rPr>
        <w:t>,</w:t>
      </w:r>
      <w:r w:rsidRPr="002A1932">
        <w:rPr>
          <w:color w:val="000000"/>
          <w:lang w:val="ru-RU"/>
        </w:rPr>
        <w:t>1</w:t>
      </w:r>
      <w:r w:rsidRPr="002A1932">
        <w:rPr>
          <w:color w:val="000000"/>
        </w:rPr>
        <w:t xml:space="preserve"> %, като спрямо 2012 г. се отчита ръст от 1</w:t>
      </w:r>
      <w:r>
        <w:rPr>
          <w:color w:val="000000"/>
        </w:rPr>
        <w:t>,</w:t>
      </w:r>
      <w:r w:rsidRPr="002A1932">
        <w:rPr>
          <w:color w:val="000000"/>
        </w:rPr>
        <w:t>9 п.п. от БВП. Основен принос за този ръст имаха данъчните приходи, които нараснаха с 1</w:t>
      </w:r>
      <w:r>
        <w:rPr>
          <w:color w:val="000000"/>
        </w:rPr>
        <w:t>,</w:t>
      </w:r>
      <w:r w:rsidRPr="002A1932">
        <w:rPr>
          <w:color w:val="000000"/>
        </w:rPr>
        <w:t>1 п.п. от БВП спрямо предходната година. Основните фактори за подобрението от страна на приходите спрямо предходната година са продължилото икономическо възстановяване, мерките на приходните администрации за подобряване на събираемостта на приходите, ускореното усвояване на средства по програмите и фондовете на ЕС и др. От друга страна следва да се отбележат и ефектите върху приходите от промените при компонентите на БВП спрямо първоначалните прогнози.</w:t>
      </w:r>
      <w:r>
        <w:rPr>
          <w:color w:val="000000"/>
        </w:rPr>
        <w:t xml:space="preserve"> </w:t>
      </w:r>
      <w:r w:rsidRPr="002A1932">
        <w:rPr>
          <w:color w:val="000000"/>
        </w:rPr>
        <w:t>Износът продължи да бъде основен двигател на растежа, докато вътрешното потребление се забави. Поради това прогнозираните ефекти от очаквания по-интензивен ръст на вътрешното потребление при косвените данъци не се реализираха в пълен размер.</w:t>
      </w:r>
    </w:p>
    <w:p w:rsidR="000938C1" w:rsidRPr="002A1932" w:rsidRDefault="000938C1" w:rsidP="002A1932">
      <w:pPr>
        <w:jc w:val="both"/>
        <w:rPr>
          <w:color w:val="008080"/>
          <w:sz w:val="12"/>
          <w:szCs w:val="12"/>
          <w:lang w:val="ru-RU"/>
        </w:rPr>
      </w:pPr>
    </w:p>
    <w:p w:rsidR="000938C1" w:rsidRPr="002A1932" w:rsidRDefault="000938C1" w:rsidP="002A1932">
      <w:pPr>
        <w:jc w:val="both"/>
        <w:rPr>
          <w:color w:val="000000"/>
        </w:rPr>
      </w:pPr>
      <w:r w:rsidRPr="002A1932">
        <w:rPr>
          <w:color w:val="000000"/>
        </w:rPr>
        <w:t>Активните мерки за повишаване на събираемостта на публичните вземания от приходните администрации подкрепиха приходната страна на бюджета. През последните месеци на 2013 г. бяха отчетени по-големи постъпления от корпоративни данъци, което е свързано с нормативните промени, въведени в началото на годината.</w:t>
      </w:r>
      <w:r>
        <w:rPr>
          <w:color w:val="000000"/>
        </w:rPr>
        <w:t xml:space="preserve"> </w:t>
      </w:r>
      <w:r w:rsidRPr="002A1932">
        <w:rPr>
          <w:color w:val="000000"/>
        </w:rPr>
        <w:t>Това е най-силно изразено при корпоративния данък от нефинансови предприятия, чието изпълнение надвишава предварителните разчети. Въпреки първоначалните очаквания, вътрешното потребление остана слабо и не отбеляза растеж, което се отрази най-отчетливо при</w:t>
      </w:r>
      <w:r w:rsidRPr="002A1932">
        <w:rPr>
          <w:color w:val="000000"/>
          <w:lang w:val="ru-RU"/>
        </w:rPr>
        <w:t xml:space="preserve"> постъпленията от ДДС и акциз</w:t>
      </w:r>
      <w:r w:rsidRPr="002A1932">
        <w:rPr>
          <w:color w:val="000000"/>
        </w:rPr>
        <w:t>, където се отчита неизпълнение на разчетите за годината. Спрямо предходната година постъпленията в групата на косвените данъци нарастват с 0</w:t>
      </w:r>
      <w:r>
        <w:rPr>
          <w:color w:val="000000"/>
        </w:rPr>
        <w:t>,</w:t>
      </w:r>
      <w:r w:rsidRPr="002A1932">
        <w:rPr>
          <w:color w:val="000000"/>
        </w:rPr>
        <w:t>3 п.п. от БВП. Друг фактор, влияещ върху постъпленията от тези данъци са предприетите мерки от данъчната администрация за стриктно спазване на сроковете за възстановяване на дължимия данъчен кредит по ЗДДС. В следствие на тези мерки невъзстановения</w:t>
      </w:r>
      <w:r>
        <w:rPr>
          <w:color w:val="000000"/>
        </w:rPr>
        <w:t>т</w:t>
      </w:r>
      <w:r w:rsidRPr="002A1932">
        <w:rPr>
          <w:color w:val="000000"/>
        </w:rPr>
        <w:t xml:space="preserve"> в срок данъчен кредит бе сведен до минимум, което от друга страна се отрази в по-ниски постъпления от ДДС за годината.</w:t>
      </w:r>
      <w:r>
        <w:rPr>
          <w:color w:val="000000"/>
        </w:rPr>
        <w:t xml:space="preserve"> </w:t>
      </w:r>
      <w:r w:rsidRPr="002A1932">
        <w:rPr>
          <w:color w:val="000000"/>
        </w:rPr>
        <w:t>Приходите от социални и здравно-осигурителни вноски нарас</w:t>
      </w:r>
      <w:r>
        <w:rPr>
          <w:color w:val="000000"/>
        </w:rPr>
        <w:t>наха</w:t>
      </w:r>
      <w:r w:rsidRPr="002A1932">
        <w:rPr>
          <w:color w:val="000000"/>
        </w:rPr>
        <w:t xml:space="preserve"> с 0</w:t>
      </w:r>
      <w:r>
        <w:rPr>
          <w:color w:val="000000"/>
        </w:rPr>
        <w:t>,</w:t>
      </w:r>
      <w:r w:rsidRPr="002A1932">
        <w:rPr>
          <w:color w:val="000000"/>
        </w:rPr>
        <w:t>6 п.п. от БВП спрямо предходната година, като основна причина за това е реализирането на очакваните положителни ефекти от увеличението на максималния осигурителен доход от 2</w:t>
      </w:r>
      <w:r>
        <w:rPr>
          <w:color w:val="000000"/>
        </w:rPr>
        <w:t xml:space="preserve"> </w:t>
      </w:r>
      <w:r w:rsidRPr="002A1932">
        <w:rPr>
          <w:color w:val="000000"/>
        </w:rPr>
        <w:t>000 на 2</w:t>
      </w:r>
      <w:r>
        <w:rPr>
          <w:color w:val="000000"/>
        </w:rPr>
        <w:t xml:space="preserve"> </w:t>
      </w:r>
      <w:r w:rsidRPr="002A1932">
        <w:rPr>
          <w:color w:val="000000"/>
        </w:rPr>
        <w:t>200 лв.,</w:t>
      </w:r>
      <w:r>
        <w:rPr>
          <w:color w:val="000000"/>
        </w:rPr>
        <w:t xml:space="preserve"> </w:t>
      </w:r>
      <w:r w:rsidRPr="002A1932">
        <w:rPr>
          <w:color w:val="000000"/>
        </w:rPr>
        <w:t>увеличението на осигурителната вноска за фонд „Пенсии“ с 20 процентни пункта за работещите в специалните ведомства (военнослужещите, служителите на МВР, следователите и работещите в местата за лишаване от свобода)</w:t>
      </w:r>
      <w:r>
        <w:rPr>
          <w:color w:val="000000"/>
        </w:rPr>
        <w:t>, променените размери на минималните осигурителни прагове</w:t>
      </w:r>
      <w:r w:rsidRPr="002A1932">
        <w:rPr>
          <w:color w:val="000000"/>
        </w:rPr>
        <w:t xml:space="preserve"> и др.</w:t>
      </w:r>
      <w:r>
        <w:rPr>
          <w:color w:val="000000"/>
        </w:rPr>
        <w:t xml:space="preserve"> </w:t>
      </w:r>
      <w:r w:rsidRPr="002A1932">
        <w:rPr>
          <w:color w:val="000000"/>
        </w:rPr>
        <w:t>Неданъчните приходи също бележат ръст спрямо 2012 г., като добро е изпълнението на приходите от дивидент за държавата от предприятия с държавно участие в капитала, приходите от държавни и съдебни такси и др.</w:t>
      </w:r>
      <w:r>
        <w:rPr>
          <w:color w:val="000000"/>
        </w:rPr>
        <w:t xml:space="preserve"> </w:t>
      </w:r>
      <w:r w:rsidRPr="002A1932">
        <w:rPr>
          <w:color w:val="000000"/>
        </w:rPr>
        <w:t>Въпреки възникналите проблеми по Оперативна програма „Околна среда”, довели до временно спиране на въ</w:t>
      </w:r>
      <w:r>
        <w:rPr>
          <w:color w:val="000000"/>
        </w:rPr>
        <w:t>з</w:t>
      </w:r>
      <w:r w:rsidRPr="002A1932">
        <w:rPr>
          <w:color w:val="000000"/>
        </w:rPr>
        <w:t>становяването от страна на ЕК на средствата по сертифицирани и декларирани за възстановяване разходи по програмата постъпленията в частта на помощите също бележат ръст спрямо предходната година (0</w:t>
      </w:r>
      <w:r>
        <w:rPr>
          <w:color w:val="000000"/>
        </w:rPr>
        <w:t>,</w:t>
      </w:r>
      <w:r w:rsidRPr="002A1932">
        <w:rPr>
          <w:color w:val="000000"/>
        </w:rPr>
        <w:t>4 п.п. от БВП). Това е израз на ускореното усвояване на средствата от европейските фондове, проектите по които навлизат в заключителна фаза с края на програмния период 2007 – 2013 г.</w:t>
      </w:r>
    </w:p>
    <w:p w:rsidR="000938C1" w:rsidRPr="002A1932" w:rsidRDefault="000938C1" w:rsidP="002A1932">
      <w:pPr>
        <w:jc w:val="both"/>
        <w:rPr>
          <w:color w:val="008080"/>
          <w:sz w:val="12"/>
          <w:szCs w:val="12"/>
        </w:rPr>
      </w:pPr>
    </w:p>
    <w:p w:rsidR="000938C1" w:rsidRDefault="000938C1" w:rsidP="002A1932">
      <w:pPr>
        <w:jc w:val="both"/>
        <w:rPr>
          <w:color w:val="000000"/>
        </w:rPr>
      </w:pPr>
      <w:r w:rsidRPr="002A1932">
        <w:rPr>
          <w:color w:val="000000"/>
        </w:rPr>
        <w:t>Общите разходи за 2013 г. са в размер на 3</w:t>
      </w:r>
      <w:r>
        <w:rPr>
          <w:color w:val="000000"/>
        </w:rPr>
        <w:t>8,9</w:t>
      </w:r>
      <w:r w:rsidRPr="002A1932">
        <w:rPr>
          <w:color w:val="000000"/>
        </w:rPr>
        <w:t xml:space="preserve"> % от БВП, което представлява нарастване с 3</w:t>
      </w:r>
      <w:r>
        <w:rPr>
          <w:color w:val="000000"/>
        </w:rPr>
        <w:t>,</w:t>
      </w:r>
      <w:r w:rsidRPr="002A1932">
        <w:rPr>
          <w:color w:val="000000"/>
        </w:rPr>
        <w:t xml:space="preserve">3 п.п. от БВП спрямо предходната година. Разходните политики </w:t>
      </w:r>
      <w:r>
        <w:rPr>
          <w:color w:val="000000"/>
        </w:rPr>
        <w:t>бяха</w:t>
      </w:r>
      <w:r w:rsidRPr="002A1932">
        <w:rPr>
          <w:color w:val="000000"/>
        </w:rPr>
        <w:t xml:space="preserve"> фокусира</w:t>
      </w:r>
      <w:r>
        <w:rPr>
          <w:color w:val="000000"/>
        </w:rPr>
        <w:t>ни основно</w:t>
      </w:r>
      <w:r w:rsidRPr="002A1932">
        <w:rPr>
          <w:color w:val="000000"/>
        </w:rPr>
        <w:t xml:space="preserve"> върху мерки за насърчаване на икономическия растеж и за засилване на социалната защита на най-уязвимите групи от населението. След като в продължение на 3 години пенсиите бяха замразени</w:t>
      </w:r>
      <w:r>
        <w:rPr>
          <w:color w:val="000000"/>
        </w:rPr>
        <w:t>,</w:t>
      </w:r>
      <w:r w:rsidRPr="002A1932">
        <w:rPr>
          <w:color w:val="000000"/>
        </w:rPr>
        <w:t xml:space="preserve"> през 2013 г. бе извършена индексация на пенсиите и бяха изплатени коледни добавки за пенсионерите с най-ниски пенсии. При политиките по социалното подпомагане също бяха направени промени, като бяха осъвременени отпусканите обезщетения, вкл. помощите за отглеждане на малко дете, месечната добавка за отглеждане на дете с трайни увреждания и др.</w:t>
      </w:r>
      <w:r>
        <w:rPr>
          <w:color w:val="000000"/>
        </w:rPr>
        <w:t xml:space="preserve"> </w:t>
      </w:r>
      <w:r w:rsidRPr="002A1932">
        <w:rPr>
          <w:color w:val="000000"/>
        </w:rPr>
        <w:t>Допълнителни ресурси бяха осигурени и за системата на здравеопазването.</w:t>
      </w:r>
      <w:r>
        <w:rPr>
          <w:color w:val="000000"/>
        </w:rPr>
        <w:t xml:space="preserve"> </w:t>
      </w:r>
      <w:r w:rsidRPr="002A1932">
        <w:rPr>
          <w:color w:val="000000"/>
        </w:rPr>
        <w:t>Социалните и здравноосигурителните разходи нарас</w:t>
      </w:r>
      <w:r>
        <w:rPr>
          <w:color w:val="000000"/>
        </w:rPr>
        <w:t>наха</w:t>
      </w:r>
      <w:r w:rsidRPr="002A1932">
        <w:rPr>
          <w:color w:val="000000"/>
        </w:rPr>
        <w:t xml:space="preserve"> с 1</w:t>
      </w:r>
      <w:r>
        <w:rPr>
          <w:color w:val="000000"/>
        </w:rPr>
        <w:t>,</w:t>
      </w:r>
      <w:r w:rsidRPr="002A1932">
        <w:rPr>
          <w:color w:val="000000"/>
        </w:rPr>
        <w:t>1 п.п. от БВП спрямо предходната година, като основен принос за този ръст има</w:t>
      </w:r>
      <w:r>
        <w:rPr>
          <w:color w:val="000000"/>
        </w:rPr>
        <w:t>ше</w:t>
      </w:r>
      <w:r w:rsidRPr="002A1932">
        <w:rPr>
          <w:color w:val="000000"/>
        </w:rPr>
        <w:t xml:space="preserve"> увеличението на пенсиите от 1 април 2013 г.</w:t>
      </w:r>
      <w:r>
        <w:rPr>
          <w:color w:val="000000"/>
        </w:rPr>
        <w:t xml:space="preserve"> </w:t>
      </w:r>
      <w:r w:rsidRPr="002A1932">
        <w:rPr>
          <w:color w:val="000000"/>
        </w:rPr>
        <w:t>Освен тези политики основен приоритет в разходната част бяха капиталовите и инвестиционни разходи (нарастване с 0</w:t>
      </w:r>
      <w:r>
        <w:rPr>
          <w:color w:val="000000"/>
        </w:rPr>
        <w:t>,</w:t>
      </w:r>
      <w:r w:rsidRPr="002A1932">
        <w:rPr>
          <w:color w:val="000000"/>
        </w:rPr>
        <w:t>6 п.п. от БВП спрямо 2012 г.), подкрепен</w:t>
      </w:r>
      <w:r>
        <w:rPr>
          <w:color w:val="000000"/>
        </w:rPr>
        <w:t>и</w:t>
      </w:r>
      <w:r w:rsidRPr="002A1932">
        <w:rPr>
          <w:color w:val="000000"/>
        </w:rPr>
        <w:t xml:space="preserve"> значително от ускореното разплащане на проекти, изпълнявани по линия на европейските фондове. Значителен дял заемат средствата за изграждането на обекти от транспортната инфраструктура, инфраструктурата за опазването на околната среда и други аспекти на регионалното развитие. През 2013 г. е значителен и размер</w:t>
      </w:r>
      <w:r>
        <w:rPr>
          <w:color w:val="000000"/>
        </w:rPr>
        <w:t>ът</w:t>
      </w:r>
      <w:r w:rsidRPr="002A1932">
        <w:rPr>
          <w:color w:val="000000"/>
        </w:rPr>
        <w:t xml:space="preserve"> на разплатените средства по проектите, подпомагащи конкурентоспособността на икономиката и развитието на човешките ресурси.</w:t>
      </w:r>
      <w:r>
        <w:rPr>
          <w:color w:val="000000"/>
        </w:rPr>
        <w:t xml:space="preserve"> </w:t>
      </w:r>
      <w:r w:rsidRPr="002A1932">
        <w:rPr>
          <w:color w:val="000000"/>
        </w:rPr>
        <w:t>Разходите за заплати и възнаграждения за персонала нарастват с 0</w:t>
      </w:r>
      <w:r>
        <w:rPr>
          <w:color w:val="000000"/>
        </w:rPr>
        <w:t>,</w:t>
      </w:r>
      <w:r w:rsidRPr="002A1932">
        <w:rPr>
          <w:color w:val="000000"/>
        </w:rPr>
        <w:t xml:space="preserve">4 п.п. от БВП спрямо 2012 г., основно поради ръст на заплатите в системите на някои автономни бюджети (главно общини), които са самостоятелни при управлението на бюджетите си, както </w:t>
      </w:r>
      <w:r w:rsidRPr="00420AAF">
        <w:rPr>
          <w:color w:val="000000"/>
        </w:rPr>
        <w:t xml:space="preserve">и поради увеличаване на усвоените средства по програмите и фондовете на ЕС с характер на заплати и възнаграждения. </w:t>
      </w:r>
      <w:r>
        <w:rPr>
          <w:color w:val="000000"/>
        </w:rPr>
        <w:t>Следва да се отбележи, че р</w:t>
      </w:r>
      <w:r w:rsidRPr="00420AAF">
        <w:rPr>
          <w:color w:val="000000"/>
        </w:rPr>
        <w:t>азходите</w:t>
      </w:r>
      <w:r w:rsidRPr="002A1932">
        <w:rPr>
          <w:color w:val="000000"/>
        </w:rPr>
        <w:t xml:space="preserve"> за заплати и възнаграждения по републиканския бюджет за годината са по-ниски от планираните с разчетите към ЗДБРБ за 2013 г.</w:t>
      </w:r>
      <w:r>
        <w:rPr>
          <w:color w:val="000000"/>
        </w:rPr>
        <w:t xml:space="preserve"> </w:t>
      </w:r>
      <w:r w:rsidRPr="002A1932">
        <w:rPr>
          <w:color w:val="000000"/>
        </w:rPr>
        <w:t xml:space="preserve">Нарастване </w:t>
      </w:r>
      <w:r>
        <w:rPr>
          <w:color w:val="000000"/>
        </w:rPr>
        <w:t xml:space="preserve">с 0,4 п.п. от БВП спрямо 2012 г. </w:t>
      </w:r>
      <w:r w:rsidRPr="002A1932">
        <w:rPr>
          <w:color w:val="000000"/>
        </w:rPr>
        <w:t>има и при разходите за осигурителни вноски, което е свързано с увеличение на осигурителните вноски на работещите в специалните ведомства, като това съответно оказва и ефект при постъпленията от осигурителни вноски и има неутрално влияние върху бюджетното салдо. Нивото на лихвените разходи – 0</w:t>
      </w:r>
      <w:r>
        <w:rPr>
          <w:color w:val="000000"/>
        </w:rPr>
        <w:t>,</w:t>
      </w:r>
      <w:r w:rsidRPr="002A1932">
        <w:rPr>
          <w:color w:val="000000"/>
        </w:rPr>
        <w:t>9</w:t>
      </w:r>
      <w:r>
        <w:rPr>
          <w:color w:val="000000"/>
        </w:rPr>
        <w:t xml:space="preserve"> </w:t>
      </w:r>
      <w:r w:rsidRPr="002A1932">
        <w:rPr>
          <w:color w:val="000000"/>
        </w:rPr>
        <w:t>% от БВП,</w:t>
      </w:r>
      <w:r>
        <w:rPr>
          <w:color w:val="000000"/>
        </w:rPr>
        <w:t xml:space="preserve"> </w:t>
      </w:r>
      <w:r w:rsidRPr="002A1932">
        <w:rPr>
          <w:color w:val="000000"/>
        </w:rPr>
        <w:t>бележи ръст от 0</w:t>
      </w:r>
      <w:r>
        <w:rPr>
          <w:color w:val="000000"/>
        </w:rPr>
        <w:t>,</w:t>
      </w:r>
      <w:r w:rsidRPr="002A1932">
        <w:rPr>
          <w:color w:val="000000"/>
        </w:rPr>
        <w:t xml:space="preserve">1 п.п. в сравнение с 2012 г., което се дължи основно на изплатения лихвен купон по погашението на глобалните облигации през януари 2013 година. </w:t>
      </w:r>
    </w:p>
    <w:p w:rsidR="000938C1" w:rsidRPr="002A1932" w:rsidRDefault="000938C1" w:rsidP="002A1932">
      <w:pPr>
        <w:jc w:val="both"/>
        <w:rPr>
          <w:color w:val="000000"/>
        </w:rPr>
      </w:pPr>
    </w:p>
    <w:p w:rsidR="000938C1" w:rsidRPr="00CF1A14" w:rsidRDefault="000938C1" w:rsidP="00A566BA">
      <w:pPr>
        <w:spacing w:after="120"/>
        <w:jc w:val="both"/>
        <w:rPr>
          <w:color w:val="0070C0"/>
          <w:sz w:val="8"/>
          <w:szCs w:val="8"/>
        </w:rPr>
      </w:pPr>
    </w:p>
    <w:p w:rsidR="000938C1" w:rsidRPr="005F2281" w:rsidRDefault="000938C1" w:rsidP="00F30F79">
      <w:pPr>
        <w:pStyle w:val="Heading3"/>
        <w:numPr>
          <w:ilvl w:val="1"/>
          <w:numId w:val="39"/>
        </w:numPr>
        <w:spacing w:after="240"/>
        <w:ind w:left="788" w:hanging="431"/>
        <w:rPr>
          <w:rFonts w:ascii="Times New Roman" w:hAnsi="Times New Roman" w:cs="Times New Roman"/>
          <w:sz w:val="24"/>
          <w:szCs w:val="24"/>
          <w:lang w:val="bg-BG"/>
        </w:rPr>
      </w:pPr>
      <w:bookmarkStart w:id="91" w:name="_Toc393728051"/>
      <w:r w:rsidRPr="005F2281">
        <w:rPr>
          <w:rFonts w:ascii="Times New Roman" w:hAnsi="Times New Roman" w:cs="Times New Roman"/>
          <w:sz w:val="24"/>
          <w:szCs w:val="24"/>
          <w:lang w:val="bg-BG"/>
        </w:rPr>
        <w:t>Промени в данъчното облагане през 201</w:t>
      </w:r>
      <w:r w:rsidRPr="00420AAF">
        <w:rPr>
          <w:rFonts w:ascii="Times New Roman" w:hAnsi="Times New Roman" w:cs="Times New Roman"/>
          <w:sz w:val="24"/>
          <w:szCs w:val="24"/>
          <w:lang w:val="en-US"/>
        </w:rPr>
        <w:t>3</w:t>
      </w:r>
      <w:r w:rsidRPr="005F2281">
        <w:rPr>
          <w:rFonts w:ascii="Times New Roman" w:hAnsi="Times New Roman" w:cs="Times New Roman"/>
          <w:sz w:val="24"/>
          <w:szCs w:val="24"/>
          <w:lang w:val="bg-BG"/>
        </w:rPr>
        <w:t xml:space="preserve"> г.</w:t>
      </w:r>
      <w:bookmarkEnd w:id="71"/>
      <w:bookmarkEnd w:id="72"/>
      <w:bookmarkEnd w:id="91"/>
    </w:p>
    <w:p w:rsidR="000938C1" w:rsidRDefault="000938C1" w:rsidP="005F2281">
      <w:pPr>
        <w:pStyle w:val="BodyText"/>
        <w:ind w:firstLine="540"/>
        <w:jc w:val="both"/>
        <w:rPr>
          <w:lang w:val="ru-RU"/>
        </w:rPr>
      </w:pPr>
      <w:bookmarkStart w:id="92" w:name="_Toc262637565"/>
      <w:bookmarkStart w:id="93" w:name="_Toc324863396"/>
      <w:bookmarkStart w:id="94" w:name="_Toc136519952"/>
      <w:bookmarkStart w:id="95" w:name="_Toc136597720"/>
      <w:bookmarkStart w:id="96" w:name="_Toc136601623"/>
      <w:bookmarkStart w:id="97" w:name="_Toc166304018"/>
      <w:bookmarkStart w:id="98" w:name="_Toc166381578"/>
      <w:bookmarkStart w:id="99" w:name="_Toc167005093"/>
      <w:bookmarkStart w:id="100" w:name="_Toc261276563"/>
      <w:r w:rsidRPr="00CF1A14">
        <w:rPr>
          <w:color w:val="0070C0"/>
        </w:rPr>
        <w:tab/>
      </w:r>
      <w:r>
        <w:t>Основните промени в данъчните закони през 201</w:t>
      </w:r>
      <w:r>
        <w:rPr>
          <w:lang w:val="ru-RU"/>
        </w:rPr>
        <w:t>3</w:t>
      </w:r>
      <w:r>
        <w:t xml:space="preserve"> г. бяха насочени в подкрепа на макроикономическата стабилност и икономическия растеж. Целта на данъчно-осигурителната политика и действията на приходните администрации беше осигуряването на ресурс за изпълнение на планираните политики за годината, подобряване на бизнес средата и стимулиране на икономическата активност, както и ограничаване на данъчните измами. Предприети бяха конкретни мерки за засилване на контрола по събираемостта на косвените данъци от приходните администрации и усъвършенстване на съществуващите мерки срещу отклонението от данъчно облагане. </w:t>
      </w:r>
    </w:p>
    <w:p w:rsidR="000938C1" w:rsidRDefault="000938C1" w:rsidP="005F2281">
      <w:pPr>
        <w:ind w:firstLine="540"/>
        <w:jc w:val="both"/>
        <w:rPr>
          <w:szCs w:val="16"/>
        </w:rPr>
      </w:pPr>
      <w:r>
        <w:t>З</w:t>
      </w:r>
      <w:r>
        <w:rPr>
          <w:lang w:val="ru-RU"/>
        </w:rPr>
        <w:t xml:space="preserve">а разлика от предходните години, когато приходите постъпваха по код за вид плащане, през 2013 година те започнаха </w:t>
      </w:r>
      <w:r w:rsidRPr="00890DDA">
        <w:rPr>
          <w:lang w:val="ru-RU"/>
        </w:rPr>
        <w:t>да постъпват по единна сметка, да се обвръзват със задължение и да се о</w:t>
      </w:r>
      <w:r>
        <w:rPr>
          <w:lang w:val="ru-RU"/>
        </w:rPr>
        <w:t>тчитат като конкретен вид приход за данък или осигурителна вноска след изтичане на законоустановения срок за плащане на съответното задължение. </w:t>
      </w:r>
      <w:r w:rsidDel="00187783">
        <w:rPr>
          <w:lang w:val="ru-RU"/>
        </w:rPr>
        <w:t xml:space="preserve"> </w:t>
      </w:r>
    </w:p>
    <w:p w:rsidR="000938C1" w:rsidRDefault="000938C1" w:rsidP="005F2281">
      <w:pPr>
        <w:ind w:firstLine="540"/>
        <w:rPr>
          <w:b/>
        </w:rPr>
      </w:pPr>
    </w:p>
    <w:p w:rsidR="000938C1" w:rsidRDefault="000938C1" w:rsidP="005F2281">
      <w:pPr>
        <w:ind w:firstLine="540"/>
        <w:rPr>
          <w:b/>
        </w:rPr>
      </w:pPr>
    </w:p>
    <w:p w:rsidR="000938C1" w:rsidRDefault="000938C1" w:rsidP="005F2281">
      <w:pPr>
        <w:ind w:firstLine="540"/>
        <w:rPr>
          <w:b/>
        </w:rPr>
      </w:pPr>
    </w:p>
    <w:p w:rsidR="000938C1" w:rsidRPr="00890DDA" w:rsidRDefault="000938C1" w:rsidP="00F30F79">
      <w:pPr>
        <w:pStyle w:val="ListParagraph"/>
        <w:numPr>
          <w:ilvl w:val="0"/>
          <w:numId w:val="73"/>
        </w:numPr>
        <w:ind w:left="567"/>
        <w:rPr>
          <w:b/>
          <w:i/>
          <w:u w:val="single"/>
        </w:rPr>
      </w:pPr>
      <w:r w:rsidRPr="00890DDA">
        <w:rPr>
          <w:b/>
          <w:i/>
          <w:u w:val="single"/>
        </w:rPr>
        <w:t>Основни промени в данъчната облагане по Закона за корпоративното подоходно облагане (ЗКПО)</w:t>
      </w:r>
    </w:p>
    <w:p w:rsidR="000938C1" w:rsidRDefault="000938C1" w:rsidP="005F2281">
      <w:pPr>
        <w:pStyle w:val="BodyText"/>
        <w:spacing w:after="0"/>
        <w:ind w:firstLine="207"/>
        <w:jc w:val="both"/>
      </w:pPr>
    </w:p>
    <w:p w:rsidR="000938C1" w:rsidRDefault="000938C1" w:rsidP="002255D3">
      <w:pPr>
        <w:pStyle w:val="BodyText"/>
        <w:spacing w:after="0"/>
        <w:ind w:firstLine="540"/>
        <w:jc w:val="both"/>
      </w:pPr>
      <w:r>
        <w:t xml:space="preserve">През 2013 г. бе запазено нивото на данъчно облагане, а именно данъчна ставка от 10 на сто върху печалбите на местните юридически лица и чуждестранните юридически лица, осъществяващи стопанска дейност в страната чрез място на стопанска дейност и данъчна ставка от 5 на сто върху дивидентите и ликвидационните дялове. Бяха направени изменения и допълнения в ЗКПО в сила от началото на 2013 г. във връзка с въвеждането на </w:t>
      </w:r>
      <w:r w:rsidRPr="00890DDA">
        <w:t>единна сметка</w:t>
      </w:r>
      <w:r>
        <w:t xml:space="preserve"> за плащане на данъци и осигурителни вноски, както и с цел облекчаване на данъчно-задължените лица. </w:t>
      </w:r>
    </w:p>
    <w:p w:rsidR="000938C1" w:rsidRDefault="000938C1" w:rsidP="005F2281">
      <w:pPr>
        <w:pStyle w:val="BodyText"/>
        <w:spacing w:after="0"/>
        <w:ind w:firstLine="207"/>
        <w:jc w:val="both"/>
      </w:pPr>
    </w:p>
    <w:p w:rsidR="000938C1" w:rsidRDefault="000938C1" w:rsidP="00187783">
      <w:pPr>
        <w:pStyle w:val="BodyText"/>
        <w:spacing w:after="0"/>
        <w:ind w:firstLine="540"/>
        <w:jc w:val="both"/>
      </w:pPr>
      <w:r>
        <w:t>Законодателните изменения са по отношение на:</w:t>
      </w:r>
    </w:p>
    <w:p w:rsidR="000938C1" w:rsidRPr="0031761E" w:rsidRDefault="000938C1" w:rsidP="00F30F79">
      <w:pPr>
        <w:pStyle w:val="ListParagraph"/>
        <w:numPr>
          <w:ilvl w:val="0"/>
          <w:numId w:val="74"/>
        </w:numPr>
        <w:spacing w:before="120" w:after="120"/>
        <w:ind w:left="426" w:hanging="426"/>
        <w:contextualSpacing w:val="0"/>
        <w:jc w:val="both"/>
        <w:rPr>
          <w:i/>
          <w:u w:val="single"/>
        </w:rPr>
      </w:pPr>
      <w:r w:rsidRPr="0031761E">
        <w:rPr>
          <w:i/>
          <w:u w:val="single"/>
        </w:rPr>
        <w:t>Авансовите вноски</w:t>
      </w:r>
    </w:p>
    <w:p w:rsidR="000938C1" w:rsidRDefault="000938C1" w:rsidP="00F30F79">
      <w:pPr>
        <w:pStyle w:val="ListParagraph"/>
        <w:numPr>
          <w:ilvl w:val="0"/>
          <w:numId w:val="75"/>
        </w:numPr>
        <w:spacing w:after="120"/>
        <w:ind w:left="714" w:hanging="357"/>
        <w:contextualSpacing w:val="0"/>
        <w:jc w:val="both"/>
      </w:pPr>
      <w:r>
        <w:t xml:space="preserve">Разширен е кръгът данъчно задължени лица (ДЗЛ), които </w:t>
      </w:r>
      <w:r w:rsidRPr="0031761E">
        <w:t>не правят авансови вноски за корпоративен данък, кат</w:t>
      </w:r>
      <w:r>
        <w:t xml:space="preserve">о прагът за освобождаване от внасяне на авансови вноски става 300 хил. лв. за лицата, чиито нетни приходи от продажби не превишават тази сума за предходната година, както и за новоучредените дружества. Постъпленията от корпоративен данък за тези лица са изместени във времето, като същите ще постъпят в срок до 31 март </w:t>
      </w:r>
      <w:r w:rsidRPr="0031761E">
        <w:t>на следващата година.  Променен е кръгът от данъчно задължените лица, които правят месечни и тримесечни авансови вноски</w:t>
      </w:r>
      <w:r>
        <w:t xml:space="preserve"> за корпоративен данък: ДЗЛ с нетни приходи от продажби над 3 млн. лв. за предходната година правят месечни авансови вноски, а лицата с нетни приходи от продажби от 300 хил. лв. до 3 млн. лв. - тримесечни авансови вноски.</w:t>
      </w:r>
    </w:p>
    <w:p w:rsidR="000938C1" w:rsidRDefault="000938C1" w:rsidP="00F30F79">
      <w:pPr>
        <w:pStyle w:val="ListParagraph"/>
        <w:numPr>
          <w:ilvl w:val="0"/>
          <w:numId w:val="75"/>
        </w:numPr>
        <w:spacing w:after="120"/>
        <w:ind w:left="714" w:hanging="357"/>
        <w:contextualSpacing w:val="0"/>
        <w:jc w:val="both"/>
      </w:pPr>
      <w:r>
        <w:t xml:space="preserve">Авансовите вноски се правят на базата на </w:t>
      </w:r>
      <w:r w:rsidRPr="00536181">
        <w:t>прогнозна печалба,</w:t>
      </w:r>
      <w:r>
        <w:t xml:space="preserve"> определена от самите лица, която се декларира с подаването на годишната данъчна декларация за предходната година. Предоставена е възможност на ДЗЛ да подават декларации за промени на авансовите вноски, когато смятат, че ще се отличават от дължимия годишен корпоративен данък. Отпада възможността за приспадане на данъчна загуба от авансовите вноски, както и възможността надвнесеният корпоративен данък да се приспада от следващи авансови и годишни вноски.</w:t>
      </w:r>
    </w:p>
    <w:p w:rsidR="000938C1" w:rsidRDefault="000938C1" w:rsidP="00F30F79">
      <w:pPr>
        <w:pStyle w:val="ListParagraph"/>
        <w:numPr>
          <w:ilvl w:val="0"/>
          <w:numId w:val="75"/>
        </w:numPr>
        <w:spacing w:after="120"/>
        <w:ind w:left="714" w:hanging="357"/>
        <w:contextualSpacing w:val="0"/>
        <w:jc w:val="both"/>
      </w:pPr>
      <w:r>
        <w:t>Месечните авансови вноски за периода януари – март се внасят в срок до 15-то число на месец април на текущата година. За месеците от април до декември – в срок до 15-то число на месеца, за който се отнасят. Тримесечните авансови вноски за първото и второто тримесечие се внасят в срок до 15-то число на месеца, следващ тримесечието. За третото тримесечие в срок до 15 септември, като за четвъртото тримесечие не се прави тримесечна авансова вноска.</w:t>
      </w:r>
    </w:p>
    <w:p w:rsidR="000938C1" w:rsidRPr="00536181" w:rsidRDefault="000938C1" w:rsidP="00F30F79">
      <w:pPr>
        <w:pStyle w:val="ListParagraph"/>
        <w:numPr>
          <w:ilvl w:val="0"/>
          <w:numId w:val="74"/>
        </w:numPr>
        <w:spacing w:before="120" w:after="120"/>
        <w:ind w:left="426" w:hanging="426"/>
        <w:contextualSpacing w:val="0"/>
        <w:jc w:val="both"/>
        <w:rPr>
          <w:i/>
          <w:u w:val="single"/>
        </w:rPr>
      </w:pPr>
      <w:r w:rsidRPr="00536181">
        <w:rPr>
          <w:i/>
          <w:u w:val="single"/>
        </w:rPr>
        <w:t xml:space="preserve">Данъците върху разходите </w:t>
      </w:r>
    </w:p>
    <w:p w:rsidR="000938C1" w:rsidRDefault="000938C1" w:rsidP="005F2281">
      <w:pPr>
        <w:pStyle w:val="ListParagraph"/>
        <w:ind w:left="0"/>
        <w:jc w:val="both"/>
      </w:pPr>
      <w:r>
        <w:t xml:space="preserve">Данъците върху разходите </w:t>
      </w:r>
      <w:r w:rsidRPr="00536181">
        <w:t>(върху представителните разходи, социалните разходи, разходите за допълнително до</w:t>
      </w:r>
      <w:r>
        <w:t>броволно осигуряване и застраховане, за ваучери за храна и разходите, свързани с експлоатация на превозни средства, когато с тях се осъществява управленска дейност)</w:t>
      </w:r>
      <w:r w:rsidRPr="00536181">
        <w:rPr>
          <w:b/>
        </w:rPr>
        <w:t xml:space="preserve">, </w:t>
      </w:r>
      <w:r w:rsidRPr="00003E8F">
        <w:t>върху приходите на бюджетните предприятия и върху дейността от опериране на кораби</w:t>
      </w:r>
      <w:r>
        <w:t xml:space="preserve"> от началото на 2013 г. вместо ежемесечно започват да се начисляват върху годишна данъчна основа и да се внасят еднократно в срок до 31 март на следващата година.</w:t>
      </w:r>
    </w:p>
    <w:p w:rsidR="000938C1" w:rsidRPr="00003E8F" w:rsidRDefault="000938C1" w:rsidP="00F30F79">
      <w:pPr>
        <w:pStyle w:val="ListParagraph"/>
        <w:numPr>
          <w:ilvl w:val="0"/>
          <w:numId w:val="74"/>
        </w:numPr>
        <w:spacing w:before="120" w:after="120"/>
        <w:ind w:left="426" w:hanging="426"/>
        <w:contextualSpacing w:val="0"/>
        <w:jc w:val="both"/>
        <w:rPr>
          <w:i/>
          <w:u w:val="single"/>
        </w:rPr>
      </w:pPr>
      <w:r w:rsidRPr="00003E8F">
        <w:rPr>
          <w:i/>
          <w:u w:val="single"/>
        </w:rPr>
        <w:t xml:space="preserve"> Данък при източника</w:t>
      </w:r>
    </w:p>
    <w:p w:rsidR="000938C1" w:rsidRDefault="000938C1" w:rsidP="005F2281">
      <w:pPr>
        <w:ind w:firstLine="540"/>
        <w:jc w:val="both"/>
      </w:pPr>
      <w:r>
        <w:t>Лицата, задължени да удържат и внасят данък при източника декларират дължимия данък за тримесечието в срок до края на месеца, следващ тримесечието. Промяната се състои в това, че лицата декларират дължимите суми, а не удържаните и внесени данъци по режима, действащ до 31.12.2012 година. Дължимите данъци се внасят в срок до края на месеца, следващ тримесечието, през което е възникнало данъчното задължение.</w:t>
      </w:r>
    </w:p>
    <w:p w:rsidR="000938C1" w:rsidRPr="00647F15" w:rsidRDefault="000938C1" w:rsidP="00F30F79">
      <w:pPr>
        <w:pStyle w:val="ListParagraph"/>
        <w:numPr>
          <w:ilvl w:val="0"/>
          <w:numId w:val="74"/>
        </w:numPr>
        <w:spacing w:before="120" w:after="120"/>
        <w:ind w:left="426" w:hanging="426"/>
        <w:contextualSpacing w:val="0"/>
        <w:jc w:val="both"/>
        <w:rPr>
          <w:i/>
          <w:u w:val="single"/>
        </w:rPr>
      </w:pPr>
      <w:r w:rsidRPr="00647F15">
        <w:rPr>
          <w:i/>
          <w:u w:val="single"/>
        </w:rPr>
        <w:t xml:space="preserve">Корекция на данъчни задължения, включително и в следствие на счетоводни грешки </w:t>
      </w:r>
    </w:p>
    <w:p w:rsidR="000938C1" w:rsidRDefault="000938C1" w:rsidP="00FA5C0A">
      <w:pPr>
        <w:spacing w:after="240"/>
        <w:jc w:val="both"/>
      </w:pPr>
      <w:r>
        <w:t>От 2013 г. отпада възможността данъчно задълженото лице само да коригира данъчния финансов резултат, следствие на счетоводна грешка. Корекция е възможно да бъде направена с писмено уведомяване на компетентния орган по приходите, който предприема действия за промяна на данъчния финансов резултат и на задължението за съответния данъчен период.</w:t>
      </w:r>
    </w:p>
    <w:p w:rsidR="000938C1" w:rsidRDefault="000938C1" w:rsidP="002255D3">
      <w:pPr>
        <w:pStyle w:val="BodyText"/>
        <w:spacing w:after="0"/>
        <w:ind w:firstLine="540"/>
        <w:jc w:val="both"/>
      </w:pPr>
      <w:r>
        <w:t xml:space="preserve">На база на въведените промени в режимите и сроковете за внасяне на някои данъци част от данъчните постъпления бяха изместени в следващи отчетни периоди. </w:t>
      </w:r>
    </w:p>
    <w:p w:rsidR="000938C1" w:rsidRPr="002255D3" w:rsidRDefault="000938C1" w:rsidP="00FA5C0A">
      <w:pPr>
        <w:spacing w:after="240"/>
        <w:jc w:val="both"/>
        <w:rPr>
          <w:sz w:val="2"/>
          <w:szCs w:val="2"/>
        </w:rPr>
      </w:pPr>
    </w:p>
    <w:p w:rsidR="000938C1" w:rsidRPr="00CF7F7B" w:rsidRDefault="000938C1" w:rsidP="00FA5C0A">
      <w:pPr>
        <w:pStyle w:val="ListParagraph"/>
        <w:numPr>
          <w:ilvl w:val="0"/>
          <w:numId w:val="73"/>
        </w:numPr>
        <w:spacing w:before="120" w:after="240"/>
        <w:ind w:left="567" w:hanging="357"/>
        <w:contextualSpacing w:val="0"/>
        <w:rPr>
          <w:b/>
          <w:i/>
          <w:u w:val="single"/>
        </w:rPr>
      </w:pPr>
      <w:r w:rsidRPr="00CF7F7B">
        <w:rPr>
          <w:b/>
          <w:i/>
          <w:u w:val="single"/>
        </w:rPr>
        <w:t xml:space="preserve"> Основни промени в данъчното облагане по Закона за данъците върху доходите на физическите лица (ЗДДФЛ)</w:t>
      </w:r>
    </w:p>
    <w:p w:rsidR="000938C1" w:rsidRDefault="000938C1" w:rsidP="00673D4D">
      <w:pPr>
        <w:ind w:firstLine="540"/>
        <w:jc w:val="both"/>
      </w:pPr>
      <w:r>
        <w:t>От началото на 2013 г. с въвеждането на единната сметка в ЗДДФЛ също бяха направени някои законодателни изменения:</w:t>
      </w:r>
    </w:p>
    <w:p w:rsidR="000938C1" w:rsidRPr="00CF7F7B" w:rsidRDefault="000938C1" w:rsidP="00F30F79">
      <w:pPr>
        <w:pStyle w:val="ListParagraph"/>
        <w:numPr>
          <w:ilvl w:val="0"/>
          <w:numId w:val="74"/>
        </w:numPr>
        <w:spacing w:before="120" w:after="120"/>
        <w:ind w:left="426" w:hanging="426"/>
        <w:contextualSpacing w:val="0"/>
        <w:jc w:val="both"/>
      </w:pPr>
      <w:r w:rsidRPr="00CF7F7B">
        <w:t xml:space="preserve">Лицата, извършващи стопанска дейност като търговци по смисъла на </w:t>
      </w:r>
      <w:hyperlink r:id="rId19" w:history="1">
        <w:r w:rsidRPr="00CF7F7B">
          <w:t>Търговския закон</w:t>
        </w:r>
      </w:hyperlink>
      <w:r w:rsidRPr="00CF7F7B">
        <w:t xml:space="preserve">, включително едноличните търговци, както и физическите лица в случаите по </w:t>
      </w:r>
      <w:hyperlink r:id="rId20" w:history="1">
        <w:r w:rsidRPr="00CF7F7B">
          <w:t>чл. 29</w:t>
        </w:r>
        <w:r>
          <w:t xml:space="preserve"> </w:t>
        </w:r>
        <w:r w:rsidRPr="00CF7F7B">
          <w:t>а</w:t>
        </w:r>
      </w:hyperlink>
      <w:r w:rsidRPr="00CF7F7B">
        <w:t xml:space="preserve"> от ЗДДФЛ, правят авансови вноски при условията и по реда на </w:t>
      </w:r>
      <w:hyperlink r:id="rId21" w:history="1">
        <w:r w:rsidRPr="00CF7F7B">
          <w:t>ЗКПО,</w:t>
        </w:r>
      </w:hyperlink>
      <w:r w:rsidRPr="00CF7F7B">
        <w:t xml:space="preserve"> като законодателните изменения в ЗКПО, свързани със сроковете за деклариране и внасяне на данъка, се отнасят за тези лица. </w:t>
      </w:r>
    </w:p>
    <w:p w:rsidR="000938C1" w:rsidRDefault="000938C1" w:rsidP="00F30F79">
      <w:pPr>
        <w:pStyle w:val="ListParagraph"/>
        <w:numPr>
          <w:ilvl w:val="0"/>
          <w:numId w:val="74"/>
        </w:numPr>
        <w:spacing w:before="120" w:after="120"/>
        <w:ind w:left="426" w:hanging="426"/>
        <w:contextualSpacing w:val="0"/>
        <w:jc w:val="both"/>
      </w:pPr>
      <w:r>
        <w:t xml:space="preserve">С направените промени се изравняват задълженията, свързани със сроковете и механизма за внасяне на авансовия данък за </w:t>
      </w:r>
      <w:r w:rsidRPr="00CF7F7B">
        <w:t>доходите от наем, от извънтрудови правоотношения и друга стопанска дейност</w:t>
      </w:r>
      <w:r>
        <w:t xml:space="preserve"> и те вече не зависят от статута на платеца на дохода. Съгласно действащите до 2013 г. разпоредби, сроковете за внасяне се различаваха в зависимост от това чие е задължението за внасяне на данъка: когато задължението е на платеца на доходите, внасянето на авансовия данък беше месечно – в срок до 10-то число на следващия месец, а когато задължението за внасяне е на физическото лице, придобило дохода, се предвиждаше тримесечно внасяне (без четвърто тримесечие) и срокът беше до 15-то число на месеца, следващ тримесечието на придобиването на дохода. От началото на 2013 г. се въведе еднакво тримесечно деклариране и внасяне на данъка за доходите от този вид. Данъкът се внася от физическото лице, придобило дохода, или се удържа и внася от предприятието или от самоосигуряващото се лице-платец на дохода в срок </w:t>
      </w:r>
      <w:r w:rsidRPr="00CF7F7B">
        <w:t xml:space="preserve">до края на месеца, следващ тримесечието на придобиването на доходи или начисляването/изплащането на дохода от предприятието или от самоосигуряващото се лице. </w:t>
      </w:r>
      <w:r>
        <w:t>Не се дължи авансов данък за четвъртото тримесечие и не се подава декларация.</w:t>
      </w:r>
    </w:p>
    <w:p w:rsidR="000938C1" w:rsidRDefault="000938C1" w:rsidP="00F30F79">
      <w:pPr>
        <w:pStyle w:val="ListParagraph"/>
        <w:numPr>
          <w:ilvl w:val="0"/>
          <w:numId w:val="74"/>
        </w:numPr>
        <w:spacing w:before="120" w:after="120"/>
        <w:ind w:left="426" w:hanging="426"/>
        <w:contextualSpacing w:val="0"/>
        <w:jc w:val="both"/>
      </w:pPr>
      <w:bookmarkStart w:id="101" w:name="to_paragraph_id13096642"/>
      <w:bookmarkEnd w:id="101"/>
      <w:r>
        <w:t xml:space="preserve">Друго законодателно изменение е свързано с </w:t>
      </w:r>
      <w:r w:rsidRPr="00CF7F7B">
        <w:t>окончателните данъ</w:t>
      </w:r>
      <w:r>
        <w:t xml:space="preserve">ци върху доходите на чуждестранни и местни физически лица от източник в България и чужбина. Тези данъци се внасят </w:t>
      </w:r>
      <w:r w:rsidRPr="00CF7F7B">
        <w:t>на тримесечие</w:t>
      </w:r>
      <w:r>
        <w:t xml:space="preserve">, вместо ежемесечно, както бе до началото на 2013 година. </w:t>
      </w:r>
    </w:p>
    <w:p w:rsidR="000938C1" w:rsidRDefault="000938C1" w:rsidP="00187783">
      <w:pPr>
        <w:pStyle w:val="ListParagraph"/>
        <w:numPr>
          <w:ilvl w:val="0"/>
          <w:numId w:val="74"/>
        </w:numPr>
        <w:spacing w:before="120" w:after="240"/>
        <w:ind w:left="426" w:hanging="426"/>
        <w:contextualSpacing w:val="0"/>
        <w:jc w:val="both"/>
      </w:pPr>
      <w:r>
        <w:t xml:space="preserve">От 2013 г. беше стеснен обхватът на необлагаемите доходи, като с </w:t>
      </w:r>
      <w:r w:rsidRPr="00CF7F7B">
        <w:t>окончателен данък</w:t>
      </w:r>
      <w:r>
        <w:t xml:space="preserve"> започна да се облага брутната сума на придобитите от местни физически лица </w:t>
      </w:r>
      <w:r w:rsidRPr="00CF7F7B">
        <w:t>доходи от лихви по депозитни сметки</w:t>
      </w:r>
      <w:r>
        <w:t xml:space="preserve"> в търговски банки. Данъкът се удържа и внася от търговските банки и клоновете на чуждестранни банки в страната в срок до края на месеца, следващ месеца на придобиването на дохода.</w:t>
      </w:r>
    </w:p>
    <w:p w:rsidR="000938C1" w:rsidRPr="00CF7F7B" w:rsidRDefault="000938C1" w:rsidP="00FA5C0A">
      <w:pPr>
        <w:pStyle w:val="ListParagraph"/>
        <w:numPr>
          <w:ilvl w:val="0"/>
          <w:numId w:val="73"/>
        </w:numPr>
        <w:spacing w:before="120" w:after="240"/>
        <w:ind w:left="567" w:hanging="357"/>
        <w:contextualSpacing w:val="0"/>
        <w:rPr>
          <w:b/>
          <w:i/>
          <w:u w:val="single"/>
        </w:rPr>
      </w:pPr>
      <w:r w:rsidRPr="00CF7F7B">
        <w:rPr>
          <w:b/>
          <w:i/>
          <w:u w:val="single"/>
        </w:rPr>
        <w:t xml:space="preserve"> Основни промени в данъчното облагане по Закона за данък върху добавената стойност (ЗДДС)</w:t>
      </w:r>
    </w:p>
    <w:p w:rsidR="000938C1" w:rsidRDefault="000938C1" w:rsidP="00187783">
      <w:pPr>
        <w:ind w:firstLine="540"/>
        <w:jc w:val="both"/>
        <w:rPr>
          <w:color w:val="000000"/>
        </w:rPr>
      </w:pPr>
      <w:r>
        <w:rPr>
          <w:bCs/>
        </w:rPr>
        <w:t xml:space="preserve">Направените изменения в ЗДДС бяха във връзка с необходимостта от хармонизиране на българското данъчно законодателство с изискванията на европейските директиви и решения на Съда на Европейските общности в областта на косвеното облагане, както и с прецизиране на разпоредбите, създаващи затруднения при практическото прилагане на закона. </w:t>
      </w:r>
      <w:r>
        <w:t xml:space="preserve">От 1 януари 2013 г. се промени мястото на изпълнение на доставка на услуги по отдаване под наем или предоставяне за ползване на превозни средства на данъчно незадължено лице. С цел </w:t>
      </w:r>
      <w:r>
        <w:rPr>
          <w:color w:val="000000"/>
        </w:rPr>
        <w:t xml:space="preserve">по-ефикасен данъчен контрол и равнопоставено третиране на трансграничните и националните доставки, както и на електронно фактуриране, както и ясно да се разграничи държавата-членка, чиито правила за фактуриране се прилагат, се актуализираха условията и правилата за фактуриране на доставките и някои изисквания относно информацията, която следва да се посочва във фактурите. В тази връзка са направени и съответните промени в Закона за счетоводството относно фактурирането на стопанските операции. </w:t>
      </w:r>
    </w:p>
    <w:p w:rsidR="000938C1" w:rsidRPr="002255D3" w:rsidRDefault="000938C1" w:rsidP="00187783">
      <w:pPr>
        <w:ind w:firstLine="540"/>
        <w:jc w:val="both"/>
        <w:rPr>
          <w:color w:val="000000"/>
          <w:sz w:val="12"/>
          <w:szCs w:val="12"/>
        </w:rPr>
      </w:pPr>
    </w:p>
    <w:p w:rsidR="000938C1" w:rsidRDefault="000938C1" w:rsidP="00FA5C0A">
      <w:pPr>
        <w:spacing w:after="240"/>
        <w:ind w:firstLine="540"/>
        <w:jc w:val="both"/>
        <w:rPr>
          <w:bCs/>
        </w:rPr>
      </w:pPr>
      <w:r>
        <w:rPr>
          <w:bCs/>
        </w:rPr>
        <w:t xml:space="preserve">Възстановена беше правната уредба, </w:t>
      </w:r>
      <w:r>
        <w:rPr>
          <w:rFonts w:eastAsia="PMingLiU"/>
          <w:lang w:eastAsia="zh-TW" w:bidi="my-MM"/>
        </w:rPr>
        <w:t xml:space="preserve">действаща </w:t>
      </w:r>
      <w:r>
        <w:t xml:space="preserve">преди датата на присъединяването ни към ЕС </w:t>
      </w:r>
      <w:r>
        <w:rPr>
          <w:rFonts w:eastAsia="PMingLiU"/>
          <w:lang w:eastAsia="zh-TW" w:bidi="my-MM"/>
        </w:rPr>
        <w:t xml:space="preserve">по отношение на </w:t>
      </w:r>
      <w:r>
        <w:rPr>
          <w:lang w:bidi="my-MM"/>
        </w:rPr>
        <w:t xml:space="preserve">правото на приспадане на данъчен кредит </w:t>
      </w:r>
      <w:r>
        <w:t xml:space="preserve">при доставки на мотоциклети и леки автомобили и при </w:t>
      </w:r>
      <w:r>
        <w:rPr>
          <w:bCs/>
          <w:color w:val="000000"/>
        </w:rPr>
        <w:t xml:space="preserve">покупка на горива и смазочни масла, ремонт и поддръжка, резервни части и други услуги при условие, че една или повече от изброените дейности </w:t>
      </w:r>
      <w:r>
        <w:t>са основна дейност за данъчно задълженото лице.</w:t>
      </w:r>
      <w:r>
        <w:rPr>
          <w:bCs/>
        </w:rPr>
        <w:t xml:space="preserve"> Правната уредба, в сила от 1 януари 2007 г., ограничаваше това право на приспадане за посочените доставки.</w:t>
      </w:r>
    </w:p>
    <w:p w:rsidR="000938C1" w:rsidRPr="00CF7F7B" w:rsidRDefault="000938C1" w:rsidP="00FA5C0A">
      <w:pPr>
        <w:pStyle w:val="ListParagraph"/>
        <w:numPr>
          <w:ilvl w:val="0"/>
          <w:numId w:val="73"/>
        </w:numPr>
        <w:spacing w:before="120" w:after="240"/>
        <w:ind w:left="567" w:hanging="357"/>
        <w:contextualSpacing w:val="0"/>
        <w:rPr>
          <w:b/>
          <w:i/>
          <w:u w:val="single"/>
        </w:rPr>
      </w:pPr>
      <w:r w:rsidRPr="00CF7F7B">
        <w:rPr>
          <w:b/>
          <w:i/>
          <w:u w:val="single"/>
        </w:rPr>
        <w:t xml:space="preserve"> Основни промени в данъчното облагане по Закона за акцизите и данъчните складове </w:t>
      </w:r>
    </w:p>
    <w:p w:rsidR="000938C1" w:rsidRDefault="000938C1" w:rsidP="005F2281">
      <w:pPr>
        <w:jc w:val="both"/>
      </w:pPr>
      <w:r>
        <w:t>От началото на 201</w:t>
      </w:r>
      <w:r>
        <w:rPr>
          <w:lang w:val="ru-RU"/>
        </w:rPr>
        <w:t xml:space="preserve">3 </w:t>
      </w:r>
      <w:r>
        <w:t xml:space="preserve">г., </w:t>
      </w:r>
      <w:r>
        <w:rPr>
          <w:lang w:val="ru-RU"/>
        </w:rPr>
        <w:t xml:space="preserve">в съответствие с договорения с Европейската комисия график за промените в нивата на акцизните ставки, се увеличиха ставките на дизела и </w:t>
      </w:r>
      <w:r>
        <w:t xml:space="preserve">керосина  от </w:t>
      </w:r>
      <w:r>
        <w:rPr>
          <w:lang w:val="ru-RU"/>
        </w:rPr>
        <w:t xml:space="preserve">630 </w:t>
      </w:r>
      <w:r>
        <w:t xml:space="preserve">лв./1000л. на </w:t>
      </w:r>
      <w:r>
        <w:rPr>
          <w:lang w:val="ru-RU"/>
        </w:rPr>
        <w:t xml:space="preserve">645 </w:t>
      </w:r>
      <w:r>
        <w:t xml:space="preserve">лв./1000л. Направиха се и някои технически промени, водещи до намаляване на административната тежест за лицата, които извършват дейности с акцизни стоки. </w:t>
      </w:r>
      <w:r>
        <w:rPr>
          <w:lang w:val="ru-RU"/>
        </w:rPr>
        <w:t>С цел подобряване на контрола, увеличаване на събираемостта на акциз и ДДС и гарантиране на равнопоставеността между икономическите оператори беше</w:t>
      </w:r>
      <w:r>
        <w:t xml:space="preserve"> изградена Българската акцизна централизирана информационна система (БАЦИС), </w:t>
      </w:r>
      <w:r>
        <w:rPr>
          <w:lang w:val="ru-RU"/>
        </w:rPr>
        <w:t xml:space="preserve">внедрена в реална експлоатация от 01.04.2013 г. </w:t>
      </w:r>
      <w:r>
        <w:rPr>
          <w:bCs/>
          <w:lang w:val="ru-RU"/>
        </w:rPr>
        <w:t>В тази</w:t>
      </w:r>
      <w:r>
        <w:t xml:space="preserve"> връзка бяха приети изменения в закона,свързани със създаване на възможност данъчнозадължените лица да подават по електронен път </w:t>
      </w:r>
      <w:r>
        <w:rPr>
          <w:lang w:val="ru-RU"/>
        </w:rPr>
        <w:t xml:space="preserve">акцизните данъчни документи, известията към тях и документите, свързани с доказване на предназначението на акцизните продукти, за които се прилагат намалени акцизни ставки. </w:t>
      </w:r>
      <w:r>
        <w:t xml:space="preserve">БАЦИС гарантира автоматизиране на процеса по обмен на информация и по-ефикасен контрол на цялостната верига за реализацията на акцизните стоки, както и обмена на информация по електронен път между Агенция „Митници” и Националната агенция за приходите. </w:t>
      </w:r>
    </w:p>
    <w:p w:rsidR="000938C1" w:rsidRDefault="000938C1" w:rsidP="005F2281">
      <w:pPr>
        <w:jc w:val="both"/>
      </w:pPr>
    </w:p>
    <w:p w:rsidR="000938C1" w:rsidRDefault="000938C1" w:rsidP="005F2281">
      <w:pPr>
        <w:jc w:val="both"/>
      </w:pPr>
    </w:p>
    <w:p w:rsidR="000938C1" w:rsidRDefault="000938C1" w:rsidP="005F2281">
      <w:pPr>
        <w:jc w:val="both"/>
      </w:pPr>
    </w:p>
    <w:p w:rsidR="000938C1" w:rsidRDefault="000938C1" w:rsidP="005F2281">
      <w:pPr>
        <w:jc w:val="both"/>
      </w:pPr>
    </w:p>
    <w:p w:rsidR="000938C1" w:rsidRDefault="000938C1" w:rsidP="005F2281">
      <w:pPr>
        <w:jc w:val="both"/>
      </w:pPr>
    </w:p>
    <w:p w:rsidR="000938C1" w:rsidRDefault="000938C1" w:rsidP="005F2281">
      <w:pPr>
        <w:jc w:val="both"/>
      </w:pPr>
    </w:p>
    <w:p w:rsidR="000938C1" w:rsidRDefault="000938C1" w:rsidP="005F2281">
      <w:pPr>
        <w:jc w:val="both"/>
      </w:pPr>
    </w:p>
    <w:p w:rsidR="000938C1" w:rsidRDefault="000938C1" w:rsidP="005F2281">
      <w:pPr>
        <w:jc w:val="both"/>
      </w:pPr>
    </w:p>
    <w:p w:rsidR="000938C1" w:rsidRDefault="000938C1" w:rsidP="005F2281">
      <w:pPr>
        <w:jc w:val="both"/>
      </w:pPr>
    </w:p>
    <w:p w:rsidR="000938C1" w:rsidRDefault="000938C1" w:rsidP="005F2281">
      <w:pPr>
        <w:jc w:val="both"/>
      </w:pPr>
    </w:p>
    <w:p w:rsidR="000938C1" w:rsidRDefault="000938C1" w:rsidP="00E266D9">
      <w:pPr>
        <w:pStyle w:val="Heading3"/>
        <w:numPr>
          <w:ilvl w:val="1"/>
          <w:numId w:val="40"/>
        </w:numPr>
        <w:rPr>
          <w:rFonts w:ascii="Times New Roman" w:hAnsi="Times New Roman"/>
          <w:sz w:val="24"/>
          <w:lang w:val="bg-BG"/>
        </w:rPr>
      </w:pPr>
      <w:bookmarkStart w:id="102" w:name="_Toc357527069"/>
      <w:bookmarkStart w:id="103" w:name="_Toc393728052"/>
      <w:bookmarkEnd w:id="92"/>
      <w:bookmarkEnd w:id="93"/>
      <w:bookmarkEnd w:id="94"/>
      <w:bookmarkEnd w:id="95"/>
      <w:bookmarkEnd w:id="96"/>
      <w:bookmarkEnd w:id="97"/>
      <w:bookmarkEnd w:id="98"/>
      <w:bookmarkEnd w:id="99"/>
      <w:bookmarkEnd w:id="100"/>
      <w:r w:rsidRPr="00DF0AEE">
        <w:rPr>
          <w:rFonts w:ascii="Times New Roman" w:hAnsi="Times New Roman"/>
          <w:sz w:val="24"/>
          <w:lang w:val="bg-BG"/>
        </w:rPr>
        <w:t>Инвестиционна политика</w:t>
      </w:r>
      <w:bookmarkEnd w:id="102"/>
      <w:bookmarkEnd w:id="103"/>
    </w:p>
    <w:p w:rsidR="000938C1" w:rsidRPr="00FA5C0A" w:rsidRDefault="000938C1" w:rsidP="00FA5C0A"/>
    <w:p w:rsidR="000938C1" w:rsidRPr="00EF1C90" w:rsidRDefault="000938C1" w:rsidP="00FA5C0A">
      <w:pPr>
        <w:pStyle w:val="Default"/>
        <w:spacing w:after="240"/>
        <w:ind w:firstLine="720"/>
        <w:jc w:val="both"/>
        <w:rPr>
          <w:rFonts w:ascii="Times New Roman" w:hAnsi="Times New Roman"/>
          <w:color w:val="auto"/>
        </w:rPr>
      </w:pPr>
      <w:r w:rsidRPr="00013760">
        <w:rPr>
          <w:rFonts w:ascii="Times New Roman" w:hAnsi="Times New Roman"/>
          <w:color w:val="auto"/>
        </w:rPr>
        <w:t xml:space="preserve">Основната цел на реализираните публични инвестиции е </w:t>
      </w:r>
      <w:r>
        <w:rPr>
          <w:rFonts w:ascii="Times New Roman" w:hAnsi="Times New Roman"/>
          <w:color w:val="auto"/>
        </w:rPr>
        <w:t>насърчаване</w:t>
      </w:r>
      <w:r w:rsidRPr="00013760">
        <w:rPr>
          <w:rFonts w:ascii="Times New Roman" w:hAnsi="Times New Roman"/>
          <w:color w:val="auto"/>
        </w:rPr>
        <w:t xml:space="preserve"> на политиките за постигане на </w:t>
      </w:r>
      <w:r>
        <w:rPr>
          <w:rFonts w:ascii="Times New Roman" w:hAnsi="Times New Roman"/>
          <w:color w:val="auto"/>
        </w:rPr>
        <w:t>устойчив</w:t>
      </w:r>
      <w:r w:rsidRPr="00013760">
        <w:rPr>
          <w:rFonts w:ascii="Times New Roman" w:hAnsi="Times New Roman"/>
          <w:color w:val="auto"/>
        </w:rPr>
        <w:t xml:space="preserve"> дългосрочен растеж</w:t>
      </w:r>
      <w:r>
        <w:rPr>
          <w:rFonts w:ascii="Times New Roman" w:hAnsi="Times New Roman"/>
          <w:color w:val="auto"/>
        </w:rPr>
        <w:t>, подкрепени</w:t>
      </w:r>
      <w:r w:rsidRPr="00EF1C90">
        <w:rPr>
          <w:rFonts w:ascii="Times New Roman" w:hAnsi="Times New Roman"/>
          <w:color w:val="auto"/>
        </w:rPr>
        <w:t xml:space="preserve"> и </w:t>
      </w:r>
      <w:r>
        <w:rPr>
          <w:rFonts w:ascii="Times New Roman" w:hAnsi="Times New Roman"/>
          <w:color w:val="auto"/>
        </w:rPr>
        <w:t xml:space="preserve">чрез </w:t>
      </w:r>
      <w:r w:rsidRPr="00EF1C90">
        <w:rPr>
          <w:rFonts w:ascii="Times New Roman" w:hAnsi="Times New Roman"/>
          <w:color w:val="auto"/>
        </w:rPr>
        <w:t>ускореното усвояване на средства по програмите и фондовете на ЕС.</w:t>
      </w:r>
    </w:p>
    <w:p w:rsidR="000938C1" w:rsidRDefault="000938C1" w:rsidP="00FA5C0A">
      <w:pPr>
        <w:pStyle w:val="Default"/>
        <w:spacing w:after="240"/>
        <w:ind w:firstLine="720"/>
        <w:jc w:val="both"/>
        <w:rPr>
          <w:rFonts w:ascii="Times New Roman" w:hAnsi="Times New Roman"/>
          <w:color w:val="auto"/>
        </w:rPr>
      </w:pPr>
      <w:r w:rsidRPr="00354DF3">
        <w:rPr>
          <w:rFonts w:ascii="Times New Roman" w:hAnsi="Times New Roman"/>
          <w:color w:val="auto"/>
        </w:rPr>
        <w:t>В таблицата са представени тенденциите в развитието на публичните инвестиционни разходи като дял от БВП на България и за някои държави-членки на ЕС.</w:t>
      </w:r>
    </w:p>
    <w:p w:rsidR="000938C1" w:rsidRDefault="000938C1" w:rsidP="00E266D9">
      <w:pPr>
        <w:pStyle w:val="Default"/>
        <w:ind w:firstLine="720"/>
        <w:jc w:val="both"/>
        <w:rPr>
          <w:rFonts w:ascii="Times New Roman" w:hAnsi="Times New Roman"/>
          <w:color w:val="auto"/>
        </w:rPr>
      </w:pPr>
    </w:p>
    <w:tbl>
      <w:tblPr>
        <w:tblW w:w="9144" w:type="dxa"/>
        <w:jc w:val="center"/>
        <w:tblInd w:w="55" w:type="dxa"/>
        <w:tblCellMar>
          <w:left w:w="70" w:type="dxa"/>
          <w:right w:w="70" w:type="dxa"/>
        </w:tblCellMar>
        <w:tblLook w:val="0000"/>
      </w:tblPr>
      <w:tblGrid>
        <w:gridCol w:w="4127"/>
        <w:gridCol w:w="786"/>
        <w:gridCol w:w="720"/>
        <w:gridCol w:w="720"/>
        <w:gridCol w:w="697"/>
        <w:gridCol w:w="709"/>
        <w:gridCol w:w="620"/>
        <w:gridCol w:w="765"/>
      </w:tblGrid>
      <w:tr w:rsidR="000938C1" w:rsidRPr="00354DF3" w:rsidTr="003B19BC">
        <w:trPr>
          <w:trHeight w:val="255"/>
          <w:jc w:val="center"/>
        </w:trPr>
        <w:tc>
          <w:tcPr>
            <w:tcW w:w="9144" w:type="dxa"/>
            <w:gridSpan w:val="8"/>
            <w:tcBorders>
              <w:top w:val="nil"/>
              <w:left w:val="nil"/>
              <w:bottom w:val="nil"/>
              <w:right w:val="nil"/>
            </w:tcBorders>
            <w:noWrap/>
            <w:vAlign w:val="bottom"/>
          </w:tcPr>
          <w:p w:rsidR="000938C1" w:rsidRDefault="000938C1" w:rsidP="003B19BC">
            <w:pPr>
              <w:spacing w:before="120"/>
              <w:jc w:val="center"/>
              <w:rPr>
                <w:b/>
                <w:bCs/>
              </w:rPr>
            </w:pPr>
          </w:p>
          <w:p w:rsidR="000938C1" w:rsidRDefault="000938C1" w:rsidP="003B19BC">
            <w:pPr>
              <w:spacing w:before="120"/>
              <w:jc w:val="center"/>
              <w:rPr>
                <w:b/>
                <w:bCs/>
              </w:rPr>
            </w:pPr>
            <w:r w:rsidRPr="00354DF3">
              <w:rPr>
                <w:b/>
                <w:bCs/>
              </w:rPr>
              <w:t>Публични разходи за придобиване на дълготрайни материални активи</w:t>
            </w:r>
          </w:p>
          <w:p w:rsidR="000938C1" w:rsidRPr="00354DF3" w:rsidRDefault="000938C1" w:rsidP="003B19BC">
            <w:pPr>
              <w:spacing w:before="120"/>
              <w:jc w:val="center"/>
              <w:rPr>
                <w:b/>
                <w:bCs/>
              </w:rPr>
            </w:pPr>
          </w:p>
          <w:p w:rsidR="000938C1" w:rsidRPr="00354DF3" w:rsidRDefault="000938C1" w:rsidP="003B19BC">
            <w:pPr>
              <w:spacing w:before="120"/>
              <w:jc w:val="center"/>
              <w:rPr>
                <w:sz w:val="16"/>
                <w:szCs w:val="16"/>
              </w:rPr>
            </w:pPr>
          </w:p>
        </w:tc>
      </w:tr>
      <w:tr w:rsidR="000938C1" w:rsidRPr="00CF1A14" w:rsidTr="003B19BC">
        <w:trPr>
          <w:trHeight w:val="255"/>
          <w:jc w:val="center"/>
        </w:trPr>
        <w:tc>
          <w:tcPr>
            <w:tcW w:w="4127" w:type="dxa"/>
            <w:tcBorders>
              <w:top w:val="single" w:sz="4" w:space="0" w:color="auto"/>
              <w:left w:val="single" w:sz="4" w:space="0" w:color="auto"/>
              <w:bottom w:val="single" w:sz="4" w:space="0" w:color="auto"/>
              <w:right w:val="single" w:sz="4" w:space="0" w:color="auto"/>
            </w:tcBorders>
            <w:noWrap/>
            <w:vAlign w:val="bottom"/>
          </w:tcPr>
          <w:p w:rsidR="000938C1" w:rsidRPr="00354DF3" w:rsidRDefault="000938C1" w:rsidP="003B19BC">
            <w:pPr>
              <w:spacing w:before="120"/>
              <w:jc w:val="center"/>
            </w:pPr>
            <w:r w:rsidRPr="00354DF3">
              <w:t>(% от БВП)</w:t>
            </w:r>
          </w:p>
        </w:tc>
        <w:tc>
          <w:tcPr>
            <w:tcW w:w="786" w:type="dxa"/>
            <w:tcBorders>
              <w:top w:val="single" w:sz="4" w:space="0" w:color="auto"/>
              <w:left w:val="nil"/>
              <w:bottom w:val="single" w:sz="4" w:space="0" w:color="auto"/>
              <w:right w:val="single" w:sz="4" w:space="0" w:color="auto"/>
            </w:tcBorders>
            <w:noWrap/>
            <w:vAlign w:val="bottom"/>
          </w:tcPr>
          <w:p w:rsidR="000938C1" w:rsidRPr="00A15D09" w:rsidRDefault="000938C1" w:rsidP="003B19BC">
            <w:pPr>
              <w:spacing w:before="120"/>
              <w:jc w:val="center"/>
              <w:rPr>
                <w:b/>
                <w:bCs/>
              </w:rPr>
            </w:pPr>
            <w:r w:rsidRPr="00354DF3">
              <w:rPr>
                <w:b/>
                <w:bCs/>
              </w:rPr>
              <w:t>2007</w:t>
            </w:r>
            <w:r>
              <w:rPr>
                <w:b/>
                <w:bCs/>
                <w:lang w:val="en-US"/>
              </w:rPr>
              <w:t xml:space="preserve"> </w:t>
            </w:r>
          </w:p>
        </w:tc>
        <w:tc>
          <w:tcPr>
            <w:tcW w:w="720" w:type="dxa"/>
            <w:tcBorders>
              <w:top w:val="single" w:sz="4" w:space="0" w:color="auto"/>
              <w:left w:val="nil"/>
              <w:bottom w:val="single" w:sz="4" w:space="0" w:color="auto"/>
              <w:right w:val="single" w:sz="4" w:space="0" w:color="auto"/>
            </w:tcBorders>
            <w:noWrap/>
            <w:vAlign w:val="bottom"/>
          </w:tcPr>
          <w:p w:rsidR="000938C1" w:rsidRPr="00354DF3" w:rsidRDefault="000938C1" w:rsidP="003B19BC">
            <w:pPr>
              <w:spacing w:before="120"/>
              <w:jc w:val="center"/>
              <w:rPr>
                <w:b/>
                <w:bCs/>
              </w:rPr>
            </w:pPr>
            <w:r w:rsidRPr="00354DF3">
              <w:rPr>
                <w:b/>
                <w:bCs/>
              </w:rPr>
              <w:t>2008</w:t>
            </w:r>
          </w:p>
        </w:tc>
        <w:tc>
          <w:tcPr>
            <w:tcW w:w="720" w:type="dxa"/>
            <w:tcBorders>
              <w:top w:val="single" w:sz="4" w:space="0" w:color="auto"/>
              <w:left w:val="nil"/>
              <w:bottom w:val="single" w:sz="4" w:space="0" w:color="auto"/>
              <w:right w:val="single" w:sz="4" w:space="0" w:color="auto"/>
            </w:tcBorders>
            <w:noWrap/>
            <w:vAlign w:val="bottom"/>
          </w:tcPr>
          <w:p w:rsidR="000938C1" w:rsidRPr="00354DF3" w:rsidRDefault="000938C1" w:rsidP="003B19BC">
            <w:pPr>
              <w:spacing w:before="120"/>
              <w:jc w:val="center"/>
              <w:rPr>
                <w:b/>
                <w:bCs/>
              </w:rPr>
            </w:pPr>
            <w:r w:rsidRPr="00354DF3">
              <w:rPr>
                <w:b/>
                <w:bCs/>
              </w:rPr>
              <w:t>2009</w:t>
            </w:r>
          </w:p>
        </w:tc>
        <w:tc>
          <w:tcPr>
            <w:tcW w:w="697" w:type="dxa"/>
            <w:tcBorders>
              <w:top w:val="single" w:sz="4" w:space="0" w:color="auto"/>
              <w:left w:val="nil"/>
              <w:bottom w:val="single" w:sz="4" w:space="0" w:color="auto"/>
              <w:right w:val="single" w:sz="4" w:space="0" w:color="auto"/>
            </w:tcBorders>
            <w:noWrap/>
            <w:vAlign w:val="bottom"/>
          </w:tcPr>
          <w:p w:rsidR="000938C1" w:rsidRPr="00354DF3" w:rsidRDefault="000938C1" w:rsidP="003B19BC">
            <w:pPr>
              <w:spacing w:before="120"/>
              <w:jc w:val="center"/>
              <w:rPr>
                <w:b/>
                <w:bCs/>
              </w:rPr>
            </w:pPr>
            <w:r w:rsidRPr="00354DF3">
              <w:rPr>
                <w:b/>
                <w:bCs/>
              </w:rPr>
              <w:t>2010</w:t>
            </w:r>
          </w:p>
        </w:tc>
        <w:tc>
          <w:tcPr>
            <w:tcW w:w="709" w:type="dxa"/>
            <w:tcBorders>
              <w:top w:val="single" w:sz="4" w:space="0" w:color="auto"/>
              <w:left w:val="nil"/>
              <w:bottom w:val="single" w:sz="4" w:space="0" w:color="auto"/>
              <w:right w:val="single" w:sz="4" w:space="0" w:color="auto"/>
            </w:tcBorders>
            <w:noWrap/>
            <w:vAlign w:val="bottom"/>
          </w:tcPr>
          <w:p w:rsidR="000938C1" w:rsidRPr="00354DF3" w:rsidRDefault="000938C1" w:rsidP="003B19BC">
            <w:pPr>
              <w:spacing w:before="120"/>
              <w:jc w:val="center"/>
              <w:rPr>
                <w:b/>
                <w:bCs/>
              </w:rPr>
            </w:pPr>
            <w:r w:rsidRPr="00354DF3">
              <w:rPr>
                <w:b/>
                <w:bCs/>
              </w:rPr>
              <w:t>2011</w:t>
            </w:r>
          </w:p>
        </w:tc>
        <w:tc>
          <w:tcPr>
            <w:tcW w:w="620" w:type="dxa"/>
            <w:tcBorders>
              <w:top w:val="single" w:sz="4" w:space="0" w:color="auto"/>
              <w:left w:val="nil"/>
              <w:bottom w:val="single" w:sz="4" w:space="0" w:color="auto"/>
              <w:right w:val="single" w:sz="4" w:space="0" w:color="auto"/>
            </w:tcBorders>
            <w:noWrap/>
            <w:vAlign w:val="bottom"/>
          </w:tcPr>
          <w:p w:rsidR="000938C1" w:rsidRPr="00354DF3" w:rsidRDefault="000938C1" w:rsidP="003B19BC">
            <w:pPr>
              <w:spacing w:before="120"/>
              <w:jc w:val="center"/>
              <w:rPr>
                <w:b/>
                <w:bCs/>
              </w:rPr>
            </w:pPr>
            <w:r w:rsidRPr="00354DF3">
              <w:rPr>
                <w:b/>
                <w:bCs/>
              </w:rPr>
              <w:t>2012</w:t>
            </w:r>
          </w:p>
        </w:tc>
        <w:tc>
          <w:tcPr>
            <w:tcW w:w="765" w:type="dxa"/>
            <w:tcBorders>
              <w:top w:val="single" w:sz="4" w:space="0" w:color="auto"/>
              <w:left w:val="nil"/>
              <w:bottom w:val="single" w:sz="4" w:space="0" w:color="auto"/>
              <w:right w:val="single" w:sz="4" w:space="0" w:color="auto"/>
            </w:tcBorders>
            <w:vAlign w:val="bottom"/>
          </w:tcPr>
          <w:p w:rsidR="000938C1" w:rsidRPr="00DC7494" w:rsidRDefault="000938C1" w:rsidP="003B19BC">
            <w:pPr>
              <w:spacing w:before="120"/>
              <w:jc w:val="center"/>
              <w:rPr>
                <w:b/>
                <w:bCs/>
              </w:rPr>
            </w:pPr>
            <w:r w:rsidRPr="00DC7494">
              <w:rPr>
                <w:b/>
                <w:bCs/>
              </w:rPr>
              <w:t>201</w:t>
            </w:r>
            <w:r w:rsidRPr="00DC7494">
              <w:rPr>
                <w:b/>
                <w:bCs/>
                <w:lang w:val="en-US"/>
              </w:rPr>
              <w:t>3</w:t>
            </w:r>
            <w:r w:rsidRPr="00DC7494">
              <w:rPr>
                <w:b/>
                <w:bCs/>
              </w:rPr>
              <w:t>*</w:t>
            </w:r>
          </w:p>
        </w:tc>
      </w:tr>
      <w:tr w:rsidR="000938C1" w:rsidRPr="00CF1A14" w:rsidTr="003B19BC">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Cs/>
                <w:sz w:val="20"/>
                <w:szCs w:val="20"/>
              </w:rPr>
            </w:pPr>
            <w:r w:rsidRPr="00354DF3">
              <w:rPr>
                <w:bCs/>
                <w:sz w:val="20"/>
                <w:szCs w:val="20"/>
              </w:rPr>
              <w:t>Европейски съюз (27 държави-членки)</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2,6</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2,7</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2,9</w:t>
            </w:r>
          </w:p>
        </w:tc>
        <w:tc>
          <w:tcPr>
            <w:tcW w:w="697"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2,7</w:t>
            </w:r>
          </w:p>
        </w:tc>
        <w:tc>
          <w:tcPr>
            <w:tcW w:w="709"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2,5</w:t>
            </w:r>
          </w:p>
        </w:tc>
        <w:tc>
          <w:tcPr>
            <w:tcW w:w="6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2,3</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Cs/>
                <w:sz w:val="20"/>
                <w:szCs w:val="20"/>
                <w:lang w:val="en-US"/>
              </w:rPr>
            </w:pPr>
            <w:r w:rsidRPr="008D6BC4">
              <w:rPr>
                <w:bCs/>
                <w:sz w:val="20"/>
                <w:szCs w:val="20"/>
                <w:lang w:val="en-US"/>
              </w:rPr>
              <w:t>2,2</w:t>
            </w:r>
          </w:p>
        </w:tc>
      </w:tr>
      <w:tr w:rsidR="000938C1" w:rsidRPr="00CF1A14" w:rsidTr="003B19BC">
        <w:trPr>
          <w:trHeight w:val="137"/>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Cs/>
                <w:sz w:val="20"/>
                <w:szCs w:val="20"/>
              </w:rPr>
            </w:pPr>
            <w:r w:rsidRPr="00354DF3">
              <w:rPr>
                <w:bCs/>
                <w:sz w:val="20"/>
                <w:szCs w:val="20"/>
              </w:rPr>
              <w:t>Европейски съюз (1</w:t>
            </w:r>
            <w:r>
              <w:rPr>
                <w:bCs/>
                <w:sz w:val="20"/>
                <w:szCs w:val="20"/>
                <w:lang w:val="en-US"/>
              </w:rPr>
              <w:t>7</w:t>
            </w:r>
            <w:r w:rsidRPr="00354DF3">
              <w:rPr>
                <w:bCs/>
                <w:sz w:val="20"/>
                <w:szCs w:val="20"/>
              </w:rPr>
              <w:t xml:space="preserve"> държави-членки)</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2,6</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2,6</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2,8</w:t>
            </w:r>
          </w:p>
        </w:tc>
        <w:tc>
          <w:tcPr>
            <w:tcW w:w="697" w:type="dxa"/>
            <w:tcBorders>
              <w:top w:val="nil"/>
              <w:left w:val="nil"/>
              <w:bottom w:val="single" w:sz="4" w:space="0" w:color="auto"/>
              <w:right w:val="single" w:sz="4" w:space="0" w:color="auto"/>
            </w:tcBorders>
            <w:noWrap/>
            <w:vAlign w:val="bottom"/>
          </w:tcPr>
          <w:p w:rsidR="000938C1" w:rsidRPr="00DC7494" w:rsidRDefault="000938C1" w:rsidP="003B19BC">
            <w:pPr>
              <w:spacing w:before="120"/>
              <w:jc w:val="right"/>
              <w:rPr>
                <w:bCs/>
                <w:sz w:val="20"/>
                <w:szCs w:val="20"/>
                <w:lang w:val="en-US"/>
              </w:rPr>
            </w:pPr>
            <w:r w:rsidRPr="00354DF3">
              <w:rPr>
                <w:bCs/>
                <w:sz w:val="20"/>
                <w:szCs w:val="20"/>
              </w:rPr>
              <w:t>2,</w:t>
            </w:r>
            <w:r>
              <w:rPr>
                <w:bCs/>
                <w:sz w:val="20"/>
                <w:szCs w:val="20"/>
                <w:lang w:val="en-US"/>
              </w:rPr>
              <w:t>6</w:t>
            </w:r>
          </w:p>
        </w:tc>
        <w:tc>
          <w:tcPr>
            <w:tcW w:w="709"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2,3</w:t>
            </w:r>
          </w:p>
        </w:tc>
        <w:tc>
          <w:tcPr>
            <w:tcW w:w="6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2,1</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Cs/>
                <w:sz w:val="20"/>
                <w:szCs w:val="20"/>
                <w:lang w:val="en-US"/>
              </w:rPr>
            </w:pPr>
            <w:r w:rsidRPr="008D6BC4">
              <w:rPr>
                <w:bCs/>
                <w:sz w:val="20"/>
                <w:szCs w:val="20"/>
                <w:lang w:val="en-US"/>
              </w:rPr>
              <w:t>2,1</w:t>
            </w:r>
          </w:p>
        </w:tc>
      </w:tr>
      <w:tr w:rsidR="000938C1" w:rsidRPr="00CF1A14" w:rsidTr="003B19BC">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
                <w:bCs/>
                <w:sz w:val="20"/>
                <w:szCs w:val="20"/>
              </w:rPr>
            </w:pPr>
            <w:r w:rsidRPr="00354DF3">
              <w:rPr>
                <w:b/>
                <w:bCs/>
                <w:sz w:val="20"/>
                <w:szCs w:val="20"/>
              </w:rPr>
              <w:t>България</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
                <w:bCs/>
                <w:sz w:val="20"/>
                <w:szCs w:val="20"/>
              </w:rPr>
            </w:pPr>
            <w:r w:rsidRPr="00354DF3">
              <w:rPr>
                <w:b/>
                <w:bCs/>
                <w:sz w:val="20"/>
                <w:szCs w:val="20"/>
              </w:rPr>
              <w:t>5,2</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
                <w:bCs/>
                <w:sz w:val="20"/>
                <w:szCs w:val="20"/>
              </w:rPr>
            </w:pPr>
            <w:r w:rsidRPr="00354DF3">
              <w:rPr>
                <w:b/>
                <w:bCs/>
                <w:sz w:val="20"/>
                <w:szCs w:val="20"/>
              </w:rPr>
              <w:t>5,6</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
                <w:bCs/>
                <w:sz w:val="20"/>
                <w:szCs w:val="20"/>
              </w:rPr>
            </w:pPr>
            <w:r w:rsidRPr="00354DF3">
              <w:rPr>
                <w:b/>
                <w:bCs/>
                <w:sz w:val="20"/>
                <w:szCs w:val="20"/>
              </w:rPr>
              <w:t>4,9</w:t>
            </w:r>
          </w:p>
        </w:tc>
        <w:tc>
          <w:tcPr>
            <w:tcW w:w="697"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
                <w:bCs/>
                <w:sz w:val="20"/>
                <w:szCs w:val="20"/>
              </w:rPr>
            </w:pPr>
            <w:r w:rsidRPr="00354DF3">
              <w:rPr>
                <w:b/>
                <w:bCs/>
                <w:sz w:val="20"/>
                <w:szCs w:val="20"/>
              </w:rPr>
              <w:t>4,6</w:t>
            </w:r>
          </w:p>
        </w:tc>
        <w:tc>
          <w:tcPr>
            <w:tcW w:w="709" w:type="dxa"/>
            <w:tcBorders>
              <w:top w:val="nil"/>
              <w:left w:val="nil"/>
              <w:bottom w:val="single" w:sz="4" w:space="0" w:color="auto"/>
              <w:right w:val="single" w:sz="4" w:space="0" w:color="auto"/>
            </w:tcBorders>
            <w:noWrap/>
            <w:vAlign w:val="bottom"/>
          </w:tcPr>
          <w:p w:rsidR="000938C1" w:rsidRPr="00DC7494" w:rsidRDefault="000938C1" w:rsidP="003B19BC">
            <w:pPr>
              <w:spacing w:before="120"/>
              <w:jc w:val="right"/>
              <w:rPr>
                <w:b/>
                <w:bCs/>
                <w:sz w:val="20"/>
                <w:szCs w:val="20"/>
                <w:lang w:val="en-US"/>
              </w:rPr>
            </w:pPr>
            <w:r w:rsidRPr="00354DF3">
              <w:rPr>
                <w:b/>
                <w:bCs/>
                <w:sz w:val="20"/>
                <w:szCs w:val="20"/>
              </w:rPr>
              <w:t>3,</w:t>
            </w:r>
            <w:r>
              <w:rPr>
                <w:b/>
                <w:bCs/>
                <w:sz w:val="20"/>
                <w:szCs w:val="20"/>
                <w:lang w:val="en-US"/>
              </w:rPr>
              <w:t>4</w:t>
            </w:r>
          </w:p>
        </w:tc>
        <w:tc>
          <w:tcPr>
            <w:tcW w:w="620" w:type="dxa"/>
            <w:tcBorders>
              <w:top w:val="nil"/>
              <w:left w:val="nil"/>
              <w:bottom w:val="single" w:sz="4" w:space="0" w:color="auto"/>
              <w:right w:val="single" w:sz="4" w:space="0" w:color="auto"/>
            </w:tcBorders>
            <w:noWrap/>
            <w:vAlign w:val="bottom"/>
          </w:tcPr>
          <w:p w:rsidR="000938C1" w:rsidRPr="008D6BC4" w:rsidRDefault="000938C1" w:rsidP="003B19BC">
            <w:pPr>
              <w:spacing w:before="120"/>
              <w:jc w:val="right"/>
              <w:rPr>
                <w:bCs/>
                <w:sz w:val="20"/>
                <w:szCs w:val="20"/>
                <w:lang w:val="en-US"/>
              </w:rPr>
            </w:pPr>
            <w:r w:rsidRPr="00354DF3">
              <w:rPr>
                <w:b/>
                <w:bCs/>
                <w:sz w:val="20"/>
                <w:szCs w:val="20"/>
              </w:rPr>
              <w:t>3,</w:t>
            </w:r>
            <w:r>
              <w:rPr>
                <w:b/>
                <w:bCs/>
                <w:sz w:val="20"/>
                <w:szCs w:val="20"/>
                <w:lang w:val="en-US"/>
              </w:rPr>
              <w:t>3</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
                <w:bCs/>
                <w:sz w:val="20"/>
                <w:szCs w:val="20"/>
                <w:lang w:val="en-US"/>
              </w:rPr>
            </w:pPr>
            <w:r w:rsidRPr="008D6BC4">
              <w:rPr>
                <w:b/>
                <w:bCs/>
                <w:sz w:val="20"/>
                <w:szCs w:val="20"/>
                <w:lang w:val="en-US"/>
              </w:rPr>
              <w:t>4,1</w:t>
            </w:r>
          </w:p>
        </w:tc>
      </w:tr>
      <w:tr w:rsidR="000938C1" w:rsidRPr="00CF1A14" w:rsidTr="003B19BC">
        <w:trPr>
          <w:trHeight w:val="118"/>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Cs/>
                <w:sz w:val="20"/>
                <w:szCs w:val="20"/>
              </w:rPr>
            </w:pPr>
            <w:r w:rsidRPr="00354DF3">
              <w:rPr>
                <w:bCs/>
                <w:sz w:val="20"/>
                <w:szCs w:val="20"/>
              </w:rPr>
              <w:t>Ирландия</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4,7</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5,3</w:t>
            </w:r>
          </w:p>
        </w:tc>
        <w:tc>
          <w:tcPr>
            <w:tcW w:w="720" w:type="dxa"/>
            <w:tcBorders>
              <w:top w:val="nil"/>
              <w:left w:val="nil"/>
              <w:bottom w:val="single" w:sz="4" w:space="0" w:color="auto"/>
              <w:right w:val="single" w:sz="4" w:space="0" w:color="auto"/>
            </w:tcBorders>
            <w:noWrap/>
            <w:vAlign w:val="bottom"/>
          </w:tcPr>
          <w:p w:rsidR="000938C1" w:rsidRPr="00DC7494" w:rsidRDefault="000938C1" w:rsidP="003B19BC">
            <w:pPr>
              <w:spacing w:before="120"/>
              <w:jc w:val="right"/>
              <w:rPr>
                <w:bCs/>
                <w:sz w:val="20"/>
                <w:szCs w:val="20"/>
                <w:lang w:val="en-US"/>
              </w:rPr>
            </w:pPr>
            <w:r w:rsidRPr="00354DF3">
              <w:rPr>
                <w:bCs/>
                <w:sz w:val="20"/>
                <w:szCs w:val="20"/>
              </w:rPr>
              <w:t>3,</w:t>
            </w:r>
            <w:r>
              <w:rPr>
                <w:bCs/>
                <w:sz w:val="20"/>
                <w:szCs w:val="20"/>
                <w:lang w:val="en-US"/>
              </w:rPr>
              <w:t>7</w:t>
            </w:r>
          </w:p>
        </w:tc>
        <w:tc>
          <w:tcPr>
            <w:tcW w:w="697" w:type="dxa"/>
            <w:tcBorders>
              <w:top w:val="nil"/>
              <w:left w:val="nil"/>
              <w:bottom w:val="single" w:sz="4" w:space="0" w:color="auto"/>
              <w:right w:val="single" w:sz="4" w:space="0" w:color="auto"/>
            </w:tcBorders>
            <w:noWrap/>
            <w:vAlign w:val="bottom"/>
          </w:tcPr>
          <w:p w:rsidR="000938C1" w:rsidRPr="00DC7494" w:rsidRDefault="000938C1" w:rsidP="003B19BC">
            <w:pPr>
              <w:spacing w:before="120"/>
              <w:jc w:val="right"/>
              <w:rPr>
                <w:bCs/>
                <w:sz w:val="20"/>
                <w:szCs w:val="20"/>
                <w:lang w:val="en-US"/>
              </w:rPr>
            </w:pPr>
            <w:r w:rsidRPr="00354DF3">
              <w:rPr>
                <w:bCs/>
                <w:sz w:val="20"/>
                <w:szCs w:val="20"/>
              </w:rPr>
              <w:t>3,</w:t>
            </w:r>
            <w:r>
              <w:rPr>
                <w:bCs/>
                <w:sz w:val="20"/>
                <w:szCs w:val="20"/>
                <w:lang w:val="en-US"/>
              </w:rPr>
              <w:t>4</w:t>
            </w:r>
          </w:p>
        </w:tc>
        <w:tc>
          <w:tcPr>
            <w:tcW w:w="709" w:type="dxa"/>
            <w:tcBorders>
              <w:top w:val="nil"/>
              <w:left w:val="nil"/>
              <w:bottom w:val="single" w:sz="4" w:space="0" w:color="auto"/>
              <w:right w:val="single" w:sz="4" w:space="0" w:color="auto"/>
            </w:tcBorders>
            <w:noWrap/>
            <w:vAlign w:val="bottom"/>
          </w:tcPr>
          <w:p w:rsidR="000938C1" w:rsidRPr="00DC7494" w:rsidRDefault="000938C1" w:rsidP="003B19BC">
            <w:pPr>
              <w:spacing w:before="120"/>
              <w:jc w:val="right"/>
              <w:rPr>
                <w:bCs/>
                <w:sz w:val="20"/>
                <w:szCs w:val="20"/>
                <w:lang w:val="en-US"/>
              </w:rPr>
            </w:pPr>
            <w:r w:rsidRPr="00354DF3">
              <w:rPr>
                <w:bCs/>
                <w:sz w:val="20"/>
                <w:szCs w:val="20"/>
              </w:rPr>
              <w:t>2,</w:t>
            </w:r>
            <w:r>
              <w:rPr>
                <w:bCs/>
                <w:sz w:val="20"/>
                <w:szCs w:val="20"/>
                <w:lang w:val="en-US"/>
              </w:rPr>
              <w:t>4</w:t>
            </w:r>
          </w:p>
        </w:tc>
        <w:tc>
          <w:tcPr>
            <w:tcW w:w="620" w:type="dxa"/>
            <w:tcBorders>
              <w:top w:val="nil"/>
              <w:left w:val="nil"/>
              <w:bottom w:val="single" w:sz="4" w:space="0" w:color="auto"/>
              <w:right w:val="single" w:sz="4" w:space="0" w:color="auto"/>
            </w:tcBorders>
            <w:noWrap/>
            <w:vAlign w:val="bottom"/>
          </w:tcPr>
          <w:p w:rsidR="000938C1" w:rsidRPr="00DC7494" w:rsidRDefault="000938C1" w:rsidP="003B19BC">
            <w:pPr>
              <w:spacing w:before="120"/>
              <w:jc w:val="right"/>
              <w:rPr>
                <w:bCs/>
                <w:sz w:val="20"/>
                <w:szCs w:val="20"/>
                <w:lang w:val="en-US"/>
              </w:rPr>
            </w:pPr>
            <w:r>
              <w:rPr>
                <w:bCs/>
                <w:sz w:val="20"/>
                <w:szCs w:val="20"/>
                <w:lang w:val="en-US"/>
              </w:rPr>
              <w:t>1</w:t>
            </w:r>
            <w:r w:rsidRPr="00354DF3">
              <w:rPr>
                <w:bCs/>
                <w:sz w:val="20"/>
                <w:szCs w:val="20"/>
              </w:rPr>
              <w:t>,</w:t>
            </w:r>
            <w:r>
              <w:rPr>
                <w:bCs/>
                <w:sz w:val="20"/>
                <w:szCs w:val="20"/>
                <w:lang w:val="en-US"/>
              </w:rPr>
              <w:t>9</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Cs/>
                <w:sz w:val="20"/>
                <w:szCs w:val="20"/>
                <w:lang w:val="en-US"/>
              </w:rPr>
            </w:pPr>
            <w:r w:rsidRPr="008D6BC4">
              <w:rPr>
                <w:bCs/>
                <w:sz w:val="20"/>
                <w:szCs w:val="20"/>
                <w:lang w:val="en-US"/>
              </w:rPr>
              <w:t>1,7</w:t>
            </w:r>
          </w:p>
        </w:tc>
      </w:tr>
      <w:tr w:rsidR="000938C1" w:rsidRPr="00CF1A14" w:rsidTr="003B19BC">
        <w:trPr>
          <w:trHeight w:val="74"/>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Cs/>
                <w:sz w:val="20"/>
                <w:szCs w:val="20"/>
              </w:rPr>
            </w:pPr>
            <w:r w:rsidRPr="00354DF3">
              <w:rPr>
                <w:bCs/>
                <w:sz w:val="20"/>
                <w:szCs w:val="20"/>
              </w:rPr>
              <w:t>Испания</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4,0</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4,0</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4,5</w:t>
            </w:r>
          </w:p>
        </w:tc>
        <w:tc>
          <w:tcPr>
            <w:tcW w:w="697"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4,0</w:t>
            </w:r>
          </w:p>
        </w:tc>
        <w:tc>
          <w:tcPr>
            <w:tcW w:w="709" w:type="dxa"/>
            <w:tcBorders>
              <w:top w:val="nil"/>
              <w:left w:val="nil"/>
              <w:bottom w:val="single" w:sz="4" w:space="0" w:color="auto"/>
              <w:right w:val="single" w:sz="4" w:space="0" w:color="auto"/>
            </w:tcBorders>
            <w:noWrap/>
            <w:vAlign w:val="bottom"/>
          </w:tcPr>
          <w:p w:rsidR="000938C1" w:rsidRPr="00DC7494" w:rsidRDefault="000938C1" w:rsidP="003B19BC">
            <w:pPr>
              <w:spacing w:before="120"/>
              <w:jc w:val="right"/>
              <w:rPr>
                <w:bCs/>
                <w:sz w:val="20"/>
                <w:szCs w:val="20"/>
                <w:lang w:val="en-US"/>
              </w:rPr>
            </w:pPr>
            <w:r>
              <w:rPr>
                <w:bCs/>
                <w:sz w:val="20"/>
                <w:szCs w:val="20"/>
                <w:lang w:val="en-US"/>
              </w:rPr>
              <w:t>3</w:t>
            </w:r>
            <w:r w:rsidRPr="00354DF3">
              <w:rPr>
                <w:bCs/>
                <w:sz w:val="20"/>
                <w:szCs w:val="20"/>
              </w:rPr>
              <w:t>,</w:t>
            </w:r>
            <w:r>
              <w:rPr>
                <w:bCs/>
                <w:sz w:val="20"/>
                <w:szCs w:val="20"/>
                <w:lang w:val="en-US"/>
              </w:rPr>
              <w:t>0</w:t>
            </w:r>
          </w:p>
        </w:tc>
        <w:tc>
          <w:tcPr>
            <w:tcW w:w="6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1,7</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Cs/>
                <w:sz w:val="20"/>
                <w:szCs w:val="20"/>
                <w:lang w:val="en-US"/>
              </w:rPr>
            </w:pPr>
            <w:r w:rsidRPr="008D6BC4">
              <w:rPr>
                <w:bCs/>
                <w:sz w:val="20"/>
                <w:szCs w:val="20"/>
                <w:lang w:val="en-US"/>
              </w:rPr>
              <w:t>1,5</w:t>
            </w:r>
          </w:p>
        </w:tc>
      </w:tr>
      <w:tr w:rsidR="000938C1" w:rsidRPr="00CF1A14" w:rsidTr="003B19BC">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Cs/>
                <w:sz w:val="20"/>
                <w:szCs w:val="20"/>
              </w:rPr>
            </w:pPr>
            <w:r w:rsidRPr="00354DF3">
              <w:rPr>
                <w:bCs/>
                <w:sz w:val="20"/>
                <w:szCs w:val="20"/>
              </w:rPr>
              <w:t>Италия</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2,3</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2,2</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2,5</w:t>
            </w:r>
          </w:p>
        </w:tc>
        <w:tc>
          <w:tcPr>
            <w:tcW w:w="697" w:type="dxa"/>
            <w:tcBorders>
              <w:top w:val="nil"/>
              <w:left w:val="nil"/>
              <w:bottom w:val="single" w:sz="4" w:space="0" w:color="auto"/>
              <w:right w:val="single" w:sz="4" w:space="0" w:color="auto"/>
            </w:tcBorders>
            <w:noWrap/>
            <w:vAlign w:val="bottom"/>
          </w:tcPr>
          <w:p w:rsidR="000938C1" w:rsidRPr="00DC7494" w:rsidRDefault="000938C1" w:rsidP="003B19BC">
            <w:pPr>
              <w:spacing w:before="120"/>
              <w:jc w:val="right"/>
              <w:rPr>
                <w:bCs/>
                <w:sz w:val="20"/>
                <w:szCs w:val="20"/>
                <w:lang w:val="en-US"/>
              </w:rPr>
            </w:pPr>
            <w:r w:rsidRPr="00354DF3">
              <w:rPr>
                <w:bCs/>
                <w:sz w:val="20"/>
                <w:szCs w:val="20"/>
              </w:rPr>
              <w:t>2,</w:t>
            </w:r>
            <w:r>
              <w:rPr>
                <w:bCs/>
                <w:sz w:val="20"/>
                <w:szCs w:val="20"/>
                <w:lang w:val="en-US"/>
              </w:rPr>
              <w:t>2</w:t>
            </w:r>
          </w:p>
        </w:tc>
        <w:tc>
          <w:tcPr>
            <w:tcW w:w="709"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2,0</w:t>
            </w:r>
          </w:p>
        </w:tc>
        <w:tc>
          <w:tcPr>
            <w:tcW w:w="6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1,9</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Cs/>
                <w:sz w:val="20"/>
                <w:szCs w:val="20"/>
                <w:lang w:val="en-US"/>
              </w:rPr>
            </w:pPr>
            <w:r w:rsidRPr="008D6BC4">
              <w:rPr>
                <w:bCs/>
                <w:sz w:val="20"/>
                <w:szCs w:val="20"/>
                <w:lang w:val="en-US"/>
              </w:rPr>
              <w:t>1,7</w:t>
            </w:r>
          </w:p>
        </w:tc>
      </w:tr>
      <w:tr w:rsidR="000938C1" w:rsidRPr="00CF1A14" w:rsidTr="003B19BC">
        <w:trPr>
          <w:trHeight w:val="181"/>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Cs/>
                <w:sz w:val="20"/>
                <w:szCs w:val="20"/>
              </w:rPr>
            </w:pPr>
            <w:r w:rsidRPr="00354DF3">
              <w:rPr>
                <w:bCs/>
                <w:sz w:val="20"/>
                <w:szCs w:val="20"/>
              </w:rPr>
              <w:t>Полша</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4,2</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4,6</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5,2</w:t>
            </w:r>
          </w:p>
        </w:tc>
        <w:tc>
          <w:tcPr>
            <w:tcW w:w="697"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5,6</w:t>
            </w:r>
          </w:p>
        </w:tc>
        <w:tc>
          <w:tcPr>
            <w:tcW w:w="709"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5,7</w:t>
            </w:r>
          </w:p>
        </w:tc>
        <w:tc>
          <w:tcPr>
            <w:tcW w:w="6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4,6</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Cs/>
                <w:sz w:val="20"/>
                <w:szCs w:val="20"/>
                <w:lang w:val="en-US"/>
              </w:rPr>
            </w:pPr>
            <w:r w:rsidRPr="008D6BC4">
              <w:rPr>
                <w:bCs/>
                <w:sz w:val="20"/>
                <w:szCs w:val="20"/>
                <w:lang w:val="en-US"/>
              </w:rPr>
              <w:t>3,9</w:t>
            </w:r>
          </w:p>
        </w:tc>
      </w:tr>
      <w:tr w:rsidR="000938C1" w:rsidRPr="00CF1A14" w:rsidTr="003B19BC">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Cs/>
                <w:sz w:val="20"/>
                <w:szCs w:val="20"/>
              </w:rPr>
            </w:pPr>
            <w:r w:rsidRPr="00354DF3">
              <w:rPr>
                <w:bCs/>
                <w:sz w:val="20"/>
                <w:szCs w:val="20"/>
              </w:rPr>
              <w:t>Румъния</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6,2</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6,6</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5,9</w:t>
            </w:r>
          </w:p>
        </w:tc>
        <w:tc>
          <w:tcPr>
            <w:tcW w:w="697"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5,7</w:t>
            </w:r>
          </w:p>
        </w:tc>
        <w:tc>
          <w:tcPr>
            <w:tcW w:w="709" w:type="dxa"/>
            <w:tcBorders>
              <w:top w:val="nil"/>
              <w:left w:val="nil"/>
              <w:bottom w:val="single" w:sz="4" w:space="0" w:color="auto"/>
              <w:right w:val="single" w:sz="4" w:space="0" w:color="auto"/>
            </w:tcBorders>
            <w:noWrap/>
            <w:vAlign w:val="bottom"/>
          </w:tcPr>
          <w:p w:rsidR="000938C1" w:rsidRPr="008D6BC4" w:rsidRDefault="000938C1" w:rsidP="003B19BC">
            <w:pPr>
              <w:spacing w:before="120"/>
              <w:jc w:val="right"/>
              <w:rPr>
                <w:bCs/>
                <w:sz w:val="20"/>
                <w:szCs w:val="20"/>
                <w:lang w:val="en-US"/>
              </w:rPr>
            </w:pPr>
            <w:r w:rsidRPr="00354DF3">
              <w:rPr>
                <w:bCs/>
                <w:sz w:val="20"/>
                <w:szCs w:val="20"/>
              </w:rPr>
              <w:t>5,</w:t>
            </w:r>
            <w:r>
              <w:rPr>
                <w:bCs/>
                <w:sz w:val="20"/>
                <w:szCs w:val="20"/>
                <w:lang w:val="en-US"/>
              </w:rPr>
              <w:t>5</w:t>
            </w:r>
          </w:p>
        </w:tc>
        <w:tc>
          <w:tcPr>
            <w:tcW w:w="620" w:type="dxa"/>
            <w:tcBorders>
              <w:top w:val="nil"/>
              <w:left w:val="nil"/>
              <w:bottom w:val="single" w:sz="4" w:space="0" w:color="auto"/>
              <w:right w:val="single" w:sz="4" w:space="0" w:color="auto"/>
            </w:tcBorders>
            <w:noWrap/>
            <w:vAlign w:val="bottom"/>
          </w:tcPr>
          <w:p w:rsidR="000938C1" w:rsidRPr="008D6BC4" w:rsidRDefault="000938C1" w:rsidP="003B19BC">
            <w:pPr>
              <w:spacing w:before="120"/>
              <w:jc w:val="right"/>
              <w:rPr>
                <w:bCs/>
                <w:sz w:val="20"/>
                <w:szCs w:val="20"/>
                <w:lang w:val="en-US"/>
              </w:rPr>
            </w:pPr>
            <w:r w:rsidRPr="00354DF3">
              <w:rPr>
                <w:bCs/>
                <w:sz w:val="20"/>
                <w:szCs w:val="20"/>
              </w:rPr>
              <w:t>4,</w:t>
            </w:r>
            <w:r>
              <w:rPr>
                <w:bCs/>
                <w:sz w:val="20"/>
                <w:szCs w:val="20"/>
                <w:lang w:val="en-US"/>
              </w:rPr>
              <w:t>7</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Cs/>
                <w:sz w:val="20"/>
                <w:szCs w:val="20"/>
                <w:lang w:val="en-US"/>
              </w:rPr>
            </w:pPr>
            <w:r w:rsidRPr="008D6BC4">
              <w:rPr>
                <w:bCs/>
                <w:sz w:val="20"/>
                <w:szCs w:val="20"/>
                <w:lang w:val="en-US"/>
              </w:rPr>
              <w:t>4,5</w:t>
            </w:r>
          </w:p>
        </w:tc>
      </w:tr>
      <w:tr w:rsidR="000938C1" w:rsidRPr="00CF1A14" w:rsidTr="003B19BC">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0938C1" w:rsidRPr="00354DF3" w:rsidRDefault="000938C1" w:rsidP="003B19BC">
            <w:pPr>
              <w:spacing w:before="120"/>
              <w:rPr>
                <w:bCs/>
                <w:sz w:val="20"/>
                <w:szCs w:val="20"/>
              </w:rPr>
            </w:pPr>
            <w:r w:rsidRPr="00354DF3">
              <w:rPr>
                <w:bCs/>
                <w:sz w:val="20"/>
                <w:szCs w:val="20"/>
              </w:rPr>
              <w:t>Словакия</w:t>
            </w:r>
          </w:p>
        </w:tc>
        <w:tc>
          <w:tcPr>
            <w:tcW w:w="786"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1,9</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2,0</w:t>
            </w:r>
          </w:p>
        </w:tc>
        <w:tc>
          <w:tcPr>
            <w:tcW w:w="720"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2,3</w:t>
            </w:r>
          </w:p>
        </w:tc>
        <w:tc>
          <w:tcPr>
            <w:tcW w:w="697" w:type="dxa"/>
            <w:tcBorders>
              <w:top w:val="nil"/>
              <w:left w:val="nil"/>
              <w:bottom w:val="single" w:sz="4" w:space="0" w:color="auto"/>
              <w:right w:val="single" w:sz="4" w:space="0" w:color="auto"/>
            </w:tcBorders>
            <w:noWrap/>
            <w:vAlign w:val="bottom"/>
          </w:tcPr>
          <w:p w:rsidR="000938C1" w:rsidRPr="00354DF3" w:rsidRDefault="000938C1" w:rsidP="003B19BC">
            <w:pPr>
              <w:spacing w:before="120"/>
              <w:jc w:val="right"/>
              <w:rPr>
                <w:bCs/>
                <w:sz w:val="20"/>
                <w:szCs w:val="20"/>
              </w:rPr>
            </w:pPr>
            <w:r w:rsidRPr="00354DF3">
              <w:rPr>
                <w:bCs/>
                <w:sz w:val="20"/>
                <w:szCs w:val="20"/>
              </w:rPr>
              <w:t>2,6</w:t>
            </w:r>
          </w:p>
        </w:tc>
        <w:tc>
          <w:tcPr>
            <w:tcW w:w="709" w:type="dxa"/>
            <w:tcBorders>
              <w:top w:val="nil"/>
              <w:left w:val="nil"/>
              <w:bottom w:val="single" w:sz="4" w:space="0" w:color="auto"/>
              <w:right w:val="single" w:sz="4" w:space="0" w:color="auto"/>
            </w:tcBorders>
            <w:noWrap/>
            <w:vAlign w:val="bottom"/>
          </w:tcPr>
          <w:p w:rsidR="000938C1" w:rsidRPr="008D6BC4" w:rsidRDefault="000938C1" w:rsidP="003B19BC">
            <w:pPr>
              <w:spacing w:before="120"/>
              <w:jc w:val="right"/>
              <w:rPr>
                <w:bCs/>
                <w:sz w:val="20"/>
                <w:szCs w:val="20"/>
                <w:lang w:val="en-US"/>
              </w:rPr>
            </w:pPr>
            <w:r w:rsidRPr="00354DF3">
              <w:rPr>
                <w:bCs/>
                <w:sz w:val="20"/>
                <w:szCs w:val="20"/>
              </w:rPr>
              <w:t>2,</w:t>
            </w:r>
            <w:r>
              <w:rPr>
                <w:bCs/>
                <w:sz w:val="20"/>
                <w:szCs w:val="20"/>
                <w:lang w:val="en-US"/>
              </w:rPr>
              <w:t>7</w:t>
            </w:r>
          </w:p>
        </w:tc>
        <w:tc>
          <w:tcPr>
            <w:tcW w:w="620" w:type="dxa"/>
            <w:tcBorders>
              <w:top w:val="nil"/>
              <w:left w:val="nil"/>
              <w:bottom w:val="single" w:sz="4" w:space="0" w:color="auto"/>
              <w:right w:val="single" w:sz="4" w:space="0" w:color="auto"/>
            </w:tcBorders>
            <w:noWrap/>
            <w:vAlign w:val="bottom"/>
          </w:tcPr>
          <w:p w:rsidR="000938C1" w:rsidRPr="008D6BC4" w:rsidRDefault="000938C1" w:rsidP="003B19BC">
            <w:pPr>
              <w:spacing w:before="120"/>
              <w:jc w:val="right"/>
              <w:rPr>
                <w:bCs/>
                <w:sz w:val="20"/>
                <w:szCs w:val="20"/>
                <w:lang w:val="en-US"/>
              </w:rPr>
            </w:pPr>
            <w:r>
              <w:rPr>
                <w:bCs/>
                <w:sz w:val="20"/>
                <w:szCs w:val="20"/>
                <w:lang w:val="en-US"/>
              </w:rPr>
              <w:t>2</w:t>
            </w:r>
            <w:r w:rsidRPr="00354DF3">
              <w:rPr>
                <w:bCs/>
                <w:sz w:val="20"/>
                <w:szCs w:val="20"/>
              </w:rPr>
              <w:t>,</w:t>
            </w:r>
            <w:r>
              <w:rPr>
                <w:bCs/>
                <w:sz w:val="20"/>
                <w:szCs w:val="20"/>
                <w:lang w:val="en-US"/>
              </w:rPr>
              <w:t>2</w:t>
            </w:r>
          </w:p>
        </w:tc>
        <w:tc>
          <w:tcPr>
            <w:tcW w:w="765" w:type="dxa"/>
            <w:tcBorders>
              <w:top w:val="nil"/>
              <w:left w:val="nil"/>
              <w:bottom w:val="single" w:sz="4" w:space="0" w:color="auto"/>
              <w:right w:val="single" w:sz="4" w:space="0" w:color="auto"/>
            </w:tcBorders>
            <w:vAlign w:val="bottom"/>
          </w:tcPr>
          <w:p w:rsidR="000938C1" w:rsidRPr="008D6BC4" w:rsidRDefault="000938C1" w:rsidP="003B19BC">
            <w:pPr>
              <w:spacing w:before="120"/>
              <w:jc w:val="right"/>
              <w:rPr>
                <w:bCs/>
                <w:sz w:val="20"/>
                <w:szCs w:val="20"/>
                <w:lang w:val="en-US"/>
              </w:rPr>
            </w:pPr>
            <w:r w:rsidRPr="008D6BC4">
              <w:rPr>
                <w:bCs/>
                <w:sz w:val="20"/>
                <w:szCs w:val="20"/>
                <w:lang w:val="en-US"/>
              </w:rPr>
              <w:t>2,1</w:t>
            </w:r>
          </w:p>
        </w:tc>
      </w:tr>
      <w:tr w:rsidR="000938C1" w:rsidRPr="00CF1A14" w:rsidTr="003B19BC">
        <w:trPr>
          <w:trHeight w:val="255"/>
          <w:jc w:val="center"/>
        </w:trPr>
        <w:tc>
          <w:tcPr>
            <w:tcW w:w="9144" w:type="dxa"/>
            <w:gridSpan w:val="8"/>
            <w:tcBorders>
              <w:top w:val="nil"/>
              <w:left w:val="nil"/>
              <w:bottom w:val="nil"/>
              <w:right w:val="nil"/>
            </w:tcBorders>
            <w:noWrap/>
            <w:vAlign w:val="bottom"/>
          </w:tcPr>
          <w:p w:rsidR="000938C1" w:rsidRPr="00354DF3" w:rsidRDefault="000938C1" w:rsidP="003B19BC">
            <w:pPr>
              <w:spacing w:before="120"/>
              <w:rPr>
                <w:sz w:val="20"/>
                <w:szCs w:val="20"/>
              </w:rPr>
            </w:pPr>
            <w:r w:rsidRPr="00354DF3">
              <w:rPr>
                <w:sz w:val="20"/>
                <w:szCs w:val="20"/>
              </w:rPr>
              <w:t>Източник: Eurostat</w:t>
            </w:r>
          </w:p>
          <w:p w:rsidR="000938C1" w:rsidRPr="00CF1A14" w:rsidRDefault="000938C1" w:rsidP="003B19BC">
            <w:pPr>
              <w:spacing w:before="120"/>
              <w:rPr>
                <w:color w:val="0070C0"/>
                <w:sz w:val="20"/>
                <w:szCs w:val="20"/>
              </w:rPr>
            </w:pPr>
            <w:r w:rsidRPr="00354DF3">
              <w:rPr>
                <w:sz w:val="20"/>
                <w:szCs w:val="20"/>
              </w:rPr>
              <w:t>*данните за 201</w:t>
            </w:r>
            <w:r w:rsidRPr="00CE1B03">
              <w:rPr>
                <w:sz w:val="20"/>
                <w:szCs w:val="20"/>
              </w:rPr>
              <w:t>3</w:t>
            </w:r>
            <w:r w:rsidRPr="00354DF3">
              <w:rPr>
                <w:sz w:val="20"/>
                <w:szCs w:val="20"/>
              </w:rPr>
              <w:t xml:space="preserve"> г. са на база оценки на DG ECFIN - European Economic Forecast - spring 201</w:t>
            </w:r>
            <w:r w:rsidRPr="00CE1B03">
              <w:rPr>
                <w:sz w:val="20"/>
                <w:szCs w:val="20"/>
              </w:rPr>
              <w:t>4</w:t>
            </w:r>
          </w:p>
        </w:tc>
      </w:tr>
    </w:tbl>
    <w:p w:rsidR="000938C1" w:rsidRPr="00CF1A14" w:rsidRDefault="000938C1" w:rsidP="00E266D9">
      <w:pPr>
        <w:pStyle w:val="Default"/>
        <w:ind w:firstLine="700"/>
        <w:jc w:val="both"/>
        <w:rPr>
          <w:color w:val="0070C0"/>
          <w:sz w:val="12"/>
          <w:szCs w:val="12"/>
        </w:rPr>
      </w:pPr>
    </w:p>
    <w:p w:rsidR="000938C1" w:rsidRDefault="000938C1" w:rsidP="00E266D9">
      <w:pPr>
        <w:pStyle w:val="Default"/>
        <w:ind w:firstLine="720"/>
        <w:jc w:val="both"/>
        <w:rPr>
          <w:rFonts w:ascii="Times New Roman" w:hAnsi="Times New Roman"/>
          <w:color w:val="0070C0"/>
        </w:rPr>
      </w:pPr>
    </w:p>
    <w:p w:rsidR="000938C1" w:rsidRPr="00987D68" w:rsidRDefault="000938C1" w:rsidP="00E266D9">
      <w:pPr>
        <w:pStyle w:val="Default"/>
        <w:ind w:firstLine="720"/>
        <w:jc w:val="both"/>
        <w:rPr>
          <w:rFonts w:ascii="Times New Roman" w:hAnsi="Times New Roman"/>
          <w:color w:val="auto"/>
        </w:rPr>
      </w:pPr>
      <w:r w:rsidRPr="00735852">
        <w:rPr>
          <w:rFonts w:ascii="Times New Roman" w:hAnsi="Times New Roman"/>
          <w:color w:val="auto"/>
        </w:rPr>
        <w:t xml:space="preserve">През </w:t>
      </w:r>
      <w:r w:rsidRPr="00A15D09">
        <w:rPr>
          <w:rFonts w:ascii="Times New Roman" w:hAnsi="Times New Roman" w:cs="Times New Roman"/>
          <w:color w:val="auto"/>
        </w:rPr>
        <w:t>201</w:t>
      </w:r>
      <w:r w:rsidRPr="0052476D">
        <w:rPr>
          <w:rFonts w:ascii="Times New Roman" w:hAnsi="Times New Roman" w:cs="Times New Roman"/>
          <w:lang w:val="ru-RU"/>
        </w:rPr>
        <w:t>3</w:t>
      </w:r>
      <w:r w:rsidRPr="00A15D09">
        <w:rPr>
          <w:rFonts w:ascii="Times New Roman" w:hAnsi="Times New Roman" w:cs="Times New Roman"/>
          <w:color w:val="auto"/>
        </w:rPr>
        <w:t xml:space="preserve"> г.</w:t>
      </w:r>
      <w:r w:rsidRPr="00735852">
        <w:rPr>
          <w:rFonts w:ascii="Times New Roman" w:hAnsi="Times New Roman"/>
          <w:color w:val="auto"/>
        </w:rPr>
        <w:t xml:space="preserve"> публичните разходи за придобиване на </w:t>
      </w:r>
      <w:r>
        <w:rPr>
          <w:rFonts w:ascii="Times New Roman" w:hAnsi="Times New Roman"/>
          <w:color w:val="auto"/>
        </w:rPr>
        <w:t>дълготрайни материални активи</w:t>
      </w:r>
      <w:r w:rsidRPr="00735852">
        <w:rPr>
          <w:rFonts w:ascii="Times New Roman" w:hAnsi="Times New Roman"/>
          <w:color w:val="auto"/>
        </w:rPr>
        <w:t xml:space="preserve"> остават на едно сравнително високо ниво спрямо тези в държавите от ЕС. Като относителен дял от БВП</w:t>
      </w:r>
      <w:r>
        <w:rPr>
          <w:rFonts w:ascii="Times New Roman" w:hAnsi="Times New Roman"/>
          <w:color w:val="auto"/>
        </w:rPr>
        <w:t xml:space="preserve"> те </w:t>
      </w:r>
      <w:r w:rsidRPr="00C47877">
        <w:rPr>
          <w:rFonts w:ascii="Times New Roman" w:hAnsi="Times New Roman"/>
          <w:color w:val="auto"/>
        </w:rPr>
        <w:t>нарастват с 0,8 п.п. спрямо 2012 г., въпреки ограничените възможности на бюджета в</w:t>
      </w:r>
      <w:r>
        <w:rPr>
          <w:rFonts w:ascii="Times New Roman" w:hAnsi="Times New Roman"/>
          <w:color w:val="auto"/>
        </w:rPr>
        <w:t xml:space="preserve"> </w:t>
      </w:r>
      <w:r w:rsidRPr="00524CBB">
        <w:rPr>
          <w:rFonts w:ascii="Times New Roman" w:hAnsi="Times New Roman"/>
          <w:color w:val="auto"/>
        </w:rPr>
        <w:t xml:space="preserve">условията на сравнително слаб икономически растеж. Изпълнението на инвестиционните политики през 2013 г. продължи да следва </w:t>
      </w:r>
      <w:r w:rsidRPr="00987D68">
        <w:rPr>
          <w:rFonts w:ascii="Times New Roman" w:hAnsi="Times New Roman"/>
          <w:color w:val="auto"/>
        </w:rPr>
        <w:t>приоритетите от предходните години за модернизиране на екологичната и пътната инфраструктура, като съществен принос има</w:t>
      </w:r>
      <w:r>
        <w:rPr>
          <w:rFonts w:ascii="Times New Roman" w:hAnsi="Times New Roman"/>
          <w:color w:val="auto"/>
        </w:rPr>
        <w:t>ха и</w:t>
      </w:r>
      <w:r w:rsidRPr="00987D68">
        <w:rPr>
          <w:rFonts w:ascii="Times New Roman" w:hAnsi="Times New Roman"/>
          <w:color w:val="auto"/>
        </w:rPr>
        <w:t xml:space="preserve"> проектите по оперативните програми, съфинансирани от Структурните и Кохезионния фондове на ЕС, както и от други фондове и програми на ЕС. Капиталовите разходи са разпределени по приоритети в рамките на изпълняваните от първостепенните разпоредители с бюджетни кредити политики и програми, с цел стимулиране на секторите, генериращи високи икономически и социално-обществени ползи. </w:t>
      </w:r>
    </w:p>
    <w:p w:rsidR="000938C1" w:rsidRPr="00CF1A14" w:rsidRDefault="000938C1" w:rsidP="00E266D9">
      <w:pPr>
        <w:pStyle w:val="Default"/>
        <w:jc w:val="both"/>
        <w:rPr>
          <w:rFonts w:ascii="Times New Roman" w:hAnsi="Times New Roman"/>
          <w:color w:val="0070C0"/>
          <w:sz w:val="4"/>
          <w:szCs w:val="4"/>
        </w:rPr>
      </w:pPr>
    </w:p>
    <w:p w:rsidR="000938C1" w:rsidRPr="00354DF3" w:rsidRDefault="000938C1" w:rsidP="00E266D9">
      <w:pPr>
        <w:pStyle w:val="Default"/>
        <w:spacing w:before="240" w:after="60" w:line="360" w:lineRule="auto"/>
        <w:ind w:left="1220" w:hanging="500"/>
        <w:rPr>
          <w:rFonts w:ascii="Times New Roman" w:hAnsi="Times New Roman" w:cs="Times New Roman"/>
          <w:color w:val="auto"/>
        </w:rPr>
      </w:pPr>
      <w:r w:rsidRPr="00354DF3">
        <w:rPr>
          <w:rFonts w:ascii="Times New Roman" w:hAnsi="Times New Roman" w:cs="Times New Roman"/>
          <w:b/>
          <w:bCs/>
          <w:color w:val="auto"/>
        </w:rPr>
        <w:t xml:space="preserve">Публични капиталови разходи </w:t>
      </w:r>
    </w:p>
    <w:p w:rsidR="000938C1" w:rsidRDefault="000938C1" w:rsidP="00E266D9">
      <w:pPr>
        <w:pStyle w:val="Default"/>
        <w:ind w:firstLine="720"/>
        <w:jc w:val="both"/>
        <w:rPr>
          <w:rFonts w:ascii="Times New Roman" w:hAnsi="Times New Roman"/>
          <w:color w:val="auto"/>
          <w:lang w:val="en-US"/>
        </w:rPr>
      </w:pPr>
      <w:r w:rsidRPr="00354DF3">
        <w:rPr>
          <w:rFonts w:ascii="Times New Roman" w:hAnsi="Times New Roman"/>
          <w:color w:val="auto"/>
        </w:rPr>
        <w:t>Разпределението на капиталовите разходи за 201</w:t>
      </w:r>
      <w:r w:rsidRPr="002255D3">
        <w:rPr>
          <w:rFonts w:ascii="Times New Roman" w:hAnsi="Times New Roman"/>
          <w:color w:val="auto"/>
          <w:lang w:val="ru-RU"/>
        </w:rPr>
        <w:t>3</w:t>
      </w:r>
      <w:r w:rsidRPr="00354DF3">
        <w:rPr>
          <w:rFonts w:ascii="Times New Roman" w:hAnsi="Times New Roman"/>
          <w:color w:val="auto"/>
        </w:rPr>
        <w:t xml:space="preserve"> г. </w:t>
      </w:r>
      <w:r>
        <w:rPr>
          <w:rFonts w:ascii="Times New Roman" w:hAnsi="Times New Roman"/>
          <w:color w:val="auto"/>
        </w:rPr>
        <w:t xml:space="preserve">на консолидираната фискална програма </w:t>
      </w:r>
      <w:r w:rsidRPr="00354DF3">
        <w:rPr>
          <w:rFonts w:ascii="Times New Roman" w:hAnsi="Times New Roman"/>
          <w:color w:val="auto"/>
        </w:rPr>
        <w:t>по функции отразява секторните приоритети при реализацията на инвестиционната политика в публичната сфера. На графиката по-долу е представено функционалното разпределение на отчетените за 201</w:t>
      </w:r>
      <w:r w:rsidRPr="002255D3">
        <w:rPr>
          <w:rFonts w:ascii="Times New Roman" w:hAnsi="Times New Roman"/>
          <w:color w:val="auto"/>
          <w:lang w:val="ru-RU"/>
        </w:rPr>
        <w:t>3</w:t>
      </w:r>
      <w:r w:rsidRPr="00354DF3">
        <w:rPr>
          <w:rFonts w:ascii="Times New Roman" w:hAnsi="Times New Roman"/>
          <w:color w:val="auto"/>
        </w:rPr>
        <w:t xml:space="preserve"> г. капиталови разходи. </w:t>
      </w:r>
    </w:p>
    <w:p w:rsidR="000938C1" w:rsidRPr="00AE5887" w:rsidRDefault="000938C1" w:rsidP="00E266D9">
      <w:pPr>
        <w:pStyle w:val="Default"/>
        <w:ind w:firstLine="720"/>
        <w:jc w:val="both"/>
        <w:rPr>
          <w:rFonts w:ascii="Times New Roman" w:hAnsi="Times New Roman"/>
          <w:color w:val="auto"/>
          <w:lang w:val="en-US"/>
        </w:rPr>
      </w:pPr>
    </w:p>
    <w:p w:rsidR="000938C1" w:rsidRPr="00CF1A14" w:rsidRDefault="000938C1" w:rsidP="00E266D9">
      <w:pPr>
        <w:pStyle w:val="Default"/>
        <w:jc w:val="both"/>
        <w:rPr>
          <w:rFonts w:ascii="Times New Roman" w:hAnsi="Times New Roman"/>
          <w:color w:val="0070C0"/>
        </w:rPr>
      </w:pPr>
      <w:r w:rsidRPr="00656AB5">
        <w:rPr>
          <w:noProof/>
        </w:rPr>
        <w:object w:dxaOrig="9409" w:dyaOrig="5434">
          <v:shape id="Chart 10" o:spid="_x0000_i1032" type="#_x0000_t75" style="width:470.25pt;height:271.5pt;visibility:visible" o:ole="">
            <v:imagedata r:id="rId22" o:title=""/>
            <o:lock v:ext="edit" aspectratio="f"/>
          </v:shape>
          <o:OLEObject Type="Embed" ProgID="Excel.Chart.8" ShapeID="Chart 10" DrawAspect="Content" ObjectID="_1467645785" r:id="rId23"/>
        </w:object>
      </w:r>
    </w:p>
    <w:p w:rsidR="000938C1" w:rsidRPr="00CF1A14" w:rsidRDefault="000938C1" w:rsidP="00E266D9">
      <w:pPr>
        <w:pStyle w:val="Default"/>
        <w:ind w:firstLine="113"/>
        <w:jc w:val="both"/>
        <w:rPr>
          <w:noProof/>
          <w:color w:val="0070C0"/>
        </w:rPr>
      </w:pPr>
    </w:p>
    <w:p w:rsidR="000938C1" w:rsidRPr="00483E6B" w:rsidRDefault="000938C1" w:rsidP="00E266D9">
      <w:pPr>
        <w:pStyle w:val="Default"/>
        <w:ind w:firstLine="720"/>
        <w:jc w:val="both"/>
        <w:rPr>
          <w:rFonts w:ascii="Times New Roman" w:hAnsi="Times New Roman"/>
          <w:color w:val="auto"/>
        </w:rPr>
      </w:pPr>
      <w:r w:rsidRPr="007D4DC8">
        <w:rPr>
          <w:rFonts w:ascii="Times New Roman" w:hAnsi="Times New Roman"/>
          <w:color w:val="auto"/>
        </w:rPr>
        <w:t xml:space="preserve">Анализът на инвестиционните разходи по функционален признак показва, че най-голям относителен дял заемат разходите за „Икономически дейности и услуги” </w:t>
      </w:r>
      <w:r>
        <w:rPr>
          <w:rFonts w:ascii="Times New Roman" w:hAnsi="Times New Roman"/>
          <w:color w:val="auto"/>
        </w:rPr>
        <w:t xml:space="preserve">– </w:t>
      </w:r>
      <w:r w:rsidRPr="00CE1B03">
        <w:rPr>
          <w:rFonts w:ascii="Times New Roman" w:hAnsi="Times New Roman"/>
          <w:color w:val="auto"/>
          <w:lang w:val="ru-RU"/>
        </w:rPr>
        <w:t>49</w:t>
      </w:r>
      <w:r>
        <w:rPr>
          <w:rFonts w:ascii="Times New Roman" w:hAnsi="Times New Roman"/>
          <w:color w:val="auto"/>
        </w:rPr>
        <w:t>,</w:t>
      </w:r>
      <w:r>
        <w:rPr>
          <w:rFonts w:ascii="Times New Roman" w:hAnsi="Times New Roman"/>
          <w:color w:val="auto"/>
          <w:lang w:val="en-US"/>
        </w:rPr>
        <w:t>4</w:t>
      </w:r>
      <w:r w:rsidRPr="007D4DC8">
        <w:rPr>
          <w:rFonts w:ascii="Times New Roman" w:hAnsi="Times New Roman"/>
          <w:color w:val="auto"/>
        </w:rPr>
        <w:t xml:space="preserve"> % от общите разходи. Размерът на отчетените средства по функцията </w:t>
      </w:r>
      <w:r w:rsidRPr="00987D68">
        <w:rPr>
          <w:rFonts w:ascii="Times New Roman" w:hAnsi="Times New Roman"/>
          <w:color w:val="auto"/>
        </w:rPr>
        <w:t>е 2</w:t>
      </w:r>
      <w:r>
        <w:rPr>
          <w:rFonts w:ascii="Times New Roman" w:hAnsi="Times New Roman"/>
          <w:color w:val="auto"/>
        </w:rPr>
        <w:t> </w:t>
      </w:r>
      <w:r w:rsidRPr="00CE1B03">
        <w:rPr>
          <w:rFonts w:ascii="Times New Roman" w:hAnsi="Times New Roman"/>
          <w:color w:val="auto"/>
          <w:lang w:val="ru-RU"/>
        </w:rPr>
        <w:t>0</w:t>
      </w:r>
      <w:r>
        <w:rPr>
          <w:rFonts w:ascii="Times New Roman" w:hAnsi="Times New Roman"/>
          <w:color w:val="auto"/>
          <w:lang w:val="en-US"/>
        </w:rPr>
        <w:t>30</w:t>
      </w:r>
      <w:r>
        <w:rPr>
          <w:rFonts w:ascii="Times New Roman" w:hAnsi="Times New Roman"/>
          <w:color w:val="auto"/>
        </w:rPr>
        <w:t>,</w:t>
      </w:r>
      <w:r>
        <w:rPr>
          <w:rFonts w:ascii="Times New Roman" w:hAnsi="Times New Roman"/>
          <w:color w:val="auto"/>
          <w:lang w:val="en-US"/>
        </w:rPr>
        <w:t>9</w:t>
      </w:r>
      <w:r w:rsidRPr="00987D68">
        <w:rPr>
          <w:rFonts w:ascii="Times New Roman" w:hAnsi="Times New Roman"/>
          <w:color w:val="auto"/>
        </w:rPr>
        <w:t xml:space="preserve"> млн. лв.</w:t>
      </w:r>
      <w:r>
        <w:rPr>
          <w:rFonts w:ascii="Times New Roman" w:hAnsi="Times New Roman"/>
          <w:color w:val="auto"/>
        </w:rPr>
        <w:t xml:space="preserve">, като </w:t>
      </w:r>
      <w:r w:rsidRPr="00483E6B">
        <w:rPr>
          <w:rFonts w:ascii="Times New Roman" w:hAnsi="Times New Roman"/>
          <w:color w:val="auto"/>
        </w:rPr>
        <w:t>основната част от разходите в тази функция са отчетени в група</w:t>
      </w:r>
      <w:r>
        <w:rPr>
          <w:rFonts w:ascii="Times New Roman" w:hAnsi="Times New Roman"/>
          <w:color w:val="auto"/>
        </w:rPr>
        <w:t>.</w:t>
      </w:r>
      <w:r w:rsidRPr="00483E6B">
        <w:rPr>
          <w:rFonts w:ascii="Times New Roman" w:hAnsi="Times New Roman"/>
          <w:color w:val="auto"/>
        </w:rPr>
        <w:t xml:space="preserve"> В „Транспорт и съобщения”.</w:t>
      </w:r>
      <w:r>
        <w:rPr>
          <w:rFonts w:ascii="Times New Roman" w:hAnsi="Times New Roman"/>
          <w:color w:val="auto"/>
        </w:rPr>
        <w:t xml:space="preserve"> </w:t>
      </w:r>
      <w:r w:rsidRPr="00483E6B">
        <w:rPr>
          <w:rFonts w:ascii="Times New Roman" w:hAnsi="Times New Roman"/>
          <w:color w:val="auto"/>
        </w:rPr>
        <w:t xml:space="preserve">Значителният размер на </w:t>
      </w:r>
      <w:r>
        <w:rPr>
          <w:rFonts w:ascii="Times New Roman" w:hAnsi="Times New Roman"/>
          <w:color w:val="auto"/>
        </w:rPr>
        <w:t>изразходените средства</w:t>
      </w:r>
      <w:r w:rsidRPr="00483E6B">
        <w:rPr>
          <w:rFonts w:ascii="Times New Roman" w:hAnsi="Times New Roman"/>
          <w:color w:val="auto"/>
        </w:rPr>
        <w:t xml:space="preserve"> през годината е свързано основно с финансирането на инфраструктурни обекти с национално значение.</w:t>
      </w:r>
    </w:p>
    <w:p w:rsidR="000938C1" w:rsidRPr="00AB2D7A" w:rsidRDefault="000938C1" w:rsidP="00E266D9">
      <w:pPr>
        <w:pStyle w:val="Default"/>
        <w:ind w:firstLine="720"/>
        <w:jc w:val="both"/>
        <w:rPr>
          <w:rFonts w:ascii="Times New Roman" w:hAnsi="Times New Roman"/>
          <w:color w:val="auto"/>
          <w:sz w:val="12"/>
          <w:szCs w:val="12"/>
        </w:rPr>
      </w:pPr>
      <w:r w:rsidRPr="005C7F20">
        <w:rPr>
          <w:rFonts w:ascii="Times New Roman" w:hAnsi="Times New Roman"/>
          <w:color w:val="auto"/>
        </w:rPr>
        <w:t>По-значимите инвестиционни проекти в сектор „Транспорт” са свързани с изпълнението на проектите за „Автомагистрала „Струма“, Лот 1, 2 и 4”, „Рехабилитация на железопътна инфраструктура в участъци от железопътната линия Пловдив</w:t>
      </w:r>
      <w:r>
        <w:rPr>
          <w:rFonts w:ascii="Times New Roman" w:hAnsi="Times New Roman"/>
          <w:color w:val="auto"/>
        </w:rPr>
        <w:t> </w:t>
      </w:r>
      <w:r w:rsidRPr="005C7F20">
        <w:rPr>
          <w:rFonts w:ascii="Times New Roman" w:hAnsi="Times New Roman"/>
          <w:color w:val="auto"/>
        </w:rPr>
        <w:t>-</w:t>
      </w:r>
      <w:r>
        <w:rPr>
          <w:rFonts w:ascii="Times New Roman" w:hAnsi="Times New Roman"/>
          <w:color w:val="auto"/>
        </w:rPr>
        <w:t> </w:t>
      </w:r>
      <w:r w:rsidRPr="005C7F20">
        <w:rPr>
          <w:rFonts w:ascii="Times New Roman" w:hAnsi="Times New Roman"/>
          <w:color w:val="auto"/>
        </w:rPr>
        <w:t>Бургас“,</w:t>
      </w:r>
      <w:r>
        <w:rPr>
          <w:rFonts w:ascii="Times New Roman" w:hAnsi="Times New Roman"/>
          <w:color w:val="auto"/>
        </w:rPr>
        <w:t xml:space="preserve"> „Проект за разширение на метрото в София Етап ІІІ, Лот 1 „Цариградско шосе - Летище София“ и Лот 2 „жк Младост 1 - Бизнес парк в Младост 4“</w:t>
      </w:r>
      <w:r w:rsidRPr="005C7F20">
        <w:rPr>
          <w:rFonts w:ascii="Times New Roman" w:hAnsi="Times New Roman"/>
          <w:color w:val="auto"/>
        </w:rPr>
        <w:t xml:space="preserve"> „Изграждане на автомагистрала „Марица“, Лот</w:t>
      </w:r>
      <w:r>
        <w:rPr>
          <w:rFonts w:ascii="Times New Roman" w:hAnsi="Times New Roman"/>
          <w:color w:val="auto"/>
        </w:rPr>
        <w:t> </w:t>
      </w:r>
      <w:r w:rsidRPr="005C7F20">
        <w:rPr>
          <w:rFonts w:ascii="Times New Roman" w:hAnsi="Times New Roman"/>
          <w:color w:val="auto"/>
        </w:rPr>
        <w:t>1 и Лот</w:t>
      </w:r>
      <w:r>
        <w:rPr>
          <w:rFonts w:ascii="Times New Roman" w:hAnsi="Times New Roman"/>
          <w:color w:val="auto"/>
        </w:rPr>
        <w:t> </w:t>
      </w:r>
      <w:r w:rsidRPr="005C7F20">
        <w:rPr>
          <w:rFonts w:ascii="Times New Roman" w:hAnsi="Times New Roman"/>
          <w:color w:val="auto"/>
        </w:rPr>
        <w:t>2”, „Реконструкция и електрификация на железопътна линия Пловдив – Свиленград по коридор ІV и ІХ, Фаза 2: участък Първомай – Свиленград“,</w:t>
      </w:r>
      <w:r w:rsidRPr="00AB2D7A">
        <w:rPr>
          <w:rFonts w:ascii="Times New Roman" w:hAnsi="Times New Roman"/>
          <w:color w:val="auto"/>
        </w:rPr>
        <w:t>„Изграждане на автомагистрала „Марица“, Лот 1 и Лот 2</w:t>
      </w:r>
      <w:r>
        <w:rPr>
          <w:rFonts w:ascii="Times New Roman" w:hAnsi="Times New Roman"/>
          <w:color w:val="auto"/>
        </w:rPr>
        <w:t xml:space="preserve">, </w:t>
      </w:r>
      <w:r w:rsidRPr="00A96732">
        <w:rPr>
          <w:rFonts w:ascii="Times New Roman" w:hAnsi="Times New Roman"/>
          <w:color w:val="auto"/>
        </w:rPr>
        <w:t>„Проект за разширения на метрото в София: Етап ІІ Лот 1 „Обеля – Надежда“ и Лот 2 „Младост І- Цариградско шосе“, „Изграждане на АМ Калотина – София, Лот 1: Западна дъга на Софийски околовръстен път“, „Доизграждане на АМ „Тракия“, Лото</w:t>
      </w:r>
      <w:r>
        <w:rPr>
          <w:rFonts w:ascii="Times New Roman" w:hAnsi="Times New Roman"/>
          <w:color w:val="auto"/>
        </w:rPr>
        <w:t>ве 2, 3 и 4“, „Модернизация на железопътен участък „</w:t>
      </w:r>
      <w:r w:rsidRPr="00AB2D7A">
        <w:rPr>
          <w:rFonts w:ascii="Times New Roman" w:hAnsi="Times New Roman"/>
          <w:color w:val="auto"/>
        </w:rPr>
        <w:t>Септември- Пловдив</w:t>
      </w:r>
      <w:r>
        <w:rPr>
          <w:rFonts w:ascii="Times New Roman" w:hAnsi="Times New Roman"/>
          <w:color w:val="auto"/>
        </w:rPr>
        <w:t xml:space="preserve">“ – част от Трансевропейската железопътна мрежа“. </w:t>
      </w:r>
      <w:r w:rsidRPr="00AB2D7A">
        <w:rPr>
          <w:rFonts w:ascii="Times New Roman" w:hAnsi="Times New Roman"/>
          <w:color w:val="auto"/>
        </w:rPr>
        <w:t>Разходите по тази функция са свързани с усвоеното финансиране от Структурните и  Кохезионния фондовете на ЕС, държавни инвестиционни заеми, съответното национално съфинансиране</w:t>
      </w:r>
      <w:r>
        <w:rPr>
          <w:rFonts w:ascii="Times New Roman" w:hAnsi="Times New Roman"/>
          <w:color w:val="auto"/>
        </w:rPr>
        <w:t>, както и проекти с национално финансиране</w:t>
      </w:r>
      <w:r w:rsidRPr="00AB2D7A">
        <w:rPr>
          <w:rFonts w:ascii="Times New Roman" w:hAnsi="Times New Roman"/>
          <w:color w:val="auto"/>
        </w:rPr>
        <w:t xml:space="preserve">. </w:t>
      </w:r>
    </w:p>
    <w:p w:rsidR="000938C1" w:rsidRPr="001C6EA1" w:rsidRDefault="000938C1" w:rsidP="00E266D9">
      <w:pPr>
        <w:pStyle w:val="Default"/>
        <w:spacing w:after="120"/>
        <w:ind w:firstLine="720"/>
        <w:jc w:val="both"/>
        <w:rPr>
          <w:rFonts w:ascii="Times New Roman" w:hAnsi="Times New Roman"/>
          <w:color w:val="auto"/>
        </w:rPr>
      </w:pPr>
      <w:r w:rsidRPr="007B71D4">
        <w:rPr>
          <w:rFonts w:ascii="Times New Roman" w:hAnsi="Times New Roman"/>
          <w:color w:val="auto"/>
        </w:rPr>
        <w:t>На второ място по размер са инвестиционните разходи по функция „Жилищно строителство, благоустройство и комунално стопанство”, чиито дял съставлява 25</w:t>
      </w:r>
      <w:r>
        <w:rPr>
          <w:rFonts w:ascii="Times New Roman" w:hAnsi="Times New Roman"/>
          <w:color w:val="auto"/>
        </w:rPr>
        <w:t>,4 </w:t>
      </w:r>
      <w:r w:rsidRPr="007B71D4">
        <w:rPr>
          <w:rFonts w:ascii="Times New Roman" w:hAnsi="Times New Roman"/>
          <w:color w:val="auto"/>
        </w:rPr>
        <w:t>% от капиталовите разходи по КФП.</w:t>
      </w:r>
      <w:r>
        <w:rPr>
          <w:rFonts w:ascii="Times New Roman" w:hAnsi="Times New Roman"/>
          <w:color w:val="auto"/>
        </w:rPr>
        <w:t xml:space="preserve"> </w:t>
      </w:r>
      <w:r w:rsidRPr="0064414A">
        <w:rPr>
          <w:rFonts w:ascii="Times New Roman" w:hAnsi="Times New Roman"/>
          <w:color w:val="auto"/>
        </w:rPr>
        <w:t xml:space="preserve">Разходите по група А „Жилищно строителство, благоустройство и комунално стопанство” са свързани основно с инвестиционната дейност в общините по териториалното развитие и благоустрояване на населените места, както и за изпълнение програмите на МРР за „Изграждане и управление на ВиК инфраструктура” и </w:t>
      </w:r>
      <w:r>
        <w:rPr>
          <w:rFonts w:ascii="Times New Roman" w:hAnsi="Times New Roman"/>
          <w:color w:val="auto"/>
        </w:rPr>
        <w:t>„</w:t>
      </w:r>
      <w:r w:rsidRPr="0064414A">
        <w:rPr>
          <w:rFonts w:ascii="Times New Roman" w:hAnsi="Times New Roman"/>
          <w:color w:val="auto"/>
        </w:rPr>
        <w:t>Устойчиво интегрирано регионално и местно развитие”.</w:t>
      </w:r>
      <w:r>
        <w:rPr>
          <w:rFonts w:ascii="Times New Roman" w:hAnsi="Times New Roman"/>
          <w:color w:val="auto"/>
        </w:rPr>
        <w:t xml:space="preserve"> </w:t>
      </w:r>
      <w:r w:rsidRPr="0064414A">
        <w:rPr>
          <w:rFonts w:ascii="Times New Roman" w:hAnsi="Times New Roman"/>
          <w:color w:val="auto"/>
        </w:rPr>
        <w:t>През годината за тези дейности са изразходвани средства в размер на 79</w:t>
      </w:r>
      <w:r>
        <w:rPr>
          <w:rFonts w:ascii="Times New Roman" w:hAnsi="Times New Roman"/>
          <w:color w:val="auto"/>
        </w:rPr>
        <w:t>2,0</w:t>
      </w:r>
      <w:r w:rsidRPr="0064414A">
        <w:rPr>
          <w:rFonts w:ascii="Times New Roman" w:hAnsi="Times New Roman"/>
          <w:color w:val="auto"/>
        </w:rPr>
        <w:t xml:space="preserve"> млн. лв., от които по оперативни програми </w:t>
      </w:r>
      <w:r>
        <w:rPr>
          <w:rFonts w:ascii="Times New Roman" w:hAnsi="Times New Roman"/>
          <w:color w:val="auto"/>
        </w:rPr>
        <w:t xml:space="preserve">(вкл. националното съфинансиране) </w:t>
      </w:r>
      <w:r w:rsidRPr="0064414A">
        <w:rPr>
          <w:rFonts w:ascii="Times New Roman" w:hAnsi="Times New Roman"/>
          <w:color w:val="auto"/>
        </w:rPr>
        <w:t>59</w:t>
      </w:r>
      <w:r>
        <w:rPr>
          <w:rFonts w:ascii="Times New Roman" w:hAnsi="Times New Roman"/>
          <w:color w:val="auto"/>
        </w:rPr>
        <w:t>2,6</w:t>
      </w:r>
      <w:r w:rsidRPr="0064414A">
        <w:rPr>
          <w:rFonts w:ascii="Times New Roman" w:hAnsi="Times New Roman"/>
          <w:color w:val="auto"/>
        </w:rPr>
        <w:t xml:space="preserve"> млн. лв. и 163</w:t>
      </w:r>
      <w:r>
        <w:rPr>
          <w:rFonts w:ascii="Times New Roman" w:hAnsi="Times New Roman"/>
          <w:color w:val="auto"/>
        </w:rPr>
        <w:t>,</w:t>
      </w:r>
      <w:r w:rsidRPr="0064414A">
        <w:rPr>
          <w:rFonts w:ascii="Times New Roman" w:hAnsi="Times New Roman"/>
          <w:color w:val="auto"/>
        </w:rPr>
        <w:t>8 млн. лв. -разходи, определени по решение на общинския съвет, свързани с поддържането на уличната мрежа, водоснабдяване, канализация и други публични услуги, предоставяни на населението.</w:t>
      </w:r>
      <w:r>
        <w:rPr>
          <w:rFonts w:ascii="Times New Roman" w:hAnsi="Times New Roman"/>
          <w:color w:val="auto"/>
        </w:rPr>
        <w:t xml:space="preserve"> </w:t>
      </w:r>
      <w:r w:rsidRPr="00B27A9D">
        <w:rPr>
          <w:rFonts w:ascii="Times New Roman" w:hAnsi="Times New Roman"/>
          <w:color w:val="auto"/>
        </w:rPr>
        <w:t>Със средства от оперативните програми са финансирани следните по-значими проекти: „Проект за интегриран столичен градски транспорт“, „Интегриран градски транспорт на Бургас“, „Интегриран градски транспорт на Варна“, „Модернизация на структурните звена на НСПБЗН –</w:t>
      </w:r>
      <w:r>
        <w:rPr>
          <w:rFonts w:ascii="Times New Roman" w:hAnsi="Times New Roman"/>
          <w:color w:val="auto"/>
        </w:rPr>
        <w:t xml:space="preserve"> </w:t>
      </w:r>
      <w:r w:rsidRPr="00B27A9D">
        <w:rPr>
          <w:rFonts w:ascii="Times New Roman" w:hAnsi="Times New Roman"/>
          <w:color w:val="auto"/>
        </w:rPr>
        <w:t>МВР в Столичния агломерационен ареал и агломерационните ареали на 6-те най-големи града</w:t>
      </w:r>
      <w:r>
        <w:rPr>
          <w:rFonts w:ascii="Times New Roman" w:hAnsi="Times New Roman"/>
          <w:color w:val="auto"/>
        </w:rPr>
        <w:t>“</w:t>
      </w:r>
      <w:r w:rsidRPr="00B27A9D">
        <w:rPr>
          <w:rFonts w:ascii="Times New Roman" w:hAnsi="Times New Roman"/>
          <w:color w:val="auto"/>
        </w:rPr>
        <w:t>.</w:t>
      </w:r>
      <w:r>
        <w:rPr>
          <w:rFonts w:ascii="Times New Roman" w:hAnsi="Times New Roman"/>
          <w:color w:val="auto"/>
        </w:rPr>
        <w:t xml:space="preserve"> </w:t>
      </w:r>
      <w:r w:rsidRPr="00847A19">
        <w:rPr>
          <w:rFonts w:ascii="Times New Roman" w:hAnsi="Times New Roman"/>
          <w:color w:val="auto"/>
        </w:rPr>
        <w:t>Делът на отчетените разходи в група Б „Опазване на околната среда” е 24,</w:t>
      </w:r>
      <w:r>
        <w:rPr>
          <w:rFonts w:ascii="Times New Roman" w:hAnsi="Times New Roman"/>
          <w:color w:val="auto"/>
        </w:rPr>
        <w:t>3</w:t>
      </w:r>
      <w:r w:rsidRPr="00847A19">
        <w:rPr>
          <w:rFonts w:ascii="Times New Roman" w:hAnsi="Times New Roman"/>
          <w:color w:val="auto"/>
        </w:rPr>
        <w:t> %, к</w:t>
      </w:r>
      <w:r>
        <w:rPr>
          <w:rFonts w:ascii="Times New Roman" w:hAnsi="Times New Roman"/>
          <w:color w:val="auto"/>
        </w:rPr>
        <w:t>ато</w:t>
      </w:r>
      <w:r w:rsidRPr="00847A19">
        <w:rPr>
          <w:rFonts w:ascii="Times New Roman" w:hAnsi="Times New Roman"/>
          <w:color w:val="auto"/>
        </w:rPr>
        <w:t xml:space="preserve"> в сравнение с 2012 г. </w:t>
      </w:r>
      <w:r>
        <w:rPr>
          <w:rFonts w:ascii="Times New Roman" w:hAnsi="Times New Roman"/>
          <w:color w:val="auto"/>
        </w:rPr>
        <w:t xml:space="preserve">разходите в групата нарастват </w:t>
      </w:r>
      <w:r w:rsidRPr="00847A19">
        <w:rPr>
          <w:rFonts w:ascii="Times New Roman" w:hAnsi="Times New Roman"/>
          <w:color w:val="auto"/>
        </w:rPr>
        <w:t>със 107,6 млн. лв. в абсолютно изражение. Разходите в група</w:t>
      </w:r>
      <w:r>
        <w:rPr>
          <w:rFonts w:ascii="Times New Roman" w:hAnsi="Times New Roman"/>
          <w:color w:val="auto"/>
        </w:rPr>
        <w:t xml:space="preserve"> „Опазване на околната среда”</w:t>
      </w:r>
      <w:r w:rsidRPr="00847A19">
        <w:rPr>
          <w:rFonts w:ascii="Times New Roman" w:hAnsi="Times New Roman"/>
          <w:color w:val="auto"/>
        </w:rPr>
        <w:t xml:space="preserve"> са свързани с дейностите по изпълнението на приоритетните политики по управлението на водите и управлението на отпадъците. В групата се отчитат и разходите, определени по решение на общинския съвет за дейностите по поддържане на чистота, озеленяване, пречистване на отпадъчни води, управление на отпадъците и други публични услуги с обществено значение.</w:t>
      </w:r>
      <w:r>
        <w:rPr>
          <w:rFonts w:ascii="Times New Roman" w:hAnsi="Times New Roman"/>
          <w:color w:val="auto"/>
        </w:rPr>
        <w:t xml:space="preserve"> </w:t>
      </w:r>
      <w:r w:rsidRPr="001C6EA1">
        <w:rPr>
          <w:rFonts w:ascii="Times New Roman" w:hAnsi="Times New Roman"/>
          <w:color w:val="auto"/>
        </w:rPr>
        <w:t xml:space="preserve">Основната част от разходите </w:t>
      </w:r>
      <w:r>
        <w:rPr>
          <w:rFonts w:ascii="Times New Roman" w:hAnsi="Times New Roman"/>
          <w:color w:val="auto"/>
        </w:rPr>
        <w:t>в тази група на</w:t>
      </w:r>
      <w:r w:rsidRPr="001C6EA1">
        <w:rPr>
          <w:rFonts w:ascii="Times New Roman" w:hAnsi="Times New Roman"/>
          <w:color w:val="auto"/>
        </w:rPr>
        <w:t xml:space="preserve"> функцията – </w:t>
      </w:r>
      <w:r>
        <w:rPr>
          <w:rFonts w:ascii="Times New Roman" w:hAnsi="Times New Roman"/>
          <w:color w:val="auto"/>
        </w:rPr>
        <w:t>175,7</w:t>
      </w:r>
      <w:r w:rsidRPr="001C6EA1">
        <w:rPr>
          <w:rFonts w:ascii="Times New Roman" w:hAnsi="Times New Roman"/>
          <w:color w:val="auto"/>
        </w:rPr>
        <w:t xml:space="preserve"> млн. лв. представляват средства по оперативни програми на ЕС. По бюджетите на общините в тази група са отчетени капиталови разходи в размер на 63,5 млн. лв.</w:t>
      </w:r>
    </w:p>
    <w:p w:rsidR="000938C1" w:rsidRPr="00A9270B" w:rsidRDefault="000938C1" w:rsidP="00E266D9">
      <w:pPr>
        <w:pStyle w:val="Default"/>
        <w:spacing w:after="120"/>
        <w:ind w:firstLine="720"/>
        <w:jc w:val="both"/>
        <w:rPr>
          <w:rFonts w:ascii="Times New Roman" w:hAnsi="Times New Roman"/>
          <w:color w:val="auto"/>
        </w:rPr>
      </w:pPr>
      <w:r w:rsidRPr="000D38B8">
        <w:rPr>
          <w:rFonts w:ascii="Times New Roman" w:hAnsi="Times New Roman"/>
          <w:color w:val="auto"/>
        </w:rPr>
        <w:t xml:space="preserve">Размерът на инвестиционните разходи по функция </w:t>
      </w:r>
      <w:r w:rsidRPr="000D38B8">
        <w:rPr>
          <w:rFonts w:ascii="Times New Roman" w:hAnsi="Times New Roman"/>
          <w:b/>
          <w:bCs/>
          <w:color w:val="auto"/>
        </w:rPr>
        <w:t>„</w:t>
      </w:r>
      <w:r w:rsidRPr="000D38B8">
        <w:rPr>
          <w:rFonts w:ascii="Times New Roman" w:hAnsi="Times New Roman"/>
          <w:bCs/>
          <w:color w:val="auto"/>
        </w:rPr>
        <w:t>Образование</w:t>
      </w:r>
      <w:r w:rsidRPr="000D38B8">
        <w:rPr>
          <w:rFonts w:ascii="Times New Roman" w:hAnsi="Times New Roman"/>
          <w:color w:val="auto"/>
        </w:rPr>
        <w:t>” за 2013 г. е 244,</w:t>
      </w:r>
      <w:r>
        <w:rPr>
          <w:rFonts w:ascii="Times New Roman" w:hAnsi="Times New Roman"/>
          <w:color w:val="auto"/>
        </w:rPr>
        <w:t>5</w:t>
      </w:r>
      <w:r w:rsidRPr="000D38B8">
        <w:rPr>
          <w:rFonts w:ascii="Times New Roman" w:hAnsi="Times New Roman"/>
          <w:color w:val="auto"/>
        </w:rPr>
        <w:t xml:space="preserve"> млн. лв., което представлява </w:t>
      </w:r>
      <w:r>
        <w:rPr>
          <w:rFonts w:ascii="Times New Roman" w:hAnsi="Times New Roman"/>
          <w:color w:val="auto"/>
        </w:rPr>
        <w:t>5,9</w:t>
      </w:r>
      <w:r w:rsidRPr="000D38B8">
        <w:rPr>
          <w:rFonts w:ascii="Times New Roman" w:hAnsi="Times New Roman"/>
          <w:color w:val="auto"/>
        </w:rPr>
        <w:t xml:space="preserve"> % от общата сума на отчетените капиталови разходи. </w:t>
      </w:r>
      <w:r w:rsidRPr="004A6000">
        <w:rPr>
          <w:rFonts w:ascii="Times New Roman" w:hAnsi="Times New Roman"/>
          <w:color w:val="auto"/>
        </w:rPr>
        <w:t>От тях 114,3 млн. лв. са отчетени в системата на предучилищното и училищното образование и 41,6 млн. лв. в системата на висшето образование.</w:t>
      </w:r>
      <w:r>
        <w:rPr>
          <w:rFonts w:ascii="Times New Roman" w:hAnsi="Times New Roman"/>
          <w:color w:val="auto"/>
        </w:rPr>
        <w:t xml:space="preserve"> </w:t>
      </w:r>
      <w:r w:rsidRPr="00B311E4">
        <w:rPr>
          <w:rFonts w:ascii="Times New Roman" w:hAnsi="Times New Roman"/>
          <w:color w:val="auto"/>
        </w:rPr>
        <w:t xml:space="preserve">Спрямо 2012 г. се отчита нарастване в размер на 51,1 млн. лв. в системата </w:t>
      </w:r>
      <w:r w:rsidRPr="004A6000">
        <w:rPr>
          <w:rFonts w:ascii="Times New Roman" w:hAnsi="Times New Roman"/>
          <w:color w:val="auto"/>
        </w:rPr>
        <w:t>на предучилищното и училищното образование</w:t>
      </w:r>
      <w:r w:rsidRPr="00B311E4">
        <w:rPr>
          <w:rFonts w:ascii="Times New Roman" w:hAnsi="Times New Roman"/>
          <w:color w:val="auto"/>
        </w:rPr>
        <w:t>, главно поради използваните в максимален размер възможности за финансиране</w:t>
      </w:r>
      <w:r>
        <w:rPr>
          <w:rFonts w:ascii="Times New Roman" w:hAnsi="Times New Roman"/>
          <w:color w:val="auto"/>
        </w:rPr>
        <w:t xml:space="preserve"> п</w:t>
      </w:r>
      <w:r w:rsidRPr="00B311E4">
        <w:rPr>
          <w:rFonts w:ascii="Times New Roman" w:hAnsi="Times New Roman"/>
          <w:color w:val="auto"/>
        </w:rPr>
        <w:t>о националните програми – „Оптимизация на училищната мрежа</w:t>
      </w:r>
      <w:r>
        <w:rPr>
          <w:rFonts w:ascii="Times New Roman" w:hAnsi="Times New Roman"/>
          <w:color w:val="auto"/>
        </w:rPr>
        <w:t>“</w:t>
      </w:r>
      <w:r w:rsidRPr="00B311E4">
        <w:rPr>
          <w:rFonts w:ascii="Times New Roman" w:hAnsi="Times New Roman"/>
          <w:color w:val="auto"/>
        </w:rPr>
        <w:t>, „С грижа за всеки ученик”, „Без свободен час”,  „Информационни и комуникационни технологии” и др</w:t>
      </w:r>
      <w:r w:rsidRPr="00A9270B">
        <w:rPr>
          <w:rFonts w:ascii="Times New Roman" w:hAnsi="Times New Roman"/>
          <w:color w:val="auto"/>
        </w:rPr>
        <w:t>.</w:t>
      </w:r>
    </w:p>
    <w:p w:rsidR="000938C1" w:rsidRPr="00A9270B" w:rsidRDefault="000938C1" w:rsidP="00E266D9">
      <w:pPr>
        <w:pStyle w:val="Default"/>
        <w:spacing w:after="120"/>
        <w:ind w:firstLine="720"/>
        <w:jc w:val="both"/>
        <w:rPr>
          <w:rFonts w:ascii="Times New Roman" w:hAnsi="Times New Roman"/>
          <w:color w:val="0070C0"/>
          <w:sz w:val="12"/>
          <w:szCs w:val="12"/>
        </w:rPr>
      </w:pPr>
      <w:r w:rsidRPr="000D38B8">
        <w:rPr>
          <w:rFonts w:ascii="Times New Roman" w:hAnsi="Times New Roman"/>
          <w:color w:val="auto"/>
        </w:rPr>
        <w:t>Инвестициите за функция „Отбрана, сигурност и вътрешен ред” заемат</w:t>
      </w:r>
      <w:r>
        <w:rPr>
          <w:rFonts w:ascii="Times New Roman" w:hAnsi="Times New Roman"/>
          <w:color w:val="auto"/>
        </w:rPr>
        <w:t xml:space="preserve"> </w:t>
      </w:r>
      <w:r w:rsidRPr="00243145">
        <w:rPr>
          <w:rFonts w:ascii="Times New Roman" w:hAnsi="Times New Roman"/>
          <w:color w:val="auto"/>
        </w:rPr>
        <w:t>5,9 % от общата сума на отчетените капиталови разходи</w:t>
      </w:r>
      <w:r>
        <w:rPr>
          <w:rFonts w:ascii="Times New Roman" w:hAnsi="Times New Roman"/>
          <w:color w:val="auto"/>
        </w:rPr>
        <w:t xml:space="preserve"> и представляват </w:t>
      </w:r>
      <w:r w:rsidRPr="00A31455">
        <w:rPr>
          <w:rFonts w:ascii="Times New Roman" w:hAnsi="Times New Roman"/>
          <w:color w:val="auto"/>
        </w:rPr>
        <w:t>главно разходи, свързани с изпълнението на инвестиционната програма на Министерство на отбраната</w:t>
      </w:r>
      <w:r>
        <w:rPr>
          <w:rFonts w:ascii="Times New Roman" w:hAnsi="Times New Roman"/>
          <w:color w:val="auto"/>
        </w:rPr>
        <w:t xml:space="preserve"> (МО)</w:t>
      </w:r>
      <w:r w:rsidRPr="00A31455">
        <w:rPr>
          <w:rFonts w:ascii="Times New Roman" w:hAnsi="Times New Roman"/>
          <w:color w:val="auto"/>
        </w:rPr>
        <w:t>.</w:t>
      </w:r>
      <w:r w:rsidRPr="00A9270B">
        <w:rPr>
          <w:rFonts w:ascii="Times New Roman" w:hAnsi="Times New Roman"/>
          <w:color w:val="auto"/>
        </w:rPr>
        <w:t xml:space="preserve"> През 2013 г. продължи изпълнението на Инвестиционния план-програма на МО, като основните усилия бяха насочени към реализиране на приоритетните инвестиционни проекти на програмата в следните направления:</w:t>
      </w:r>
      <w:r>
        <w:rPr>
          <w:rFonts w:ascii="Times New Roman" w:hAnsi="Times New Roman"/>
          <w:color w:val="auto"/>
        </w:rPr>
        <w:t xml:space="preserve"> </w:t>
      </w:r>
      <w:r w:rsidRPr="00A9270B">
        <w:rPr>
          <w:rFonts w:ascii="Times New Roman" w:hAnsi="Times New Roman"/>
          <w:color w:val="auto"/>
        </w:rPr>
        <w:t>за основен ремонт на дълготрайни материални активи</w:t>
      </w:r>
      <w:r>
        <w:rPr>
          <w:rFonts w:ascii="Times New Roman" w:hAnsi="Times New Roman"/>
          <w:color w:val="auto"/>
        </w:rPr>
        <w:t xml:space="preserve"> (</w:t>
      </w:r>
      <w:r w:rsidRPr="00A9270B">
        <w:rPr>
          <w:rFonts w:ascii="Times New Roman" w:hAnsi="Times New Roman"/>
          <w:color w:val="auto"/>
        </w:rPr>
        <w:t>въоръжение и техника и за основен ремонт на сгради</w:t>
      </w:r>
      <w:r>
        <w:rPr>
          <w:rFonts w:ascii="Times New Roman" w:hAnsi="Times New Roman"/>
          <w:color w:val="auto"/>
        </w:rPr>
        <w:t>)</w:t>
      </w:r>
      <w:r w:rsidRPr="00A9270B">
        <w:rPr>
          <w:rFonts w:ascii="Times New Roman" w:hAnsi="Times New Roman"/>
          <w:color w:val="auto"/>
        </w:rPr>
        <w:t>;</w:t>
      </w:r>
      <w:r>
        <w:rPr>
          <w:rFonts w:ascii="Times New Roman" w:hAnsi="Times New Roman"/>
          <w:color w:val="auto"/>
        </w:rPr>
        <w:t xml:space="preserve"> </w:t>
      </w:r>
      <w:r w:rsidRPr="0050728F">
        <w:rPr>
          <w:rFonts w:ascii="Times New Roman" w:hAnsi="Times New Roman"/>
        </w:rPr>
        <w:t xml:space="preserve">за придобиване на дълготрайни материални активи, от които </w:t>
      </w:r>
      <w:r>
        <w:rPr>
          <w:rFonts w:ascii="Times New Roman" w:hAnsi="Times New Roman"/>
        </w:rPr>
        <w:t>по-голяма част са</w:t>
      </w:r>
      <w:r w:rsidRPr="0050728F">
        <w:rPr>
          <w:rFonts w:ascii="Times New Roman" w:hAnsi="Times New Roman"/>
          <w:lang w:val="ru-RU"/>
        </w:rPr>
        <w:t xml:space="preserve"> по договори, </w:t>
      </w:r>
      <w:r w:rsidRPr="00A9270B">
        <w:rPr>
          <w:rFonts w:ascii="Times New Roman" w:hAnsi="Times New Roman"/>
        </w:rPr>
        <w:t>свързани с освобождаване на честотен спектър в изпълнение на Стратегията за въвеждане на универсални мобилни далекосъобщителни системи и на Плана за въвеждане на наземно цифрово телевизионно и радиоразпръскване.</w:t>
      </w:r>
    </w:p>
    <w:p w:rsidR="000938C1" w:rsidRPr="00F527AF" w:rsidRDefault="000938C1" w:rsidP="00E266D9">
      <w:pPr>
        <w:pStyle w:val="Default"/>
        <w:spacing w:after="120"/>
        <w:ind w:firstLine="720"/>
        <w:jc w:val="both"/>
        <w:rPr>
          <w:rFonts w:ascii="Times New Roman" w:hAnsi="Times New Roman"/>
          <w:color w:val="auto"/>
        </w:rPr>
      </w:pPr>
      <w:r w:rsidRPr="00F527AF">
        <w:rPr>
          <w:rFonts w:ascii="Times New Roman" w:hAnsi="Times New Roman"/>
          <w:color w:val="auto"/>
        </w:rPr>
        <w:t>През 2013 г. за финансиране на инвестиционните дейности по функция „Почивно дело, култура, религиозни дейности” са усвоени средства на обща стойност 165,0 млн. лв., което представлява 4,</w:t>
      </w:r>
      <w:r>
        <w:rPr>
          <w:rFonts w:ascii="Times New Roman" w:hAnsi="Times New Roman"/>
          <w:color w:val="auto"/>
        </w:rPr>
        <w:t>0</w:t>
      </w:r>
      <w:r w:rsidRPr="00F527AF">
        <w:rPr>
          <w:rFonts w:ascii="Times New Roman" w:hAnsi="Times New Roman"/>
          <w:color w:val="auto"/>
        </w:rPr>
        <w:t> % от общия размер на инвестиционните разходи.</w:t>
      </w:r>
    </w:p>
    <w:p w:rsidR="000938C1" w:rsidRPr="00CF1A14" w:rsidRDefault="000938C1" w:rsidP="00E266D9">
      <w:pPr>
        <w:ind w:firstLine="720"/>
        <w:jc w:val="both"/>
        <w:rPr>
          <w:color w:val="0070C0"/>
        </w:rPr>
      </w:pPr>
      <w:r>
        <w:t>Като цяло о</w:t>
      </w:r>
      <w:r w:rsidRPr="00F527AF">
        <w:t xml:space="preserve">сновната част от инвестиционните разходи през </w:t>
      </w:r>
      <w:r>
        <w:t xml:space="preserve">2013 </w:t>
      </w:r>
      <w:r w:rsidRPr="00F527AF">
        <w:t>година бяха насочени към</w:t>
      </w:r>
      <w:r>
        <w:t xml:space="preserve"> </w:t>
      </w:r>
      <w:r w:rsidRPr="00013760">
        <w:t>ускорено осъществяване на мащабни инфраструктурни проекти</w:t>
      </w:r>
      <w:r>
        <w:t>, включително съфинансирани</w:t>
      </w:r>
      <w:r w:rsidRPr="00013760">
        <w:t xml:space="preserve"> по Оперативна програма „Транспорт”, проекти по рехабилитацията и изграждането на пътна и железопътна инфраструктура, съобразно възможностите на държавния бюджет, развитие на </w:t>
      </w:r>
      <w:r>
        <w:t>ВиК сектора</w:t>
      </w:r>
      <w:r w:rsidRPr="00013760">
        <w:t>, системи за управление на отпадъците и др.</w:t>
      </w:r>
    </w:p>
    <w:p w:rsidR="000938C1" w:rsidRPr="00891830" w:rsidRDefault="000938C1" w:rsidP="00F30F79">
      <w:pPr>
        <w:pStyle w:val="Heading1"/>
        <w:pageBreakBefore/>
        <w:numPr>
          <w:ilvl w:val="0"/>
          <w:numId w:val="40"/>
        </w:numPr>
        <w:spacing w:after="120"/>
        <w:ind w:left="714" w:hanging="357"/>
        <w:jc w:val="left"/>
      </w:pPr>
      <w:bookmarkStart w:id="104" w:name="_Toc393728053"/>
      <w:bookmarkEnd w:id="0"/>
      <w:bookmarkEnd w:id="1"/>
      <w:bookmarkEnd w:id="2"/>
      <w:bookmarkEnd w:id="4"/>
      <w:r w:rsidRPr="00891830">
        <w:t>Основни параметри на консолидираната фискална програма</w:t>
      </w:r>
      <w:r w:rsidRPr="00891830">
        <w:rPr>
          <w:rStyle w:val="FootnoteReference"/>
        </w:rPr>
        <w:footnoteReference w:id="6"/>
      </w:r>
      <w:r w:rsidRPr="00891830">
        <w:t xml:space="preserve"> за 201</w:t>
      </w:r>
      <w:r w:rsidRPr="00187783">
        <w:rPr>
          <w:lang w:val="en-US"/>
        </w:rPr>
        <w:t>3</w:t>
      </w:r>
      <w:r w:rsidRPr="00891830">
        <w:t xml:space="preserve"> г.</w:t>
      </w:r>
      <w:bookmarkEnd w:id="104"/>
    </w:p>
    <w:p w:rsidR="000938C1" w:rsidRPr="00CF1A14" w:rsidRDefault="000938C1" w:rsidP="00D12312">
      <w:pPr>
        <w:rPr>
          <w:color w:val="0070C0"/>
          <w:sz w:val="8"/>
          <w:szCs w:val="8"/>
          <w:lang w:eastAsia="en-US"/>
        </w:rPr>
      </w:pPr>
    </w:p>
    <w:p w:rsidR="000938C1" w:rsidRPr="00CF1A14" w:rsidRDefault="000938C1" w:rsidP="00D12312">
      <w:pPr>
        <w:pStyle w:val="BodyTextIndent"/>
        <w:spacing w:after="0"/>
        <w:ind w:left="0" w:firstLine="540"/>
        <w:jc w:val="both"/>
        <w:rPr>
          <w:color w:val="0070C0"/>
          <w:sz w:val="4"/>
          <w:szCs w:val="4"/>
          <w:lang w:val="bg-BG"/>
        </w:rPr>
      </w:pPr>
    </w:p>
    <w:p w:rsidR="000938C1" w:rsidRPr="00891830" w:rsidRDefault="000938C1" w:rsidP="00436FCA">
      <w:pPr>
        <w:ind w:firstLine="720"/>
        <w:jc w:val="both"/>
      </w:pPr>
      <w:r w:rsidRPr="00891830">
        <w:t>Изпълнението на основните параметри по КФП за 201</w:t>
      </w:r>
      <w:r w:rsidRPr="00187783">
        <w:rPr>
          <w:lang w:val="en-US"/>
        </w:rPr>
        <w:t>3</w:t>
      </w:r>
      <w:r w:rsidRPr="00891830">
        <w:t> г., отнесено към предходната година и програмата е, както следва:</w:t>
      </w:r>
    </w:p>
    <w:p w:rsidR="000938C1" w:rsidRPr="00CF1A14" w:rsidRDefault="000938C1" w:rsidP="00081870">
      <w:pPr>
        <w:jc w:val="both"/>
        <w:rPr>
          <w:color w:val="0070C0"/>
          <w:sz w:val="4"/>
          <w:szCs w:val="4"/>
        </w:rPr>
      </w:pPr>
    </w:p>
    <w:p w:rsidR="000938C1" w:rsidRPr="00CA1D9F" w:rsidRDefault="000938C1" w:rsidP="00891830">
      <w:pPr>
        <w:ind w:firstLine="7740"/>
        <w:jc w:val="both"/>
        <w:rPr>
          <w:b/>
          <w:sz w:val="18"/>
          <w:szCs w:val="18"/>
        </w:rPr>
      </w:pPr>
      <w:r w:rsidRPr="00CA1D9F">
        <w:rPr>
          <w:b/>
          <w:sz w:val="18"/>
          <w:szCs w:val="18"/>
        </w:rPr>
        <w:t>(в млн. лв.)</w:t>
      </w:r>
    </w:p>
    <w:tbl>
      <w:tblPr>
        <w:tblW w:w="9214" w:type="dxa"/>
        <w:tblInd w:w="70" w:type="dxa"/>
        <w:tblCellMar>
          <w:left w:w="70" w:type="dxa"/>
          <w:right w:w="70" w:type="dxa"/>
        </w:tblCellMar>
        <w:tblLook w:val="0000"/>
      </w:tblPr>
      <w:tblGrid>
        <w:gridCol w:w="3420"/>
        <w:gridCol w:w="840"/>
        <w:gridCol w:w="1206"/>
        <w:gridCol w:w="1260"/>
        <w:gridCol w:w="1244"/>
        <w:gridCol w:w="1244"/>
      </w:tblGrid>
      <w:tr w:rsidR="000938C1" w:rsidRPr="00D71394" w:rsidTr="00891830">
        <w:trPr>
          <w:trHeight w:val="300"/>
        </w:trPr>
        <w:tc>
          <w:tcPr>
            <w:tcW w:w="3420" w:type="dxa"/>
            <w:vMerge w:val="restart"/>
            <w:tcBorders>
              <w:top w:val="double" w:sz="6" w:space="0" w:color="800000"/>
              <w:left w:val="double" w:sz="6" w:space="0" w:color="800000"/>
              <w:bottom w:val="single" w:sz="8" w:space="0" w:color="800000"/>
              <w:right w:val="single" w:sz="12" w:space="0" w:color="FFFFFF"/>
            </w:tcBorders>
            <w:shd w:val="clear" w:color="auto" w:fill="800000"/>
            <w:noWrap/>
            <w:vAlign w:val="bottom"/>
          </w:tcPr>
          <w:p w:rsidR="000938C1" w:rsidRPr="00915825" w:rsidRDefault="000938C1" w:rsidP="00891830">
            <w:pPr>
              <w:jc w:val="center"/>
              <w:rPr>
                <w:b/>
                <w:bCs/>
                <w:sz w:val="20"/>
                <w:szCs w:val="20"/>
              </w:rPr>
            </w:pPr>
            <w:r w:rsidRPr="00915825">
              <w:rPr>
                <w:b/>
                <w:bCs/>
                <w:sz w:val="20"/>
                <w:szCs w:val="20"/>
              </w:rPr>
              <w:t>ПОКАЗАТЕЛИ</w:t>
            </w:r>
            <w:r w:rsidRPr="00915825">
              <w:rPr>
                <w:rStyle w:val="FootnoteReference"/>
                <w:b/>
                <w:bCs/>
              </w:rPr>
              <w:footnoteReference w:id="7"/>
            </w:r>
          </w:p>
        </w:tc>
        <w:tc>
          <w:tcPr>
            <w:tcW w:w="840"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0938C1" w:rsidRPr="00891830" w:rsidRDefault="000938C1" w:rsidP="00891830">
            <w:pPr>
              <w:jc w:val="center"/>
              <w:rPr>
                <w:b/>
                <w:bCs/>
                <w:color w:val="FFFFFF"/>
                <w:sz w:val="20"/>
                <w:szCs w:val="20"/>
              </w:rPr>
            </w:pPr>
            <w:r w:rsidRPr="00891830">
              <w:rPr>
                <w:b/>
                <w:bCs/>
                <w:color w:val="FFFFFF"/>
                <w:sz w:val="20"/>
                <w:szCs w:val="20"/>
              </w:rPr>
              <w:t>Отчет</w:t>
            </w:r>
          </w:p>
        </w:tc>
        <w:tc>
          <w:tcPr>
            <w:tcW w:w="1206"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0938C1" w:rsidRPr="00891830" w:rsidRDefault="000938C1" w:rsidP="00891830">
            <w:pPr>
              <w:jc w:val="center"/>
              <w:rPr>
                <w:b/>
                <w:bCs/>
                <w:color w:val="FFFFFF"/>
                <w:sz w:val="20"/>
                <w:szCs w:val="20"/>
              </w:rPr>
            </w:pPr>
            <w:r w:rsidRPr="00891830">
              <w:rPr>
                <w:b/>
                <w:bCs/>
                <w:color w:val="FFFFFF"/>
                <w:sz w:val="20"/>
                <w:szCs w:val="20"/>
              </w:rPr>
              <w:t>Програма</w:t>
            </w:r>
            <w:r w:rsidRPr="00891830">
              <w:rPr>
                <w:rStyle w:val="FootnoteReference"/>
                <w:b/>
                <w:bCs/>
                <w:color w:val="FFFFFF"/>
              </w:rPr>
              <w:footnoteReference w:id="8"/>
            </w:r>
          </w:p>
        </w:tc>
        <w:tc>
          <w:tcPr>
            <w:tcW w:w="1260"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0938C1" w:rsidRPr="00891830" w:rsidRDefault="000938C1" w:rsidP="00891830">
            <w:pPr>
              <w:jc w:val="center"/>
              <w:rPr>
                <w:b/>
                <w:bCs/>
                <w:color w:val="FFFFFF"/>
                <w:sz w:val="20"/>
                <w:szCs w:val="20"/>
              </w:rPr>
            </w:pPr>
            <w:r w:rsidRPr="00891830">
              <w:rPr>
                <w:b/>
                <w:bCs/>
                <w:color w:val="FFFFFF"/>
                <w:sz w:val="20"/>
                <w:szCs w:val="20"/>
              </w:rPr>
              <w:t>Отчет</w:t>
            </w:r>
          </w:p>
        </w:tc>
        <w:tc>
          <w:tcPr>
            <w:tcW w:w="1244" w:type="dxa"/>
            <w:tcBorders>
              <w:top w:val="double" w:sz="6" w:space="0" w:color="800000"/>
              <w:left w:val="single" w:sz="12" w:space="0" w:color="FFFFFF"/>
              <w:bottom w:val="single" w:sz="8" w:space="0" w:color="800000"/>
              <w:right w:val="single" w:sz="12" w:space="0" w:color="FFFFFF"/>
            </w:tcBorders>
            <w:shd w:val="clear" w:color="auto" w:fill="800000"/>
            <w:vAlign w:val="bottom"/>
          </w:tcPr>
          <w:p w:rsidR="000938C1" w:rsidRPr="00891830" w:rsidRDefault="000938C1" w:rsidP="00891830">
            <w:pPr>
              <w:jc w:val="center"/>
              <w:rPr>
                <w:b/>
                <w:bCs/>
                <w:color w:val="FFFFFF"/>
                <w:sz w:val="20"/>
                <w:szCs w:val="20"/>
              </w:rPr>
            </w:pPr>
            <w:r w:rsidRPr="00891830">
              <w:rPr>
                <w:b/>
                <w:bCs/>
                <w:color w:val="FFFFFF"/>
                <w:sz w:val="20"/>
                <w:szCs w:val="20"/>
              </w:rPr>
              <w:t>Изпълнение</w:t>
            </w:r>
          </w:p>
        </w:tc>
        <w:tc>
          <w:tcPr>
            <w:tcW w:w="1244" w:type="dxa"/>
            <w:tcBorders>
              <w:top w:val="double" w:sz="6" w:space="0" w:color="800000"/>
              <w:left w:val="single" w:sz="12" w:space="0" w:color="FFFFFF"/>
              <w:bottom w:val="single" w:sz="8" w:space="0" w:color="800000"/>
              <w:right w:val="double" w:sz="6" w:space="0" w:color="800000"/>
            </w:tcBorders>
            <w:shd w:val="clear" w:color="auto" w:fill="800000"/>
            <w:vAlign w:val="bottom"/>
          </w:tcPr>
          <w:p w:rsidR="000938C1" w:rsidRPr="00891830" w:rsidRDefault="000938C1" w:rsidP="00891830">
            <w:pPr>
              <w:jc w:val="center"/>
              <w:rPr>
                <w:b/>
                <w:bCs/>
                <w:color w:val="FFFFFF"/>
                <w:sz w:val="20"/>
                <w:szCs w:val="20"/>
              </w:rPr>
            </w:pPr>
            <w:r w:rsidRPr="00891830">
              <w:rPr>
                <w:b/>
                <w:bCs/>
                <w:color w:val="FFFFFF"/>
                <w:sz w:val="20"/>
                <w:szCs w:val="20"/>
              </w:rPr>
              <w:t>Изпълнение</w:t>
            </w:r>
          </w:p>
        </w:tc>
      </w:tr>
      <w:tr w:rsidR="000938C1" w:rsidRPr="00D71394" w:rsidTr="00891830">
        <w:trPr>
          <w:trHeight w:val="52"/>
        </w:trPr>
        <w:tc>
          <w:tcPr>
            <w:tcW w:w="3420" w:type="dxa"/>
            <w:vMerge/>
            <w:tcBorders>
              <w:top w:val="single" w:sz="8" w:space="0" w:color="800000"/>
              <w:left w:val="double" w:sz="6" w:space="0" w:color="800000"/>
              <w:bottom w:val="single" w:sz="8" w:space="0" w:color="800000"/>
              <w:right w:val="single" w:sz="12" w:space="0" w:color="FFFFFF"/>
            </w:tcBorders>
            <w:vAlign w:val="center"/>
          </w:tcPr>
          <w:p w:rsidR="000938C1" w:rsidRPr="00915825" w:rsidRDefault="000938C1" w:rsidP="00891830">
            <w:pPr>
              <w:rPr>
                <w:b/>
                <w:bCs/>
                <w:sz w:val="20"/>
                <w:szCs w:val="20"/>
              </w:rPr>
            </w:pPr>
          </w:p>
        </w:tc>
        <w:tc>
          <w:tcPr>
            <w:tcW w:w="840" w:type="dxa"/>
            <w:vMerge/>
            <w:tcBorders>
              <w:top w:val="double" w:sz="6" w:space="0" w:color="800000"/>
              <w:left w:val="single" w:sz="12" w:space="0" w:color="FFFFFF"/>
              <w:bottom w:val="single" w:sz="8" w:space="0" w:color="800000"/>
              <w:right w:val="single" w:sz="12" w:space="0" w:color="FFFFFF"/>
            </w:tcBorders>
            <w:vAlign w:val="center"/>
          </w:tcPr>
          <w:p w:rsidR="000938C1" w:rsidRPr="00891830" w:rsidRDefault="000938C1" w:rsidP="00891830">
            <w:pPr>
              <w:jc w:val="center"/>
              <w:rPr>
                <w:b/>
                <w:bCs/>
                <w:color w:val="FFFFFF"/>
                <w:sz w:val="20"/>
                <w:szCs w:val="20"/>
              </w:rPr>
            </w:pPr>
          </w:p>
        </w:tc>
        <w:tc>
          <w:tcPr>
            <w:tcW w:w="1206" w:type="dxa"/>
            <w:vMerge/>
            <w:tcBorders>
              <w:top w:val="single" w:sz="8" w:space="0" w:color="800000"/>
              <w:left w:val="single" w:sz="12" w:space="0" w:color="FFFFFF"/>
              <w:bottom w:val="single" w:sz="8" w:space="0" w:color="800000"/>
              <w:right w:val="single" w:sz="12" w:space="0" w:color="FFFFFF"/>
            </w:tcBorders>
            <w:vAlign w:val="center"/>
          </w:tcPr>
          <w:p w:rsidR="000938C1" w:rsidRPr="00891830" w:rsidRDefault="000938C1" w:rsidP="00891830">
            <w:pPr>
              <w:jc w:val="center"/>
              <w:rPr>
                <w:b/>
                <w:bCs/>
                <w:color w:val="FFFFFF"/>
                <w:sz w:val="20"/>
                <w:szCs w:val="20"/>
              </w:rPr>
            </w:pPr>
          </w:p>
        </w:tc>
        <w:tc>
          <w:tcPr>
            <w:tcW w:w="1260" w:type="dxa"/>
            <w:vMerge/>
            <w:tcBorders>
              <w:top w:val="double" w:sz="6" w:space="0" w:color="800000"/>
              <w:left w:val="single" w:sz="12" w:space="0" w:color="FFFFFF"/>
              <w:bottom w:val="single" w:sz="8" w:space="0" w:color="800000"/>
              <w:right w:val="single" w:sz="12" w:space="0" w:color="FFFFFF"/>
            </w:tcBorders>
            <w:vAlign w:val="center"/>
          </w:tcPr>
          <w:p w:rsidR="000938C1" w:rsidRPr="00891830" w:rsidRDefault="000938C1" w:rsidP="00891830">
            <w:pPr>
              <w:jc w:val="center"/>
              <w:rPr>
                <w:b/>
                <w:bCs/>
                <w:color w:val="FFFFFF"/>
                <w:sz w:val="20"/>
                <w:szCs w:val="20"/>
              </w:rPr>
            </w:pPr>
          </w:p>
        </w:tc>
        <w:tc>
          <w:tcPr>
            <w:tcW w:w="1244" w:type="dxa"/>
            <w:tcBorders>
              <w:top w:val="single" w:sz="8" w:space="0" w:color="800000"/>
              <w:left w:val="single" w:sz="12" w:space="0" w:color="FFFFFF"/>
              <w:bottom w:val="single" w:sz="8" w:space="0" w:color="800000"/>
              <w:right w:val="single" w:sz="12" w:space="0" w:color="FFFFFF"/>
            </w:tcBorders>
            <w:shd w:val="clear" w:color="auto" w:fill="800000"/>
            <w:vAlign w:val="bottom"/>
          </w:tcPr>
          <w:p w:rsidR="000938C1" w:rsidRPr="00891830" w:rsidRDefault="000938C1" w:rsidP="00891830">
            <w:pPr>
              <w:jc w:val="center"/>
              <w:rPr>
                <w:b/>
                <w:bCs/>
                <w:color w:val="FFFFFF"/>
                <w:sz w:val="20"/>
                <w:szCs w:val="20"/>
              </w:rPr>
            </w:pPr>
            <w:r w:rsidRPr="00891830">
              <w:rPr>
                <w:b/>
                <w:bCs/>
                <w:color w:val="FFFFFF"/>
                <w:sz w:val="20"/>
                <w:szCs w:val="20"/>
              </w:rPr>
              <w:t>спрямо</w:t>
            </w:r>
          </w:p>
        </w:tc>
        <w:tc>
          <w:tcPr>
            <w:tcW w:w="1244" w:type="dxa"/>
            <w:tcBorders>
              <w:top w:val="single" w:sz="8" w:space="0" w:color="800000"/>
              <w:left w:val="single" w:sz="12" w:space="0" w:color="FFFFFF"/>
              <w:bottom w:val="single" w:sz="8" w:space="0" w:color="800000"/>
              <w:right w:val="double" w:sz="6" w:space="0" w:color="800000"/>
            </w:tcBorders>
            <w:shd w:val="clear" w:color="auto" w:fill="800000"/>
            <w:vAlign w:val="bottom"/>
          </w:tcPr>
          <w:p w:rsidR="000938C1" w:rsidRPr="00891830" w:rsidRDefault="000938C1" w:rsidP="00891830">
            <w:pPr>
              <w:jc w:val="center"/>
              <w:rPr>
                <w:b/>
                <w:bCs/>
                <w:color w:val="FFFFFF"/>
                <w:sz w:val="20"/>
                <w:szCs w:val="20"/>
              </w:rPr>
            </w:pPr>
            <w:r w:rsidRPr="00891830">
              <w:rPr>
                <w:b/>
                <w:bCs/>
                <w:color w:val="FFFFFF"/>
                <w:sz w:val="20"/>
                <w:szCs w:val="20"/>
              </w:rPr>
              <w:t>спрямо</w:t>
            </w:r>
          </w:p>
        </w:tc>
      </w:tr>
      <w:tr w:rsidR="000938C1" w:rsidRPr="00D71394" w:rsidTr="00891830">
        <w:trPr>
          <w:trHeight w:val="270"/>
        </w:trPr>
        <w:tc>
          <w:tcPr>
            <w:tcW w:w="3420" w:type="dxa"/>
            <w:tcBorders>
              <w:top w:val="single" w:sz="8" w:space="0" w:color="800000"/>
              <w:left w:val="double" w:sz="6" w:space="0" w:color="800000"/>
              <w:bottom w:val="double" w:sz="6" w:space="0" w:color="800000"/>
              <w:right w:val="single" w:sz="12" w:space="0" w:color="FFFFFF"/>
            </w:tcBorders>
            <w:shd w:val="clear" w:color="auto" w:fill="800000"/>
            <w:noWrap/>
            <w:vAlign w:val="bottom"/>
          </w:tcPr>
          <w:p w:rsidR="000938C1" w:rsidRPr="00915825" w:rsidRDefault="000938C1" w:rsidP="00891830">
            <w:pPr>
              <w:jc w:val="center"/>
              <w:rPr>
                <w:b/>
                <w:bCs/>
                <w:sz w:val="20"/>
                <w:szCs w:val="20"/>
              </w:rPr>
            </w:pPr>
            <w:r w:rsidRPr="00915825">
              <w:rPr>
                <w:b/>
                <w:bCs/>
                <w:sz w:val="20"/>
                <w:szCs w:val="20"/>
              </w:rPr>
              <w:t> </w:t>
            </w:r>
          </w:p>
        </w:tc>
        <w:tc>
          <w:tcPr>
            <w:tcW w:w="840" w:type="dxa"/>
            <w:tcBorders>
              <w:top w:val="nil"/>
              <w:left w:val="single" w:sz="12" w:space="0" w:color="FFFFFF"/>
              <w:bottom w:val="double" w:sz="6" w:space="0" w:color="800000"/>
              <w:right w:val="single" w:sz="12" w:space="0" w:color="FFFFFF"/>
            </w:tcBorders>
            <w:shd w:val="clear" w:color="auto" w:fill="800000"/>
            <w:noWrap/>
            <w:vAlign w:val="center"/>
          </w:tcPr>
          <w:p w:rsidR="000938C1" w:rsidRPr="00891830" w:rsidRDefault="000938C1" w:rsidP="00891830">
            <w:pPr>
              <w:jc w:val="center"/>
              <w:rPr>
                <w:b/>
                <w:bCs/>
                <w:color w:val="FFFFFF"/>
                <w:sz w:val="20"/>
                <w:szCs w:val="20"/>
              </w:rPr>
            </w:pPr>
            <w:r w:rsidRPr="00891830">
              <w:rPr>
                <w:b/>
                <w:bCs/>
                <w:color w:val="FFFFFF"/>
                <w:sz w:val="20"/>
                <w:szCs w:val="20"/>
              </w:rPr>
              <w:t>2012 г.</w:t>
            </w:r>
          </w:p>
        </w:tc>
        <w:tc>
          <w:tcPr>
            <w:tcW w:w="1206" w:type="dxa"/>
            <w:tcBorders>
              <w:top w:val="single" w:sz="8" w:space="0" w:color="800000"/>
              <w:left w:val="single" w:sz="12" w:space="0" w:color="FFFFFF"/>
              <w:bottom w:val="double" w:sz="6" w:space="0" w:color="800000"/>
              <w:right w:val="single" w:sz="12" w:space="0" w:color="FFFFFF"/>
            </w:tcBorders>
            <w:shd w:val="clear" w:color="auto" w:fill="800000"/>
            <w:noWrap/>
            <w:vAlign w:val="center"/>
          </w:tcPr>
          <w:p w:rsidR="000938C1" w:rsidRPr="00891830" w:rsidRDefault="000938C1" w:rsidP="00891830">
            <w:pPr>
              <w:jc w:val="center"/>
              <w:rPr>
                <w:b/>
                <w:bCs/>
                <w:color w:val="FFFFFF"/>
                <w:sz w:val="20"/>
                <w:szCs w:val="20"/>
              </w:rPr>
            </w:pPr>
            <w:r w:rsidRPr="00891830">
              <w:rPr>
                <w:b/>
                <w:bCs/>
                <w:color w:val="FFFFFF"/>
                <w:sz w:val="20"/>
                <w:szCs w:val="20"/>
              </w:rPr>
              <w:t>2013 г.</w:t>
            </w:r>
          </w:p>
        </w:tc>
        <w:tc>
          <w:tcPr>
            <w:tcW w:w="1260" w:type="dxa"/>
            <w:tcBorders>
              <w:top w:val="nil"/>
              <w:left w:val="single" w:sz="12" w:space="0" w:color="FFFFFF"/>
              <w:bottom w:val="double" w:sz="6" w:space="0" w:color="800000"/>
              <w:right w:val="single" w:sz="12" w:space="0" w:color="FFFFFF"/>
            </w:tcBorders>
            <w:shd w:val="clear" w:color="auto" w:fill="800000"/>
            <w:noWrap/>
            <w:vAlign w:val="center"/>
          </w:tcPr>
          <w:p w:rsidR="000938C1" w:rsidRPr="00891830" w:rsidRDefault="000938C1" w:rsidP="00891830">
            <w:pPr>
              <w:jc w:val="center"/>
              <w:rPr>
                <w:b/>
                <w:bCs/>
                <w:color w:val="FFFFFF"/>
                <w:sz w:val="20"/>
                <w:szCs w:val="20"/>
              </w:rPr>
            </w:pPr>
            <w:r w:rsidRPr="00891830">
              <w:rPr>
                <w:b/>
                <w:bCs/>
                <w:color w:val="FFFFFF"/>
                <w:sz w:val="20"/>
                <w:szCs w:val="20"/>
              </w:rPr>
              <w:t>2013 г.</w:t>
            </w:r>
          </w:p>
        </w:tc>
        <w:tc>
          <w:tcPr>
            <w:tcW w:w="1244" w:type="dxa"/>
            <w:tcBorders>
              <w:top w:val="nil"/>
              <w:left w:val="single" w:sz="12" w:space="0" w:color="FFFFFF"/>
              <w:bottom w:val="double" w:sz="6" w:space="0" w:color="800000"/>
              <w:right w:val="single" w:sz="12" w:space="0" w:color="FFFFFF"/>
            </w:tcBorders>
            <w:shd w:val="clear" w:color="auto" w:fill="800000"/>
            <w:noWrap/>
            <w:vAlign w:val="bottom"/>
          </w:tcPr>
          <w:p w:rsidR="000938C1" w:rsidRPr="00891830" w:rsidRDefault="000938C1" w:rsidP="00891830">
            <w:pPr>
              <w:jc w:val="center"/>
              <w:rPr>
                <w:b/>
                <w:bCs/>
                <w:color w:val="FFFFFF"/>
                <w:sz w:val="20"/>
                <w:szCs w:val="20"/>
              </w:rPr>
            </w:pPr>
            <w:r w:rsidRPr="00891830">
              <w:rPr>
                <w:b/>
                <w:bCs/>
                <w:color w:val="FFFFFF"/>
                <w:sz w:val="20"/>
                <w:szCs w:val="20"/>
              </w:rPr>
              <w:t>2012 г.</w:t>
            </w:r>
          </w:p>
        </w:tc>
        <w:tc>
          <w:tcPr>
            <w:tcW w:w="1244" w:type="dxa"/>
            <w:tcBorders>
              <w:top w:val="single" w:sz="8" w:space="0" w:color="800000"/>
              <w:left w:val="single" w:sz="12" w:space="0" w:color="FFFFFF"/>
              <w:bottom w:val="double" w:sz="6" w:space="0" w:color="800000"/>
              <w:right w:val="double" w:sz="6" w:space="0" w:color="800000"/>
            </w:tcBorders>
            <w:shd w:val="clear" w:color="auto" w:fill="800000"/>
            <w:noWrap/>
            <w:vAlign w:val="bottom"/>
          </w:tcPr>
          <w:p w:rsidR="000938C1" w:rsidRPr="00891830" w:rsidRDefault="000938C1" w:rsidP="00891830">
            <w:pPr>
              <w:jc w:val="center"/>
              <w:rPr>
                <w:b/>
                <w:bCs/>
                <w:color w:val="FFFFFF"/>
                <w:sz w:val="20"/>
                <w:szCs w:val="20"/>
              </w:rPr>
            </w:pPr>
            <w:r w:rsidRPr="00891830">
              <w:rPr>
                <w:b/>
                <w:bCs/>
                <w:color w:val="FFFFFF"/>
                <w:sz w:val="20"/>
                <w:szCs w:val="20"/>
              </w:rPr>
              <w:t>програма</w:t>
            </w:r>
          </w:p>
        </w:tc>
      </w:tr>
      <w:tr w:rsidR="000938C1" w:rsidRPr="00CF1A14" w:rsidTr="00891830">
        <w:trPr>
          <w:trHeight w:val="156"/>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b/>
                <w:bCs/>
                <w:sz w:val="20"/>
                <w:szCs w:val="20"/>
              </w:rPr>
            </w:pPr>
            <w:r w:rsidRPr="00915825">
              <w:rPr>
                <w:b/>
                <w:bCs/>
                <w:sz w:val="20"/>
                <w:szCs w:val="20"/>
              </w:rPr>
              <w:t>Общо приходи и помощи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b/>
                <w:bCs/>
                <w:color w:val="000000"/>
                <w:sz w:val="20"/>
                <w:szCs w:val="20"/>
              </w:rPr>
            </w:pPr>
            <w:r>
              <w:rPr>
                <w:b/>
                <w:bCs/>
                <w:color w:val="000000"/>
                <w:sz w:val="20"/>
                <w:szCs w:val="20"/>
              </w:rPr>
              <w:t>27 469,4</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b/>
                <w:bCs/>
                <w:color w:val="000000"/>
                <w:sz w:val="20"/>
                <w:szCs w:val="20"/>
              </w:rPr>
            </w:pPr>
            <w:r>
              <w:rPr>
                <w:b/>
                <w:bCs/>
                <w:color w:val="000000"/>
                <w:sz w:val="20"/>
                <w:szCs w:val="20"/>
              </w:rPr>
              <w:t>30 384,8</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b/>
                <w:bCs/>
                <w:color w:val="000000"/>
                <w:sz w:val="20"/>
                <w:szCs w:val="20"/>
              </w:rPr>
            </w:pPr>
            <w:r>
              <w:rPr>
                <w:b/>
                <w:bCs/>
                <w:color w:val="000000"/>
                <w:sz w:val="20"/>
                <w:szCs w:val="20"/>
              </w:rPr>
              <w:t>28 977,2</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b/>
                <w:bCs/>
                <w:sz w:val="20"/>
                <w:szCs w:val="20"/>
              </w:rPr>
            </w:pPr>
            <w:r>
              <w:rPr>
                <w:b/>
                <w:bCs/>
                <w:sz w:val="20"/>
                <w:szCs w:val="20"/>
              </w:rPr>
              <w:t>105,5%</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b/>
                <w:bCs/>
                <w:color w:val="000000"/>
                <w:sz w:val="20"/>
                <w:szCs w:val="20"/>
              </w:rPr>
            </w:pPr>
            <w:r>
              <w:rPr>
                <w:b/>
                <w:bCs/>
                <w:color w:val="000000"/>
                <w:sz w:val="20"/>
                <w:szCs w:val="20"/>
              </w:rPr>
              <w:t>95,4%</w:t>
            </w:r>
          </w:p>
        </w:tc>
      </w:tr>
      <w:tr w:rsidR="000938C1" w:rsidRPr="00CF1A14" w:rsidTr="00891830">
        <w:trPr>
          <w:trHeight w:val="10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-Данъчни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21 529,0</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22 851,2</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22 370,3</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103,9%</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97,9%</w:t>
            </w:r>
          </w:p>
        </w:tc>
      </w:tr>
      <w:tr w:rsidR="000938C1" w:rsidRPr="00CF1A14" w:rsidTr="00891830">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Преки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3 775,7</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4 049,8</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3 901,5</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103,3%</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96,3%</w:t>
            </w:r>
          </w:p>
        </w:tc>
      </w:tr>
      <w:tr w:rsidR="000938C1" w:rsidRPr="00CF1A14" w:rsidTr="00891830">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Косвени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11 342,8</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11 918,1</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11 590,7</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102,2%</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97,3%</w:t>
            </w:r>
          </w:p>
        </w:tc>
      </w:tr>
      <w:tr w:rsidR="000938C1" w:rsidRPr="00CF1A14" w:rsidTr="00891830">
        <w:trPr>
          <w:trHeight w:val="134"/>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Приходи на соц. и здр. осиг. </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5 596,0</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6 073,7</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6 060,2</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108,3%</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99,8%</w:t>
            </w:r>
          </w:p>
        </w:tc>
      </w:tr>
      <w:tr w:rsidR="000938C1" w:rsidRPr="00CF1A14" w:rsidTr="00891830">
        <w:trPr>
          <w:trHeight w:val="91"/>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Други данъци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814,4</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809,6</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817,9</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100,4%</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101,0%</w:t>
            </w:r>
          </w:p>
        </w:tc>
      </w:tr>
      <w:tr w:rsidR="000938C1" w:rsidRPr="00CF1A14" w:rsidTr="00891830">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-Неданъчни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3 573,0</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3 794,0</w:t>
            </w:r>
          </w:p>
        </w:tc>
        <w:tc>
          <w:tcPr>
            <w:tcW w:w="1260" w:type="dxa"/>
            <w:tcBorders>
              <w:top w:val="nil"/>
              <w:left w:val="nil"/>
              <w:bottom w:val="nil"/>
              <w:right w:val="single" w:sz="8" w:space="0" w:color="800000"/>
            </w:tcBorders>
            <w:shd w:val="clear" w:color="auto" w:fill="FFFFCC"/>
            <w:noWrap/>
            <w:vAlign w:val="bottom"/>
          </w:tcPr>
          <w:p w:rsidR="000938C1" w:rsidRDefault="000938C1" w:rsidP="00A15D09">
            <w:pPr>
              <w:jc w:val="right"/>
              <w:rPr>
                <w:color w:val="000000"/>
                <w:sz w:val="20"/>
                <w:szCs w:val="20"/>
              </w:rPr>
            </w:pPr>
            <w:r>
              <w:rPr>
                <w:color w:val="000000"/>
                <w:sz w:val="20"/>
                <w:szCs w:val="20"/>
              </w:rPr>
              <w:t>3 950,5</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110,6%</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104,1%</w:t>
            </w:r>
          </w:p>
        </w:tc>
      </w:tr>
      <w:tr w:rsidR="000938C1" w:rsidRPr="00CF1A14" w:rsidTr="00891830">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-Помощи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2 367,5</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3 739,7</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2 656,3</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112,2%</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71,0%</w:t>
            </w:r>
          </w:p>
        </w:tc>
      </w:tr>
      <w:tr w:rsidR="000938C1" w:rsidRPr="00CF1A14" w:rsidTr="00891830">
        <w:trPr>
          <w:trHeight w:val="304"/>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b/>
                <w:bCs/>
                <w:sz w:val="20"/>
                <w:szCs w:val="20"/>
              </w:rPr>
            </w:pPr>
            <w:r w:rsidRPr="00915825">
              <w:rPr>
                <w:b/>
                <w:bCs/>
                <w:sz w:val="20"/>
                <w:szCs w:val="20"/>
              </w:rPr>
              <w:t xml:space="preserve">Разходи и вноска в бюджета на ЕС                   </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b/>
                <w:bCs/>
                <w:color w:val="000000"/>
                <w:sz w:val="20"/>
                <w:szCs w:val="20"/>
              </w:rPr>
            </w:pPr>
            <w:r>
              <w:rPr>
                <w:b/>
                <w:bCs/>
                <w:color w:val="000000"/>
                <w:sz w:val="20"/>
                <w:szCs w:val="20"/>
              </w:rPr>
              <w:t>27 828,3</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b/>
                <w:bCs/>
                <w:color w:val="000000"/>
                <w:sz w:val="20"/>
                <w:szCs w:val="20"/>
              </w:rPr>
            </w:pPr>
            <w:r>
              <w:rPr>
                <w:b/>
                <w:bCs/>
                <w:color w:val="000000"/>
                <w:sz w:val="20"/>
                <w:szCs w:val="20"/>
              </w:rPr>
              <w:t>31 978,2</w:t>
            </w:r>
          </w:p>
        </w:tc>
        <w:tc>
          <w:tcPr>
            <w:tcW w:w="1260" w:type="dxa"/>
            <w:tcBorders>
              <w:top w:val="nil"/>
              <w:left w:val="nil"/>
              <w:bottom w:val="nil"/>
              <w:right w:val="single" w:sz="8" w:space="0" w:color="800000"/>
            </w:tcBorders>
            <w:shd w:val="clear" w:color="auto" w:fill="FFFFCC"/>
            <w:noWrap/>
            <w:vAlign w:val="bottom"/>
          </w:tcPr>
          <w:p w:rsidR="000938C1" w:rsidRDefault="000938C1" w:rsidP="00A15D09">
            <w:pPr>
              <w:jc w:val="right"/>
              <w:rPr>
                <w:b/>
                <w:bCs/>
                <w:color w:val="000000"/>
                <w:sz w:val="20"/>
                <w:szCs w:val="20"/>
              </w:rPr>
            </w:pPr>
            <w:r>
              <w:rPr>
                <w:b/>
                <w:bCs/>
                <w:color w:val="000000"/>
                <w:sz w:val="20"/>
                <w:szCs w:val="20"/>
              </w:rPr>
              <w:t>30 417,9</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b/>
                <w:bCs/>
                <w:color w:val="000000"/>
                <w:sz w:val="20"/>
                <w:szCs w:val="20"/>
              </w:rPr>
            </w:pPr>
            <w:r>
              <w:rPr>
                <w:b/>
                <w:bCs/>
                <w:color w:val="000000"/>
                <w:sz w:val="20"/>
                <w:szCs w:val="20"/>
              </w:rPr>
              <w:t>109,3%</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b/>
                <w:bCs/>
                <w:color w:val="000000"/>
                <w:sz w:val="20"/>
                <w:szCs w:val="20"/>
              </w:rPr>
            </w:pPr>
            <w:r>
              <w:rPr>
                <w:b/>
                <w:bCs/>
                <w:color w:val="000000"/>
                <w:sz w:val="20"/>
                <w:szCs w:val="20"/>
              </w:rPr>
              <w:t>95,1%</w:t>
            </w:r>
          </w:p>
        </w:tc>
      </w:tr>
      <w:tr w:rsidR="000938C1" w:rsidRPr="00CF1A14" w:rsidTr="00891830">
        <w:trPr>
          <w:trHeight w:val="188"/>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-Нелихвени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26 446,3</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30 194,6</w:t>
            </w:r>
          </w:p>
        </w:tc>
        <w:tc>
          <w:tcPr>
            <w:tcW w:w="1260" w:type="dxa"/>
            <w:tcBorders>
              <w:top w:val="nil"/>
              <w:left w:val="nil"/>
              <w:bottom w:val="nil"/>
              <w:right w:val="single" w:sz="8" w:space="0" w:color="800000"/>
            </w:tcBorders>
            <w:shd w:val="clear" w:color="auto" w:fill="FFFFCC"/>
            <w:noWrap/>
            <w:vAlign w:val="bottom"/>
          </w:tcPr>
          <w:p w:rsidR="000938C1" w:rsidRDefault="000938C1" w:rsidP="00A15D09">
            <w:pPr>
              <w:jc w:val="right"/>
              <w:rPr>
                <w:color w:val="000000"/>
                <w:sz w:val="20"/>
                <w:szCs w:val="20"/>
              </w:rPr>
            </w:pPr>
            <w:r>
              <w:rPr>
                <w:color w:val="000000"/>
                <w:sz w:val="20"/>
                <w:szCs w:val="20"/>
              </w:rPr>
              <w:t>28 795,0</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108,9%</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95,4%</w:t>
            </w:r>
          </w:p>
        </w:tc>
      </w:tr>
      <w:tr w:rsidR="000938C1" w:rsidRPr="00CF1A14" w:rsidTr="00891830">
        <w:trPr>
          <w:trHeight w:val="144"/>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Текущи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22 765,2</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24 632,0</w:t>
            </w:r>
          </w:p>
        </w:tc>
        <w:tc>
          <w:tcPr>
            <w:tcW w:w="1260" w:type="dxa"/>
            <w:tcBorders>
              <w:top w:val="nil"/>
              <w:left w:val="nil"/>
              <w:bottom w:val="nil"/>
              <w:right w:val="single" w:sz="8" w:space="0" w:color="800000"/>
            </w:tcBorders>
            <w:shd w:val="clear" w:color="auto" w:fill="FFFFCC"/>
            <w:noWrap/>
            <w:vAlign w:val="bottom"/>
          </w:tcPr>
          <w:p w:rsidR="000938C1" w:rsidRDefault="000938C1" w:rsidP="00A15D09">
            <w:pPr>
              <w:jc w:val="right"/>
              <w:rPr>
                <w:color w:val="000000"/>
                <w:sz w:val="20"/>
                <w:szCs w:val="20"/>
              </w:rPr>
            </w:pPr>
            <w:r>
              <w:rPr>
                <w:color w:val="000000"/>
                <w:sz w:val="20"/>
                <w:szCs w:val="20"/>
              </w:rPr>
              <w:t>24 681,9</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108,4%</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100,2%</w:t>
            </w:r>
          </w:p>
        </w:tc>
      </w:tr>
      <w:tr w:rsidR="000938C1" w:rsidRPr="00CF1A14" w:rsidTr="00891830">
        <w:trPr>
          <w:trHeight w:val="87"/>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ind w:left="470" w:hanging="470"/>
              <w:rPr>
                <w:sz w:val="20"/>
                <w:szCs w:val="20"/>
              </w:rPr>
            </w:pPr>
            <w:r w:rsidRPr="00915825">
              <w:rPr>
                <w:sz w:val="20"/>
                <w:szCs w:val="20"/>
              </w:rPr>
              <w:t xml:space="preserve">          в т.ч. социални и здравно-осигурителни разходи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11 743,8</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12 643,8</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12 640,7</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107,6%</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100,0%</w:t>
            </w:r>
          </w:p>
        </w:tc>
      </w:tr>
      <w:tr w:rsidR="000938C1" w:rsidRPr="00CF1A14" w:rsidTr="00891830">
        <w:trPr>
          <w:trHeight w:val="87"/>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Капиталови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3 681,1</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5 562,6</w:t>
            </w:r>
          </w:p>
        </w:tc>
        <w:tc>
          <w:tcPr>
            <w:tcW w:w="1260" w:type="dxa"/>
            <w:tcBorders>
              <w:top w:val="nil"/>
              <w:left w:val="nil"/>
              <w:bottom w:val="nil"/>
              <w:right w:val="single" w:sz="8" w:space="0" w:color="800000"/>
            </w:tcBorders>
            <w:shd w:val="clear" w:color="auto" w:fill="FFFFCC"/>
            <w:noWrap/>
            <w:vAlign w:val="bottom"/>
          </w:tcPr>
          <w:p w:rsidR="000938C1" w:rsidRDefault="000938C1" w:rsidP="00A15D09">
            <w:pPr>
              <w:jc w:val="right"/>
              <w:rPr>
                <w:color w:val="000000"/>
                <w:sz w:val="20"/>
                <w:szCs w:val="20"/>
              </w:rPr>
            </w:pPr>
            <w:r>
              <w:rPr>
                <w:color w:val="000000"/>
                <w:sz w:val="20"/>
                <w:szCs w:val="20"/>
              </w:rPr>
              <w:t>4 113,1</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111,7%</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73,9%</w:t>
            </w:r>
          </w:p>
        </w:tc>
      </w:tr>
      <w:tr w:rsidR="000938C1" w:rsidRPr="00CF1A14" w:rsidTr="00891830">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-Лихви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572,7</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875,4</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688,8</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120,3%</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78,7%</w:t>
            </w:r>
          </w:p>
        </w:tc>
      </w:tr>
      <w:tr w:rsidR="000938C1" w:rsidRPr="00CF1A14" w:rsidTr="00891830">
        <w:trPr>
          <w:trHeight w:val="178"/>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Външни лихви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374,0</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628,3</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484,3</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129,5%</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77,1%</w:t>
            </w:r>
          </w:p>
        </w:tc>
      </w:tr>
      <w:tr w:rsidR="000938C1" w:rsidRPr="00CF1A14" w:rsidTr="00891830">
        <w:trPr>
          <w:trHeight w:val="12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Вътрешни лихви</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198,7</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20"/>
                <w:szCs w:val="20"/>
              </w:rPr>
            </w:pPr>
            <w:r>
              <w:rPr>
                <w:color w:val="000000"/>
                <w:sz w:val="20"/>
                <w:szCs w:val="20"/>
              </w:rPr>
              <w:t>247,1</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20"/>
                <w:szCs w:val="20"/>
              </w:rPr>
            </w:pPr>
            <w:r>
              <w:rPr>
                <w:color w:val="000000"/>
                <w:sz w:val="20"/>
                <w:szCs w:val="20"/>
              </w:rPr>
              <w:t>204,4</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102,9%</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82,7%</w:t>
            </w:r>
          </w:p>
        </w:tc>
      </w:tr>
      <w:tr w:rsidR="000938C1" w:rsidRPr="00CF1A14" w:rsidTr="00891830">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20"/>
                <w:szCs w:val="20"/>
              </w:rPr>
            </w:pPr>
            <w:r w:rsidRPr="00915825">
              <w:rPr>
                <w:sz w:val="20"/>
                <w:szCs w:val="20"/>
              </w:rPr>
              <w:t xml:space="preserve">   -Вноска в бюджета на ЕС</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18"/>
                <w:szCs w:val="18"/>
              </w:rPr>
            </w:pPr>
            <w:r>
              <w:rPr>
                <w:color w:val="000000"/>
                <w:sz w:val="18"/>
                <w:szCs w:val="18"/>
              </w:rPr>
              <w:t>809,3</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jc w:val="right"/>
              <w:rPr>
                <w:color w:val="000000"/>
                <w:sz w:val="18"/>
                <w:szCs w:val="18"/>
              </w:rPr>
            </w:pPr>
            <w:r>
              <w:rPr>
                <w:color w:val="000000"/>
                <w:sz w:val="18"/>
                <w:szCs w:val="18"/>
              </w:rPr>
              <w:t>908,2</w:t>
            </w:r>
          </w:p>
        </w:tc>
        <w:tc>
          <w:tcPr>
            <w:tcW w:w="1260" w:type="dxa"/>
            <w:tcBorders>
              <w:top w:val="nil"/>
              <w:left w:val="nil"/>
              <w:bottom w:val="nil"/>
              <w:right w:val="single" w:sz="8" w:space="0" w:color="800000"/>
            </w:tcBorders>
            <w:shd w:val="clear" w:color="auto" w:fill="FFFFCC"/>
            <w:noWrap/>
            <w:vAlign w:val="bottom"/>
          </w:tcPr>
          <w:p w:rsidR="000938C1" w:rsidRDefault="000938C1">
            <w:pPr>
              <w:jc w:val="right"/>
              <w:rPr>
                <w:color w:val="000000"/>
                <w:sz w:val="18"/>
                <w:szCs w:val="18"/>
              </w:rPr>
            </w:pPr>
            <w:r>
              <w:rPr>
                <w:color w:val="000000"/>
                <w:sz w:val="18"/>
                <w:szCs w:val="18"/>
              </w:rPr>
              <w:t>934,1</w:t>
            </w:r>
          </w:p>
        </w:tc>
        <w:tc>
          <w:tcPr>
            <w:tcW w:w="1244" w:type="dxa"/>
            <w:tcBorders>
              <w:top w:val="nil"/>
              <w:left w:val="nil"/>
              <w:bottom w:val="nil"/>
              <w:right w:val="single" w:sz="8" w:space="0" w:color="800000"/>
            </w:tcBorders>
            <w:shd w:val="clear" w:color="auto" w:fill="FFFFCC"/>
            <w:noWrap/>
            <w:vAlign w:val="bottom"/>
          </w:tcPr>
          <w:p w:rsidR="000938C1" w:rsidRDefault="000938C1">
            <w:pPr>
              <w:jc w:val="center"/>
              <w:rPr>
                <w:color w:val="000000"/>
                <w:sz w:val="20"/>
                <w:szCs w:val="20"/>
              </w:rPr>
            </w:pPr>
            <w:r>
              <w:rPr>
                <w:color w:val="000000"/>
                <w:sz w:val="20"/>
                <w:szCs w:val="20"/>
              </w:rPr>
              <w:t>115,4%</w:t>
            </w:r>
          </w:p>
        </w:tc>
        <w:tc>
          <w:tcPr>
            <w:tcW w:w="1244" w:type="dxa"/>
            <w:tcBorders>
              <w:top w:val="nil"/>
              <w:left w:val="nil"/>
              <w:bottom w:val="nil"/>
              <w:right w:val="double" w:sz="6" w:space="0" w:color="800000"/>
            </w:tcBorders>
            <w:shd w:val="clear" w:color="auto" w:fill="FFFFCC"/>
            <w:noWrap/>
            <w:vAlign w:val="bottom"/>
          </w:tcPr>
          <w:p w:rsidR="000938C1" w:rsidRDefault="000938C1">
            <w:pPr>
              <w:jc w:val="center"/>
              <w:rPr>
                <w:color w:val="000000"/>
                <w:sz w:val="20"/>
                <w:szCs w:val="20"/>
              </w:rPr>
            </w:pPr>
            <w:r>
              <w:rPr>
                <w:color w:val="000000"/>
                <w:sz w:val="20"/>
                <w:szCs w:val="20"/>
              </w:rPr>
              <w:t>102,9%</w:t>
            </w:r>
          </w:p>
        </w:tc>
      </w:tr>
      <w:tr w:rsidR="000938C1" w:rsidRPr="00CF1A14" w:rsidTr="00891830">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0938C1" w:rsidRPr="00915825" w:rsidRDefault="000938C1" w:rsidP="00891830">
            <w:pPr>
              <w:rPr>
                <w:sz w:val="4"/>
                <w:szCs w:val="4"/>
              </w:rPr>
            </w:pPr>
            <w:r w:rsidRPr="00915825">
              <w:rPr>
                <w:sz w:val="4"/>
                <w:szCs w:val="4"/>
              </w:rPr>
              <w:t> </w:t>
            </w:r>
          </w:p>
        </w:tc>
        <w:tc>
          <w:tcPr>
            <w:tcW w:w="840" w:type="dxa"/>
            <w:tcBorders>
              <w:top w:val="nil"/>
              <w:left w:val="nil"/>
              <w:bottom w:val="nil"/>
              <w:right w:val="single" w:sz="8" w:space="0" w:color="800000"/>
            </w:tcBorders>
            <w:shd w:val="clear" w:color="auto" w:fill="FFFFCC"/>
            <w:noWrap/>
            <w:vAlign w:val="bottom"/>
          </w:tcPr>
          <w:p w:rsidR="000938C1" w:rsidRDefault="000938C1" w:rsidP="00891830">
            <w:pPr>
              <w:rPr>
                <w:color w:val="000000"/>
                <w:sz w:val="4"/>
                <w:szCs w:val="4"/>
              </w:rPr>
            </w:pPr>
            <w:r>
              <w:rPr>
                <w:color w:val="000000"/>
                <w:sz w:val="4"/>
                <w:szCs w:val="4"/>
              </w:rPr>
              <w:t> </w:t>
            </w:r>
          </w:p>
        </w:tc>
        <w:tc>
          <w:tcPr>
            <w:tcW w:w="1206" w:type="dxa"/>
            <w:tcBorders>
              <w:top w:val="nil"/>
              <w:left w:val="nil"/>
              <w:bottom w:val="nil"/>
              <w:right w:val="single" w:sz="8" w:space="0" w:color="800000"/>
            </w:tcBorders>
            <w:shd w:val="clear" w:color="auto" w:fill="FFFFCC"/>
            <w:noWrap/>
            <w:vAlign w:val="bottom"/>
          </w:tcPr>
          <w:p w:rsidR="000938C1" w:rsidRDefault="000938C1" w:rsidP="00891830">
            <w:pPr>
              <w:rPr>
                <w:color w:val="000000"/>
                <w:sz w:val="4"/>
                <w:szCs w:val="4"/>
              </w:rPr>
            </w:pPr>
            <w:r>
              <w:rPr>
                <w:color w:val="000000"/>
                <w:sz w:val="4"/>
                <w:szCs w:val="4"/>
              </w:rPr>
              <w:t> </w:t>
            </w:r>
          </w:p>
        </w:tc>
        <w:tc>
          <w:tcPr>
            <w:tcW w:w="1260" w:type="dxa"/>
            <w:tcBorders>
              <w:top w:val="nil"/>
              <w:left w:val="nil"/>
              <w:bottom w:val="nil"/>
              <w:right w:val="single" w:sz="8" w:space="0" w:color="800000"/>
            </w:tcBorders>
            <w:shd w:val="clear" w:color="auto" w:fill="FFFFCC"/>
            <w:noWrap/>
            <w:vAlign w:val="bottom"/>
          </w:tcPr>
          <w:p w:rsidR="000938C1" w:rsidRDefault="000938C1">
            <w:pPr>
              <w:rPr>
                <w:color w:val="000000"/>
                <w:sz w:val="4"/>
                <w:szCs w:val="4"/>
              </w:rPr>
            </w:pPr>
            <w:r>
              <w:rPr>
                <w:color w:val="000000"/>
                <w:sz w:val="4"/>
                <w:szCs w:val="4"/>
              </w:rPr>
              <w:t> </w:t>
            </w:r>
          </w:p>
        </w:tc>
        <w:tc>
          <w:tcPr>
            <w:tcW w:w="1244" w:type="dxa"/>
            <w:tcBorders>
              <w:top w:val="nil"/>
              <w:left w:val="nil"/>
              <w:bottom w:val="nil"/>
              <w:right w:val="single" w:sz="8" w:space="0" w:color="800000"/>
            </w:tcBorders>
            <w:shd w:val="clear" w:color="auto" w:fill="FFFFCC"/>
            <w:noWrap/>
            <w:vAlign w:val="bottom"/>
          </w:tcPr>
          <w:p w:rsidR="000938C1" w:rsidRDefault="000938C1">
            <w:pPr>
              <w:rPr>
                <w:color w:val="000000"/>
                <w:sz w:val="4"/>
                <w:szCs w:val="4"/>
              </w:rPr>
            </w:pPr>
            <w:r>
              <w:rPr>
                <w:color w:val="000000"/>
                <w:sz w:val="4"/>
                <w:szCs w:val="4"/>
              </w:rPr>
              <w:t> </w:t>
            </w:r>
          </w:p>
        </w:tc>
        <w:tc>
          <w:tcPr>
            <w:tcW w:w="1244" w:type="dxa"/>
            <w:tcBorders>
              <w:top w:val="nil"/>
              <w:left w:val="nil"/>
              <w:bottom w:val="nil"/>
              <w:right w:val="double" w:sz="6" w:space="0" w:color="800000"/>
            </w:tcBorders>
            <w:shd w:val="clear" w:color="auto" w:fill="FFFFCC"/>
            <w:noWrap/>
            <w:vAlign w:val="bottom"/>
          </w:tcPr>
          <w:p w:rsidR="000938C1" w:rsidRDefault="000938C1">
            <w:pPr>
              <w:rPr>
                <w:color w:val="000000"/>
                <w:sz w:val="4"/>
                <w:szCs w:val="4"/>
              </w:rPr>
            </w:pPr>
            <w:r>
              <w:rPr>
                <w:color w:val="000000"/>
                <w:sz w:val="4"/>
                <w:szCs w:val="4"/>
              </w:rPr>
              <w:t> </w:t>
            </w:r>
          </w:p>
        </w:tc>
      </w:tr>
      <w:tr w:rsidR="000938C1" w:rsidRPr="00CF1A14" w:rsidTr="00891830">
        <w:trPr>
          <w:trHeight w:val="157"/>
        </w:trPr>
        <w:tc>
          <w:tcPr>
            <w:tcW w:w="3420" w:type="dxa"/>
            <w:tcBorders>
              <w:top w:val="nil"/>
              <w:left w:val="double" w:sz="6" w:space="0" w:color="800000"/>
              <w:bottom w:val="double" w:sz="6" w:space="0" w:color="800000"/>
              <w:right w:val="single" w:sz="8" w:space="0" w:color="800000"/>
            </w:tcBorders>
            <w:shd w:val="clear" w:color="auto" w:fill="FFFFCC"/>
            <w:noWrap/>
            <w:vAlign w:val="bottom"/>
          </w:tcPr>
          <w:p w:rsidR="000938C1" w:rsidRPr="00915825" w:rsidRDefault="000938C1" w:rsidP="00891830">
            <w:pPr>
              <w:rPr>
                <w:b/>
                <w:bCs/>
                <w:sz w:val="20"/>
                <w:szCs w:val="20"/>
              </w:rPr>
            </w:pPr>
            <w:r w:rsidRPr="00915825">
              <w:rPr>
                <w:b/>
                <w:bCs/>
                <w:sz w:val="20"/>
                <w:szCs w:val="20"/>
              </w:rPr>
              <w:t>Дефицит/излишък</w:t>
            </w:r>
          </w:p>
        </w:tc>
        <w:tc>
          <w:tcPr>
            <w:tcW w:w="840" w:type="dxa"/>
            <w:tcBorders>
              <w:top w:val="nil"/>
              <w:left w:val="nil"/>
              <w:bottom w:val="double" w:sz="6" w:space="0" w:color="800000"/>
              <w:right w:val="single" w:sz="8" w:space="0" w:color="800000"/>
            </w:tcBorders>
            <w:shd w:val="clear" w:color="auto" w:fill="FFFFCC"/>
            <w:noWrap/>
            <w:vAlign w:val="bottom"/>
          </w:tcPr>
          <w:p w:rsidR="000938C1" w:rsidRDefault="000938C1" w:rsidP="00891830">
            <w:pPr>
              <w:jc w:val="right"/>
              <w:rPr>
                <w:b/>
                <w:bCs/>
                <w:color w:val="000000"/>
                <w:sz w:val="20"/>
                <w:szCs w:val="20"/>
              </w:rPr>
            </w:pPr>
            <w:r>
              <w:rPr>
                <w:b/>
                <w:bCs/>
                <w:color w:val="000000"/>
                <w:sz w:val="20"/>
                <w:szCs w:val="20"/>
              </w:rPr>
              <w:t>-358,8</w:t>
            </w:r>
          </w:p>
        </w:tc>
        <w:tc>
          <w:tcPr>
            <w:tcW w:w="1206" w:type="dxa"/>
            <w:tcBorders>
              <w:top w:val="nil"/>
              <w:left w:val="nil"/>
              <w:bottom w:val="double" w:sz="6" w:space="0" w:color="800000"/>
              <w:right w:val="single" w:sz="8" w:space="0" w:color="800000"/>
            </w:tcBorders>
            <w:shd w:val="clear" w:color="auto" w:fill="FFFFCC"/>
            <w:noWrap/>
            <w:vAlign w:val="bottom"/>
          </w:tcPr>
          <w:p w:rsidR="000938C1" w:rsidRDefault="000938C1" w:rsidP="00891830">
            <w:pPr>
              <w:jc w:val="right"/>
              <w:rPr>
                <w:b/>
                <w:bCs/>
                <w:color w:val="000000"/>
                <w:sz w:val="20"/>
                <w:szCs w:val="20"/>
              </w:rPr>
            </w:pPr>
            <w:r>
              <w:rPr>
                <w:b/>
                <w:bCs/>
                <w:color w:val="000000"/>
                <w:sz w:val="20"/>
                <w:szCs w:val="20"/>
              </w:rPr>
              <w:t>-1 593,4</w:t>
            </w:r>
          </w:p>
        </w:tc>
        <w:tc>
          <w:tcPr>
            <w:tcW w:w="1260" w:type="dxa"/>
            <w:tcBorders>
              <w:top w:val="nil"/>
              <w:left w:val="nil"/>
              <w:bottom w:val="double" w:sz="6" w:space="0" w:color="800000"/>
              <w:right w:val="single" w:sz="8" w:space="0" w:color="800000"/>
            </w:tcBorders>
            <w:shd w:val="clear" w:color="auto" w:fill="FFFFCC"/>
            <w:noWrap/>
            <w:vAlign w:val="bottom"/>
          </w:tcPr>
          <w:p w:rsidR="000938C1" w:rsidRDefault="000938C1" w:rsidP="00A15D09">
            <w:pPr>
              <w:jc w:val="right"/>
              <w:rPr>
                <w:b/>
                <w:bCs/>
                <w:color w:val="000000"/>
                <w:sz w:val="20"/>
                <w:szCs w:val="20"/>
              </w:rPr>
            </w:pPr>
            <w:r>
              <w:rPr>
                <w:b/>
                <w:bCs/>
                <w:color w:val="000000"/>
                <w:sz w:val="20"/>
                <w:szCs w:val="20"/>
              </w:rPr>
              <w:t>-1 440,7</w:t>
            </w:r>
          </w:p>
        </w:tc>
        <w:tc>
          <w:tcPr>
            <w:tcW w:w="1244" w:type="dxa"/>
            <w:tcBorders>
              <w:top w:val="nil"/>
              <w:left w:val="nil"/>
              <w:bottom w:val="double" w:sz="6" w:space="0" w:color="800000"/>
              <w:right w:val="single" w:sz="8" w:space="0" w:color="800000"/>
            </w:tcBorders>
            <w:shd w:val="clear" w:color="auto" w:fill="FFFFCC"/>
            <w:noWrap/>
            <w:vAlign w:val="bottom"/>
          </w:tcPr>
          <w:p w:rsidR="000938C1" w:rsidRDefault="000938C1">
            <w:pPr>
              <w:rPr>
                <w:b/>
                <w:bCs/>
                <w:color w:val="000000"/>
                <w:sz w:val="20"/>
                <w:szCs w:val="20"/>
              </w:rPr>
            </w:pPr>
            <w:r>
              <w:rPr>
                <w:b/>
                <w:bCs/>
                <w:color w:val="000000"/>
                <w:sz w:val="20"/>
                <w:szCs w:val="20"/>
              </w:rPr>
              <w:t> </w:t>
            </w:r>
          </w:p>
        </w:tc>
        <w:tc>
          <w:tcPr>
            <w:tcW w:w="1244" w:type="dxa"/>
            <w:tcBorders>
              <w:top w:val="nil"/>
              <w:left w:val="nil"/>
              <w:bottom w:val="double" w:sz="6" w:space="0" w:color="800000"/>
              <w:right w:val="double" w:sz="6" w:space="0" w:color="800000"/>
            </w:tcBorders>
            <w:shd w:val="clear" w:color="auto" w:fill="FFFFCC"/>
            <w:noWrap/>
            <w:vAlign w:val="bottom"/>
          </w:tcPr>
          <w:p w:rsidR="000938C1" w:rsidRDefault="000938C1">
            <w:pPr>
              <w:rPr>
                <w:b/>
                <w:bCs/>
                <w:color w:val="000000"/>
                <w:sz w:val="20"/>
                <w:szCs w:val="20"/>
              </w:rPr>
            </w:pPr>
            <w:r>
              <w:rPr>
                <w:b/>
                <w:bCs/>
                <w:color w:val="000000"/>
                <w:sz w:val="20"/>
                <w:szCs w:val="20"/>
              </w:rPr>
              <w:t> </w:t>
            </w:r>
          </w:p>
        </w:tc>
      </w:tr>
    </w:tbl>
    <w:p w:rsidR="000938C1" w:rsidRPr="00CF1A14" w:rsidRDefault="000938C1" w:rsidP="00891830">
      <w:pPr>
        <w:tabs>
          <w:tab w:val="left" w:pos="720"/>
        </w:tabs>
        <w:ind w:firstLine="540"/>
        <w:jc w:val="both"/>
        <w:rPr>
          <w:color w:val="0070C0"/>
          <w:sz w:val="8"/>
          <w:szCs w:val="8"/>
        </w:rPr>
      </w:pPr>
    </w:p>
    <w:p w:rsidR="000938C1" w:rsidRPr="00CF1A14" w:rsidRDefault="000938C1" w:rsidP="00891830">
      <w:pPr>
        <w:ind w:firstLine="720"/>
        <w:jc w:val="both"/>
        <w:rPr>
          <w:b/>
          <w:color w:val="0070C0"/>
          <w:sz w:val="8"/>
          <w:szCs w:val="8"/>
        </w:rPr>
      </w:pPr>
    </w:p>
    <w:p w:rsidR="000938C1" w:rsidRPr="00CF1A14" w:rsidRDefault="000938C1" w:rsidP="00891830">
      <w:pPr>
        <w:ind w:firstLine="720"/>
        <w:jc w:val="both"/>
        <w:rPr>
          <w:b/>
          <w:color w:val="0070C0"/>
        </w:rPr>
      </w:pPr>
    </w:p>
    <w:p w:rsidR="000938C1" w:rsidRPr="00866349" w:rsidRDefault="000938C1" w:rsidP="00891830">
      <w:pPr>
        <w:ind w:firstLine="720"/>
        <w:jc w:val="both"/>
      </w:pPr>
      <w:r w:rsidRPr="00030D83">
        <w:rPr>
          <w:b/>
        </w:rPr>
        <w:t>Приходите и помощите по консолидираната фискална програма за 2013 г. са в размер на 28 977,</w:t>
      </w:r>
      <w:r>
        <w:rPr>
          <w:b/>
        </w:rPr>
        <w:t>2</w:t>
      </w:r>
      <w:r w:rsidRPr="00030D83">
        <w:rPr>
          <w:b/>
        </w:rPr>
        <w:t xml:space="preserve"> млн. лв.</w:t>
      </w:r>
      <w:r w:rsidRPr="00030D83">
        <w:t xml:space="preserve">, което представлява 37,1 % от БВП при 35,2 % от БВП за  2012 г. Постъпилите приходи по КФП за 2013 г. представляват 95,4 % от годишния разчет. </w:t>
      </w:r>
      <w:r w:rsidRPr="00866349">
        <w:t xml:space="preserve">Изпълнението на приходите по републиканския бюджет е 98,6 %, по бюджета на ДОО – 99,1 %, по бюджета на НЗОК – 103,5 %, по бюджетите на общините – </w:t>
      </w:r>
      <w:r>
        <w:t>98,3</w:t>
      </w:r>
      <w:r w:rsidRPr="00866349">
        <w:t xml:space="preserve"> %, ДФ ”Земеделие” – </w:t>
      </w:r>
      <w:r>
        <w:t>89,3</w:t>
      </w:r>
      <w:r w:rsidRPr="00866349">
        <w:t xml:space="preserve"> %, Национален фонд – 62,</w:t>
      </w:r>
      <w:r>
        <w:t>1</w:t>
      </w:r>
      <w:r w:rsidRPr="00866349">
        <w:t xml:space="preserve"> %. </w:t>
      </w:r>
    </w:p>
    <w:p w:rsidR="000938C1" w:rsidRDefault="000938C1" w:rsidP="00891830">
      <w:pPr>
        <w:ind w:firstLine="720"/>
        <w:jc w:val="both"/>
      </w:pPr>
      <w:r w:rsidRPr="000A7CC3">
        <w:t xml:space="preserve">Общата сума на </w:t>
      </w:r>
      <w:r w:rsidRPr="000A7CC3">
        <w:rPr>
          <w:b/>
          <w:i/>
        </w:rPr>
        <w:t>данъчните постъпления</w:t>
      </w:r>
      <w:r w:rsidRPr="000A7CC3">
        <w:t xml:space="preserve"> (вкл. приходите от осигурителни вноски) за годината възлиза на 22 370,3 млн. лв. (97,9 % от годишния разчет). </w:t>
      </w:r>
      <w:r w:rsidRPr="0036581C">
        <w:t>Относителният дял на данъчните приходи към общите постъпления по КФП е 77,2 %. Данъчните постъпления за 2013 г. представляват 28,6 % от БВП за годината, при 27,6 % от БВП за 2012 г. Спрямо 2012 година  данъчните приходи са нараснали с 841,4 млн. лв. или 3,9 %</w:t>
      </w:r>
      <w:r>
        <w:t>, като</w:t>
      </w:r>
      <w:r w:rsidRPr="00C86F99">
        <w:t xml:space="preserve"> косвените данъци са нараснали с 248</w:t>
      </w:r>
      <w:r>
        <w:t>,</w:t>
      </w:r>
      <w:r w:rsidRPr="00C86F99">
        <w:t>0 млн. лв., преките данъци със 125</w:t>
      </w:r>
      <w:r>
        <w:t>,</w:t>
      </w:r>
      <w:r w:rsidRPr="00C86F99">
        <w:t>8 млн. лв., приходите от социални и здравноосигурителни вноски с 464</w:t>
      </w:r>
      <w:r>
        <w:t>,</w:t>
      </w:r>
      <w:r w:rsidRPr="00C86F99">
        <w:t>1 млн. лв. и другите данъци (други данъци по ЗКПО, имуществени данъци и др.) с 3</w:t>
      </w:r>
      <w:r>
        <w:t>,</w:t>
      </w:r>
      <w:r w:rsidRPr="00C86F99">
        <w:t>5 млн. л</w:t>
      </w:r>
      <w:r>
        <w:t>е</w:t>
      </w:r>
      <w:r w:rsidRPr="00C86F99">
        <w:t>в</w:t>
      </w:r>
      <w:r>
        <w:t>а</w:t>
      </w:r>
      <w:r w:rsidRPr="00C86F99">
        <w:t>.</w:t>
      </w:r>
    </w:p>
    <w:p w:rsidR="000938C1" w:rsidRPr="002255D3" w:rsidRDefault="000938C1" w:rsidP="00187783">
      <w:pPr>
        <w:ind w:firstLine="720"/>
        <w:jc w:val="both"/>
        <w:rPr>
          <w:sz w:val="12"/>
          <w:szCs w:val="12"/>
        </w:rPr>
      </w:pPr>
    </w:p>
    <w:p w:rsidR="000938C1" w:rsidRPr="00187783" w:rsidRDefault="000938C1" w:rsidP="00891830">
      <w:pPr>
        <w:ind w:firstLine="720"/>
        <w:jc w:val="both"/>
      </w:pPr>
      <w:r w:rsidRPr="008C6437">
        <w:t>При съпоставката на изпълнението на данъчните приходи с плана за годината е важно да се отбележи, че върху изпълнението на данъците влияние оказва по-високия размер на възстановения ДДС през последния месец на 2013 г. Освен това наказателните лихви върху невнесени в срок данъчни задължения, които са в размер около 90 млн. лв. са отчетени в съответната позиция в неданъчните приходи, а са планирани като данъчни приходи – по видове данъци. При други равни условия и елиминиране на посоченото различие в наказателните лихви и в случай, че беше запазено нивото на невъзстановения данъчен кредит по ЗДДС на нивото от 2012 г.</w:t>
      </w:r>
      <w:r>
        <w:t>,</w:t>
      </w:r>
      <w:r w:rsidRPr="008C6437">
        <w:t xml:space="preserve"> неизпълнението на разчетите при данъчните приходи по КФП би било 273 млн.</w:t>
      </w:r>
      <w:r>
        <w:t xml:space="preserve"> </w:t>
      </w:r>
      <w:r w:rsidRPr="008C6437">
        <w:t>лв., главно от неизпълнение на приходите на Агенция „Митници“. Върху постъпленията от ДДС от внос влияние оказва основно свиването на вноса при инвестиционните стоки и отчетения спад на цените на голяма част от тях (средно с 5</w:t>
      </w:r>
      <w:r>
        <w:t>,</w:t>
      </w:r>
      <w:r w:rsidRPr="008C6437">
        <w:t>8 % спрямо предходната година).</w:t>
      </w:r>
    </w:p>
    <w:p w:rsidR="000938C1" w:rsidRPr="00CF1A14" w:rsidRDefault="000938C1" w:rsidP="00891830">
      <w:pPr>
        <w:pStyle w:val="BodyTextIndent"/>
        <w:spacing w:after="0"/>
        <w:ind w:left="0" w:firstLine="720"/>
        <w:jc w:val="both"/>
        <w:rPr>
          <w:bCs/>
          <w:color w:val="0070C0"/>
          <w:sz w:val="12"/>
          <w:szCs w:val="12"/>
          <w:lang w:val="bg-BG"/>
        </w:rPr>
      </w:pPr>
    </w:p>
    <w:p w:rsidR="000938C1" w:rsidRPr="00297070" w:rsidRDefault="000938C1" w:rsidP="00891830">
      <w:pPr>
        <w:spacing w:after="60"/>
        <w:ind w:firstLine="720"/>
        <w:jc w:val="both"/>
      </w:pPr>
      <w:r w:rsidRPr="00C33D29">
        <w:t xml:space="preserve">Приходите в частта на </w:t>
      </w:r>
      <w:r w:rsidRPr="00C33D29">
        <w:rPr>
          <w:i/>
          <w:u w:val="single"/>
        </w:rPr>
        <w:t>преките данъци</w:t>
      </w:r>
      <w:r w:rsidRPr="00C33D29">
        <w:t xml:space="preserve"> възлизат 3 901,5 млн. лв., което представлява 96,3 % от годишните разчети.</w:t>
      </w:r>
      <w:r w:rsidRPr="00187783">
        <w:t xml:space="preserve"> </w:t>
      </w:r>
      <w:r w:rsidRPr="00EC327C">
        <w:t xml:space="preserve">Постъпленията от преки данъци за 2013 г. </w:t>
      </w:r>
      <w:r w:rsidRPr="00030D83">
        <w:t>представлява</w:t>
      </w:r>
      <w:r>
        <w:t>т 5,0</w:t>
      </w:r>
      <w:r w:rsidRPr="00030D83">
        <w:t xml:space="preserve"> % от БВП при </w:t>
      </w:r>
      <w:r>
        <w:t>4,8</w:t>
      </w:r>
      <w:r w:rsidRPr="00030D83">
        <w:t xml:space="preserve"> % от БВП за 2012 г</w:t>
      </w:r>
      <w:r w:rsidRPr="00297070">
        <w:t xml:space="preserve">. </w:t>
      </w:r>
      <w:r w:rsidRPr="00C33D29">
        <w:t xml:space="preserve">В номинална стойност неизпълнението на разчетите за годината </w:t>
      </w:r>
      <w:r>
        <w:t xml:space="preserve">в групата на преките данъци </w:t>
      </w:r>
      <w:r w:rsidRPr="00C33D29">
        <w:t xml:space="preserve">е в размер на 148,3 млн. лв., основно поради по-ниските постъпления от ДДФЛ. </w:t>
      </w:r>
      <w:r w:rsidRPr="00297070">
        <w:t xml:space="preserve">Приходите от </w:t>
      </w:r>
      <w:r w:rsidRPr="00297070">
        <w:rPr>
          <w:i/>
          <w:u w:val="single"/>
        </w:rPr>
        <w:t>косвени данъци</w:t>
      </w:r>
      <w:r w:rsidRPr="00297070">
        <w:t xml:space="preserve"> са в размер на </w:t>
      </w:r>
      <w:r w:rsidRPr="00297070">
        <w:rPr>
          <w:bCs/>
        </w:rPr>
        <w:t>11 590,7</w:t>
      </w:r>
      <w:r w:rsidRPr="00297070">
        <w:t xml:space="preserve"> млн. лв., което представлява 97,3 % от планираните за годината. Постъпленията от косвени данъци за 2013 г. представляват 14,8 % от БВП, при 14,5 % за 2012 г. В номинална стойност неизпълнението на разчетите за годината е в размер на 327,4 млн. лв. Постъпленията от </w:t>
      </w:r>
      <w:r w:rsidRPr="00297070">
        <w:rPr>
          <w:i/>
          <w:u w:val="single"/>
        </w:rPr>
        <w:t>други данъци</w:t>
      </w:r>
      <w:r w:rsidRPr="00297070">
        <w:t xml:space="preserve"> (включват други данъци по ЗКПО, имуществени данъци и др.) са в размер на 817,9 млн. лв., което представлява 101,0 % спрямо годишните разчети за 2013 г. </w:t>
      </w:r>
    </w:p>
    <w:p w:rsidR="000938C1" w:rsidRPr="00321738" w:rsidRDefault="000938C1" w:rsidP="00891830">
      <w:pPr>
        <w:spacing w:after="60"/>
        <w:ind w:firstLine="720"/>
        <w:jc w:val="both"/>
        <w:rPr>
          <w:bCs/>
        </w:rPr>
      </w:pPr>
      <w:r w:rsidRPr="00FB7AE6">
        <w:t xml:space="preserve">Приходите от </w:t>
      </w:r>
      <w:r w:rsidRPr="00FB7AE6">
        <w:rPr>
          <w:i/>
          <w:u w:val="single"/>
        </w:rPr>
        <w:t>социалноосигурителни и здравни вноски</w:t>
      </w:r>
      <w:r w:rsidRPr="00FB7AE6">
        <w:t xml:space="preserve"> за 2013 г. са в размер на 6 060,2 млн. лв., 99,8 % от планираните за 2013 г. и с 464,1 млн. лв. (8,3 %) повече спрямо предходната година. </w:t>
      </w:r>
      <w:r w:rsidRPr="00321738">
        <w:t xml:space="preserve">Отнесени към БВП приходите от социално и здравноосигурителни вноски за 2013 г. </w:t>
      </w:r>
      <w:r w:rsidRPr="00321738">
        <w:rPr>
          <w:bCs/>
        </w:rPr>
        <w:t>представляват 7,8 %, при 7,2 % от БВП за 2012 г.</w:t>
      </w:r>
      <w:r w:rsidRPr="00321738">
        <w:t xml:space="preserve"> Постъпилите през 2013 година приходи от социалноосигурителни вноски са в размер на 4 256,6 млн. лв., което е 98,4 % изпълнение на заложените за 2013 г. разчети и с 388,3 млн. лв. </w:t>
      </w:r>
      <w:r w:rsidRPr="00187783">
        <w:rPr>
          <w:lang w:val="en-US"/>
        </w:rPr>
        <w:t>(</w:t>
      </w:r>
      <w:r w:rsidRPr="00321738">
        <w:t>10,0 %</w:t>
      </w:r>
      <w:r w:rsidRPr="00187783">
        <w:rPr>
          <w:lang w:val="en-US"/>
        </w:rPr>
        <w:t>)</w:t>
      </w:r>
      <w:r w:rsidRPr="00321738">
        <w:t xml:space="preserve"> повече спрямо 2012 г.</w:t>
      </w:r>
      <w:r w:rsidRPr="00321738">
        <w:rPr>
          <w:bCs/>
        </w:rPr>
        <w:t xml:space="preserve"> Приходите от здравноосигурителни вноски, постъпили по бюджета на НЗОК</w:t>
      </w:r>
      <w:r>
        <w:rPr>
          <w:bCs/>
        </w:rPr>
        <w:t>,</w:t>
      </w:r>
      <w:r w:rsidRPr="00321738">
        <w:rPr>
          <w:bCs/>
        </w:rPr>
        <w:t xml:space="preserve"> са в размер на 1 803,6 млн. лв., което е 103,1 % изпълнение на заложените в ЗБНЗОК за 2013 г. средства и със 75,8 млн. лв. </w:t>
      </w:r>
      <w:r w:rsidRPr="00187783">
        <w:rPr>
          <w:bCs/>
          <w:lang w:val="en-US"/>
        </w:rPr>
        <w:t>(</w:t>
      </w:r>
      <w:r w:rsidRPr="00321738">
        <w:rPr>
          <w:bCs/>
        </w:rPr>
        <w:t>4,4 %</w:t>
      </w:r>
      <w:r w:rsidRPr="00187783">
        <w:rPr>
          <w:bCs/>
          <w:lang w:val="en-US"/>
        </w:rPr>
        <w:t>)</w:t>
      </w:r>
      <w:r w:rsidRPr="00321738">
        <w:rPr>
          <w:bCs/>
        </w:rPr>
        <w:t xml:space="preserve"> повече спрямо 2012 г. </w:t>
      </w:r>
    </w:p>
    <w:p w:rsidR="000938C1" w:rsidRPr="009C0F6E" w:rsidRDefault="000938C1" w:rsidP="00891830">
      <w:pPr>
        <w:spacing w:after="60"/>
        <w:ind w:firstLine="720"/>
        <w:jc w:val="both"/>
      </w:pPr>
      <w:r w:rsidRPr="009C0F6E">
        <w:rPr>
          <w:b/>
          <w:i/>
          <w:u w:val="single"/>
        </w:rPr>
        <w:t>Неданъчните приходи</w:t>
      </w:r>
      <w:r w:rsidRPr="009C0F6E">
        <w:rPr>
          <w:b/>
        </w:rPr>
        <w:t xml:space="preserve"> с</w:t>
      </w:r>
      <w:r w:rsidRPr="009C0F6E">
        <w:t xml:space="preserve">а </w:t>
      </w:r>
      <w:r w:rsidRPr="009C0F6E">
        <w:rPr>
          <w:b/>
          <w:bCs/>
          <w:i/>
        </w:rPr>
        <w:t>3 950,</w:t>
      </w:r>
      <w:r>
        <w:rPr>
          <w:b/>
          <w:bCs/>
          <w:i/>
        </w:rPr>
        <w:t>5</w:t>
      </w:r>
      <w:r w:rsidRPr="009C0F6E">
        <w:rPr>
          <w:b/>
          <w:i/>
        </w:rPr>
        <w:t xml:space="preserve"> млн. лв.</w:t>
      </w:r>
      <w:r w:rsidRPr="009C0F6E">
        <w:t>, което представлява 1</w:t>
      </w:r>
      <w:r>
        <w:t>04,</w:t>
      </w:r>
      <w:r w:rsidRPr="009C0F6E">
        <w:t>1 % спрямо годишните разчети. Относителният дял на неданъчните приходи към общите постъпления по КФП е 13,6 %. Неданъчните постъпления за 2013 г. представляват 5,1 % от БВП за годината, при 4,6 % от БВП за 2012 г. Спрямо 2012 г. неданъчните приходи са нараснали с 377,</w:t>
      </w:r>
      <w:r>
        <w:t>6</w:t>
      </w:r>
      <w:r w:rsidRPr="009C0F6E">
        <w:t xml:space="preserve"> млн. лв. </w:t>
      </w:r>
    </w:p>
    <w:p w:rsidR="000938C1" w:rsidRDefault="000938C1" w:rsidP="00891830">
      <w:pPr>
        <w:spacing w:after="60"/>
        <w:ind w:firstLine="720"/>
        <w:jc w:val="both"/>
      </w:pPr>
      <w:r w:rsidRPr="00571010">
        <w:rPr>
          <w:b/>
          <w:i/>
          <w:u w:val="single"/>
        </w:rPr>
        <w:t>Помощите</w:t>
      </w:r>
      <w:r>
        <w:rPr>
          <w:b/>
          <w:i/>
          <w:u w:val="single"/>
        </w:rPr>
        <w:t xml:space="preserve"> </w:t>
      </w:r>
      <w:r w:rsidRPr="00571010">
        <w:t xml:space="preserve">(основно средства от предприсъединителните инструменти на ЕС, Структурните и Кохезионния фондове на ЕС, Финансовия инструмент на Европейско икономическо пространство, двустранни програми за европейско териториално сътрудничество по външни граници на EС, Финансов механизъм на Европейското икономическо пространство 2009-2014 г. и Норвежки финансов механизъм 2009-2014 г. по бюджета на Националния фонд и постъпления от Европейския земеделски фонд за развитие на селските райони по бюджета на Разплащателната агенция към ДФ „Земеделие”) за 2013 г. са в размер </w:t>
      </w:r>
      <w:r w:rsidRPr="00571010">
        <w:rPr>
          <w:b/>
          <w:i/>
        </w:rPr>
        <w:t>2 656,3 млн. лв.</w:t>
      </w:r>
      <w:r w:rsidRPr="00571010">
        <w:t xml:space="preserve">, което представлява 71,0 % от разчета за годината. </w:t>
      </w:r>
      <w:r>
        <w:t>П</w:t>
      </w:r>
      <w:r w:rsidRPr="009C0F6E">
        <w:t>остъп</w:t>
      </w:r>
      <w:r>
        <w:t>илите помощи</w:t>
      </w:r>
      <w:r w:rsidRPr="009C0F6E">
        <w:t xml:space="preserve"> за 2013 г. представляват </w:t>
      </w:r>
      <w:r>
        <w:t>3,4</w:t>
      </w:r>
      <w:r w:rsidRPr="009C0F6E">
        <w:t xml:space="preserve"> % от БВП за годината, при </w:t>
      </w:r>
      <w:r>
        <w:t>3,0</w:t>
      </w:r>
      <w:r w:rsidRPr="009C0F6E">
        <w:t xml:space="preserve"> % от БВП за 2012 г. Спрямо 2012 г. </w:t>
      </w:r>
      <w:r>
        <w:t>помощите</w:t>
      </w:r>
      <w:r w:rsidRPr="009C0F6E">
        <w:t xml:space="preserve"> са нараснали с </w:t>
      </w:r>
      <w:r>
        <w:t>288,8</w:t>
      </w:r>
      <w:r w:rsidRPr="009C0F6E">
        <w:t xml:space="preserve"> млн. л</w:t>
      </w:r>
      <w:r>
        <w:t>ева.</w:t>
      </w:r>
    </w:p>
    <w:p w:rsidR="000938C1" w:rsidRDefault="000938C1" w:rsidP="00891830">
      <w:pPr>
        <w:spacing w:after="60"/>
        <w:ind w:firstLine="720"/>
        <w:jc w:val="both"/>
      </w:pPr>
    </w:p>
    <w:p w:rsidR="000938C1" w:rsidRDefault="000938C1" w:rsidP="00891830">
      <w:pPr>
        <w:spacing w:after="60"/>
        <w:ind w:firstLine="720"/>
        <w:jc w:val="both"/>
      </w:pPr>
    </w:p>
    <w:p w:rsidR="000938C1" w:rsidRDefault="000938C1" w:rsidP="00891830">
      <w:pPr>
        <w:spacing w:after="60"/>
        <w:ind w:firstLine="720"/>
        <w:jc w:val="both"/>
      </w:pPr>
    </w:p>
    <w:p w:rsidR="000938C1" w:rsidRDefault="000938C1" w:rsidP="00891830">
      <w:pPr>
        <w:spacing w:after="60"/>
        <w:ind w:firstLine="720"/>
        <w:jc w:val="both"/>
      </w:pPr>
    </w:p>
    <w:p w:rsidR="000938C1" w:rsidRDefault="000938C1" w:rsidP="00891830">
      <w:pPr>
        <w:spacing w:after="60"/>
        <w:ind w:firstLine="720"/>
        <w:jc w:val="both"/>
      </w:pPr>
    </w:p>
    <w:p w:rsidR="000938C1" w:rsidRDefault="000938C1" w:rsidP="00891830">
      <w:pPr>
        <w:tabs>
          <w:tab w:val="left" w:pos="720"/>
        </w:tabs>
        <w:ind w:firstLine="540"/>
        <w:jc w:val="both"/>
        <w:rPr>
          <w:b/>
          <w:bCs/>
          <w:i/>
        </w:rPr>
      </w:pPr>
      <w:r w:rsidRPr="00571010">
        <w:rPr>
          <w:b/>
          <w:bCs/>
          <w:i/>
        </w:rPr>
        <w:t>Приходи по КФП за 2012 г. и 2013 г., представени като процент от БВП</w:t>
      </w:r>
    </w:p>
    <w:p w:rsidR="000938C1" w:rsidRPr="00CF1A14" w:rsidRDefault="000938C1" w:rsidP="00891830">
      <w:pPr>
        <w:tabs>
          <w:tab w:val="left" w:pos="720"/>
        </w:tabs>
        <w:ind w:firstLine="540"/>
        <w:jc w:val="both"/>
        <w:rPr>
          <w:b/>
          <w:bCs/>
          <w:i/>
          <w:color w:val="0070C0"/>
        </w:rPr>
      </w:pPr>
    </w:p>
    <w:p w:rsidR="000938C1" w:rsidRDefault="000938C1" w:rsidP="00891830">
      <w:pPr>
        <w:ind w:left="360"/>
        <w:jc w:val="both"/>
        <w:rPr>
          <w:sz w:val="16"/>
          <w:szCs w:val="16"/>
        </w:rPr>
      </w:pPr>
      <w:r w:rsidRPr="00656AB5">
        <w:rPr>
          <w:noProof/>
        </w:rPr>
        <w:pict>
          <v:shape id="Chart 9" o:spid="_x0000_i1033" type="#_x0000_t75" style="width:455.25pt;height:184.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">
            <v:imagedata r:id="rId24" o:title=""/>
            <o:lock v:ext="edit" aspectratio="f"/>
          </v:shape>
        </w:pict>
      </w:r>
    </w:p>
    <w:p w:rsidR="000938C1" w:rsidRDefault="000938C1" w:rsidP="00891830">
      <w:pPr>
        <w:ind w:left="360"/>
        <w:jc w:val="both"/>
        <w:rPr>
          <w:sz w:val="16"/>
          <w:szCs w:val="16"/>
        </w:rPr>
      </w:pPr>
    </w:p>
    <w:p w:rsidR="000938C1" w:rsidRPr="00AB2F41" w:rsidRDefault="000938C1" w:rsidP="00891830">
      <w:pPr>
        <w:ind w:left="360"/>
        <w:jc w:val="both"/>
        <w:rPr>
          <w:sz w:val="16"/>
          <w:szCs w:val="16"/>
        </w:rPr>
      </w:pPr>
      <w:r w:rsidRPr="00AB2F41">
        <w:rPr>
          <w:sz w:val="16"/>
          <w:szCs w:val="16"/>
        </w:rPr>
        <w:t>*В частта на преките данъци са включени и другите данъци</w:t>
      </w:r>
    </w:p>
    <w:p w:rsidR="000938C1" w:rsidRPr="00CF1A14" w:rsidRDefault="000938C1" w:rsidP="00891830">
      <w:pPr>
        <w:tabs>
          <w:tab w:val="left" w:pos="1080"/>
        </w:tabs>
        <w:autoSpaceDE w:val="0"/>
        <w:autoSpaceDN w:val="0"/>
        <w:adjustRightInd w:val="0"/>
        <w:jc w:val="both"/>
        <w:rPr>
          <w:color w:val="0070C0"/>
          <w:sz w:val="8"/>
          <w:szCs w:val="8"/>
        </w:rPr>
      </w:pPr>
    </w:p>
    <w:p w:rsidR="000938C1" w:rsidRDefault="000938C1" w:rsidP="00891830">
      <w:pPr>
        <w:numPr>
          <w:ilvl w:val="0"/>
          <w:numId w:val="8"/>
        </w:numPr>
        <w:tabs>
          <w:tab w:val="num" w:pos="0"/>
          <w:tab w:val="left" w:pos="1080"/>
        </w:tabs>
        <w:autoSpaceDE w:val="0"/>
        <w:autoSpaceDN w:val="0"/>
        <w:adjustRightInd w:val="0"/>
        <w:ind w:left="0" w:firstLine="720"/>
        <w:jc w:val="both"/>
      </w:pPr>
      <w:r w:rsidRPr="00686436">
        <w:rPr>
          <w:b/>
        </w:rPr>
        <w:t xml:space="preserve">Общият размер на разходите по </w:t>
      </w:r>
      <w:r>
        <w:rPr>
          <w:b/>
        </w:rPr>
        <w:t>КФП</w:t>
      </w:r>
      <w:r w:rsidRPr="00686436">
        <w:t xml:space="preserve"> (вкл. и вноската  в бюджета на ЕС) за годината </w:t>
      </w:r>
      <w:r w:rsidRPr="00686436">
        <w:rPr>
          <w:b/>
        </w:rPr>
        <w:t>възлиза на 30</w:t>
      </w:r>
      <w:r>
        <w:rPr>
          <w:b/>
        </w:rPr>
        <w:t> </w:t>
      </w:r>
      <w:r w:rsidRPr="00686436">
        <w:rPr>
          <w:b/>
        </w:rPr>
        <w:t>4</w:t>
      </w:r>
      <w:r>
        <w:rPr>
          <w:b/>
          <w:lang w:val="en-US"/>
        </w:rPr>
        <w:t>1</w:t>
      </w:r>
      <w:r>
        <w:rPr>
          <w:b/>
        </w:rPr>
        <w:t>7,9</w:t>
      </w:r>
      <w:r w:rsidRPr="00686436">
        <w:rPr>
          <w:b/>
        </w:rPr>
        <w:t xml:space="preserve"> млн. лв.</w:t>
      </w:r>
      <w:r w:rsidRPr="00686436">
        <w:t>, което представлява 95,</w:t>
      </w:r>
      <w:r>
        <w:t>1</w:t>
      </w:r>
      <w:r w:rsidRPr="00686436">
        <w:t xml:space="preserve"> % от годишните разчети за 2013 г</w:t>
      </w:r>
      <w:r w:rsidRPr="006213E1">
        <w:t xml:space="preserve">. </w:t>
      </w:r>
      <w:r w:rsidRPr="006213E1">
        <w:rPr>
          <w:i/>
        </w:rPr>
        <w:t>Лихвените плащания</w:t>
      </w:r>
      <w:r>
        <w:rPr>
          <w:i/>
        </w:rPr>
        <w:t xml:space="preserve"> </w:t>
      </w:r>
      <w:r w:rsidRPr="006213E1">
        <w:t xml:space="preserve">възлизат на </w:t>
      </w:r>
      <w:r w:rsidRPr="00187783">
        <w:rPr>
          <w:lang w:val="ru-RU"/>
        </w:rPr>
        <w:t>688</w:t>
      </w:r>
      <w:r w:rsidRPr="006213E1">
        <w:t>,</w:t>
      </w:r>
      <w:r w:rsidRPr="002255D3">
        <w:rPr>
          <w:lang w:val="ru-RU"/>
        </w:rPr>
        <w:t xml:space="preserve">8 </w:t>
      </w:r>
      <w:r w:rsidRPr="006213E1">
        <w:t>млн. лв.</w:t>
      </w:r>
      <w:r>
        <w:t xml:space="preserve"> </w:t>
      </w:r>
      <w:r w:rsidRPr="006213E1">
        <w:t>(78,</w:t>
      </w:r>
      <w:r w:rsidRPr="002255D3">
        <w:rPr>
          <w:lang w:val="ru-RU"/>
        </w:rPr>
        <w:t>7</w:t>
      </w:r>
      <w:r w:rsidRPr="006213E1">
        <w:t xml:space="preserve"> % от планираните за 2013 г.)</w:t>
      </w:r>
      <w:r w:rsidRPr="006213E1">
        <w:rPr>
          <w:b/>
        </w:rPr>
        <w:t xml:space="preserve">, </w:t>
      </w:r>
      <w:r w:rsidRPr="006213E1">
        <w:rPr>
          <w:i/>
        </w:rPr>
        <w:t>текущите</w:t>
      </w:r>
      <w:r>
        <w:rPr>
          <w:i/>
        </w:rPr>
        <w:t xml:space="preserve"> </w:t>
      </w:r>
      <w:r w:rsidRPr="006213E1">
        <w:rPr>
          <w:i/>
        </w:rPr>
        <w:t>нелихвени разходи</w:t>
      </w:r>
      <w:r w:rsidRPr="006213E1">
        <w:rPr>
          <w:b/>
        </w:rPr>
        <w:t xml:space="preserve"> – </w:t>
      </w:r>
      <w:r w:rsidRPr="006213E1">
        <w:t>на 24</w:t>
      </w:r>
      <w:r>
        <w:t> 681,9</w:t>
      </w:r>
      <w:r w:rsidRPr="006213E1">
        <w:t xml:space="preserve"> млн. лв</w:t>
      </w:r>
      <w:r w:rsidRPr="006213E1">
        <w:rPr>
          <w:b/>
        </w:rPr>
        <w:t xml:space="preserve">. </w:t>
      </w:r>
      <w:r w:rsidRPr="006213E1">
        <w:t>(100,</w:t>
      </w:r>
      <w:r>
        <w:t>2</w:t>
      </w:r>
      <w:r w:rsidRPr="006213E1">
        <w:t xml:space="preserve"> % спрямо разчета за годината)</w:t>
      </w:r>
      <w:r>
        <w:t xml:space="preserve"> </w:t>
      </w:r>
      <w:r w:rsidRPr="006213E1">
        <w:rPr>
          <w:i/>
        </w:rPr>
        <w:t>и капиталови разходи</w:t>
      </w:r>
      <w:r>
        <w:rPr>
          <w:i/>
        </w:rPr>
        <w:t xml:space="preserve"> </w:t>
      </w:r>
      <w:r w:rsidRPr="006213E1">
        <w:t xml:space="preserve">(вкл. нетния прираст на държавния резерв) </w:t>
      </w:r>
      <w:r w:rsidRPr="006213E1">
        <w:rPr>
          <w:b/>
        </w:rPr>
        <w:t xml:space="preserve">– </w:t>
      </w:r>
      <w:r w:rsidRPr="006213E1">
        <w:t>4</w:t>
      </w:r>
      <w:r>
        <w:t> </w:t>
      </w:r>
      <w:r w:rsidRPr="006213E1">
        <w:t>1</w:t>
      </w:r>
      <w:r>
        <w:t>13,1</w:t>
      </w:r>
      <w:r w:rsidRPr="006213E1">
        <w:t xml:space="preserve"> млн. лв. (73,</w:t>
      </w:r>
      <w:r>
        <w:t>9</w:t>
      </w:r>
      <w:r w:rsidRPr="006213E1">
        <w:t xml:space="preserve"> % от планираните за годината). </w:t>
      </w:r>
      <w:r w:rsidRPr="006213E1">
        <w:rPr>
          <w:bCs/>
        </w:rPr>
        <w:t>Разходите</w:t>
      </w:r>
      <w:r w:rsidRPr="006213E1">
        <w:t xml:space="preserve"> по </w:t>
      </w:r>
      <w:r>
        <w:t>КФП</w:t>
      </w:r>
      <w:r w:rsidRPr="006213E1">
        <w:t xml:space="preserve"> за 2013 г., представени като процент от БВП, нарастват с </w:t>
      </w:r>
      <w:r>
        <w:t>3</w:t>
      </w:r>
      <w:r w:rsidRPr="006213E1">
        <w:t>,</w:t>
      </w:r>
      <w:r>
        <w:t>3</w:t>
      </w:r>
      <w:r w:rsidRPr="006213E1">
        <w:t xml:space="preserve"> п.п. спрямо 2012 г. – 3</w:t>
      </w:r>
      <w:r>
        <w:t>8,9</w:t>
      </w:r>
      <w:r w:rsidRPr="006213E1">
        <w:t xml:space="preserve"> % от БВП за 2013 г. срещу 35,6 % от БВП за 2012 г. В структурно отношение социалните и здравноосигурителните разходи са с най-висок относителен дял (4</w:t>
      </w:r>
      <w:r>
        <w:t>2,9</w:t>
      </w:r>
      <w:r w:rsidRPr="006213E1">
        <w:t xml:space="preserve"> %) в общите разходи по КФП (без вноската в бюджета на ЕС). </w:t>
      </w:r>
    </w:p>
    <w:p w:rsidR="000938C1" w:rsidRPr="006213E1" w:rsidRDefault="000938C1" w:rsidP="00FA5C0A">
      <w:pPr>
        <w:tabs>
          <w:tab w:val="left" w:pos="1080"/>
        </w:tabs>
        <w:autoSpaceDE w:val="0"/>
        <w:autoSpaceDN w:val="0"/>
        <w:adjustRightInd w:val="0"/>
        <w:ind w:left="720"/>
        <w:jc w:val="both"/>
      </w:pPr>
    </w:p>
    <w:p w:rsidR="000938C1" w:rsidRPr="006213E1" w:rsidRDefault="000938C1" w:rsidP="00891830">
      <w:pPr>
        <w:tabs>
          <w:tab w:val="left" w:pos="1080"/>
        </w:tabs>
        <w:autoSpaceDE w:val="0"/>
        <w:autoSpaceDN w:val="0"/>
        <w:adjustRightInd w:val="0"/>
        <w:jc w:val="both"/>
        <w:rPr>
          <w:sz w:val="8"/>
          <w:szCs w:val="8"/>
        </w:rPr>
      </w:pPr>
    </w:p>
    <w:p w:rsidR="000938C1" w:rsidRDefault="000938C1" w:rsidP="00891830">
      <w:pPr>
        <w:tabs>
          <w:tab w:val="left" w:pos="720"/>
        </w:tabs>
        <w:ind w:firstLine="540"/>
        <w:jc w:val="center"/>
        <w:rPr>
          <w:b/>
          <w:i/>
          <w:noProof/>
        </w:rPr>
      </w:pPr>
      <w:r w:rsidRPr="004046B3">
        <w:rPr>
          <w:b/>
          <w:i/>
          <w:noProof/>
        </w:rPr>
        <w:t>Разходи по икономически елементи за 2012 г. и 2013 г. отнесени към БВП</w:t>
      </w:r>
    </w:p>
    <w:p w:rsidR="000938C1" w:rsidRPr="00CF1A14" w:rsidRDefault="000938C1" w:rsidP="00891830">
      <w:pPr>
        <w:tabs>
          <w:tab w:val="left" w:pos="720"/>
        </w:tabs>
        <w:ind w:firstLine="540"/>
        <w:jc w:val="center"/>
        <w:rPr>
          <w:color w:val="0070C0"/>
          <w:sz w:val="8"/>
          <w:szCs w:val="8"/>
        </w:rPr>
      </w:pPr>
    </w:p>
    <w:p w:rsidR="000938C1" w:rsidRDefault="000938C1" w:rsidP="00891830">
      <w:pPr>
        <w:jc w:val="both"/>
        <w:rPr>
          <w:color w:val="0070C0"/>
          <w:sz w:val="10"/>
          <w:szCs w:val="10"/>
        </w:rPr>
      </w:pPr>
      <w:r w:rsidRPr="00656AB5">
        <w:rPr>
          <w:noProof/>
        </w:rPr>
        <w:pict>
          <v:shape id="Chart 149" o:spid="_x0000_i1034" type="#_x0000_t75" style="width:462pt;height:245.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">
            <v:imagedata r:id="rId25" o:title="" cropbottom="-54f"/>
            <o:lock v:ext="edit" aspectratio="f"/>
          </v:shape>
        </w:pict>
      </w:r>
    </w:p>
    <w:p w:rsidR="000938C1" w:rsidRDefault="000938C1" w:rsidP="00891830">
      <w:pPr>
        <w:jc w:val="both"/>
        <w:rPr>
          <w:color w:val="0070C0"/>
          <w:sz w:val="10"/>
          <w:szCs w:val="10"/>
        </w:rPr>
      </w:pPr>
    </w:p>
    <w:p w:rsidR="000938C1" w:rsidRPr="00FA5C0A" w:rsidRDefault="000938C1" w:rsidP="00891830">
      <w:pPr>
        <w:jc w:val="both"/>
        <w:rPr>
          <w:color w:val="0070C0"/>
          <w:sz w:val="10"/>
          <w:szCs w:val="10"/>
        </w:rPr>
      </w:pPr>
    </w:p>
    <w:p w:rsidR="000938C1" w:rsidRPr="004A6956" w:rsidRDefault="000938C1" w:rsidP="00891830">
      <w:pPr>
        <w:jc w:val="both"/>
        <w:rPr>
          <w:color w:val="0070C0"/>
          <w:sz w:val="10"/>
          <w:szCs w:val="10"/>
          <w:lang w:val="en-US"/>
        </w:rPr>
      </w:pPr>
    </w:p>
    <w:p w:rsidR="000938C1" w:rsidRPr="007C3861" w:rsidRDefault="000938C1" w:rsidP="00F30F79">
      <w:pPr>
        <w:numPr>
          <w:ilvl w:val="0"/>
          <w:numId w:val="19"/>
        </w:numPr>
        <w:tabs>
          <w:tab w:val="clear" w:pos="1440"/>
          <w:tab w:val="num" w:pos="540"/>
        </w:tabs>
        <w:ind w:left="0" w:firstLine="360"/>
        <w:jc w:val="both"/>
      </w:pPr>
      <w:r>
        <w:rPr>
          <w:b/>
        </w:rPr>
        <w:t>Р</w:t>
      </w:r>
      <w:r w:rsidRPr="007C3861">
        <w:rPr>
          <w:b/>
        </w:rPr>
        <w:t>азходи</w:t>
      </w:r>
      <w:r>
        <w:rPr>
          <w:b/>
        </w:rPr>
        <w:t>те по КФП</w:t>
      </w:r>
      <w:r w:rsidRPr="007C3861">
        <w:rPr>
          <w:b/>
        </w:rPr>
        <w:t>, разгледани по функционален признак,</w:t>
      </w:r>
      <w:r w:rsidRPr="007C3861">
        <w:t xml:space="preserve"> отразяват основните направления в политиката по КФП в рамките на бюджетния ресурс за 2013 г. </w:t>
      </w:r>
    </w:p>
    <w:p w:rsidR="000938C1" w:rsidRPr="00CF1A14" w:rsidRDefault="000938C1" w:rsidP="00891830">
      <w:pPr>
        <w:ind w:firstLine="8252"/>
        <w:jc w:val="both"/>
        <w:rPr>
          <w:b/>
          <w:color w:val="0070C0"/>
          <w:sz w:val="14"/>
          <w:szCs w:val="14"/>
        </w:rPr>
      </w:pPr>
    </w:p>
    <w:tbl>
      <w:tblPr>
        <w:tblW w:w="9540" w:type="dxa"/>
        <w:tblInd w:w="70" w:type="dxa"/>
        <w:tblCellMar>
          <w:left w:w="70" w:type="dxa"/>
          <w:right w:w="70" w:type="dxa"/>
        </w:tblCellMar>
        <w:tblLook w:val="0000"/>
      </w:tblPr>
      <w:tblGrid>
        <w:gridCol w:w="3889"/>
        <w:gridCol w:w="947"/>
        <w:gridCol w:w="1075"/>
        <w:gridCol w:w="929"/>
        <w:gridCol w:w="900"/>
        <w:gridCol w:w="955"/>
        <w:gridCol w:w="845"/>
      </w:tblGrid>
      <w:tr w:rsidR="000938C1" w:rsidRPr="00D71394" w:rsidTr="00891830">
        <w:trPr>
          <w:trHeight w:val="285"/>
        </w:trPr>
        <w:tc>
          <w:tcPr>
            <w:tcW w:w="3889" w:type="dxa"/>
            <w:tcBorders>
              <w:top w:val="double" w:sz="6" w:space="0" w:color="800000"/>
              <w:left w:val="double" w:sz="6" w:space="0" w:color="800000"/>
              <w:bottom w:val="single" w:sz="8" w:space="0" w:color="800000"/>
              <w:right w:val="single" w:sz="8" w:space="0" w:color="FFFFFF"/>
            </w:tcBorders>
            <w:shd w:val="clear" w:color="auto" w:fill="800000"/>
            <w:noWrap/>
            <w:vAlign w:val="bottom"/>
          </w:tcPr>
          <w:p w:rsidR="000938C1" w:rsidRPr="00891830" w:rsidRDefault="000938C1" w:rsidP="00891830">
            <w:pPr>
              <w:rPr>
                <w:rFonts w:ascii="Arial" w:hAnsi="Arial" w:cs="Arial"/>
                <w:color w:val="FFFFFF"/>
                <w:sz w:val="20"/>
                <w:szCs w:val="20"/>
              </w:rPr>
            </w:pPr>
            <w:r w:rsidRPr="00891830">
              <w:rPr>
                <w:rFonts w:ascii="Arial" w:hAnsi="Arial" w:cs="Arial"/>
                <w:color w:val="FFFFFF"/>
                <w:sz w:val="20"/>
                <w:szCs w:val="20"/>
              </w:rPr>
              <w:t> </w:t>
            </w:r>
          </w:p>
        </w:tc>
        <w:tc>
          <w:tcPr>
            <w:tcW w:w="2951" w:type="dxa"/>
            <w:gridSpan w:val="3"/>
            <w:tcBorders>
              <w:top w:val="double" w:sz="6" w:space="0" w:color="800000"/>
              <w:left w:val="nil"/>
              <w:bottom w:val="single" w:sz="8" w:space="0" w:color="FFFFFF"/>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млн. лв.</w:t>
            </w:r>
          </w:p>
        </w:tc>
        <w:tc>
          <w:tcPr>
            <w:tcW w:w="2700" w:type="dxa"/>
            <w:gridSpan w:val="3"/>
            <w:tcBorders>
              <w:top w:val="double" w:sz="6" w:space="0" w:color="800000"/>
              <w:left w:val="nil"/>
              <w:bottom w:val="single" w:sz="8" w:space="0" w:color="FFFFFF"/>
              <w:right w:val="double" w:sz="6" w:space="0" w:color="800000"/>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 от БВП</w:t>
            </w:r>
          </w:p>
        </w:tc>
      </w:tr>
      <w:tr w:rsidR="000938C1" w:rsidRPr="00D71394" w:rsidTr="004A6956">
        <w:trPr>
          <w:trHeight w:val="285"/>
        </w:trPr>
        <w:tc>
          <w:tcPr>
            <w:tcW w:w="3889" w:type="dxa"/>
            <w:tcBorders>
              <w:top w:val="nil"/>
              <w:left w:val="double" w:sz="6" w:space="0" w:color="800000"/>
              <w:bottom w:val="single" w:sz="8" w:space="0" w:color="800000"/>
              <w:right w:val="single" w:sz="8" w:space="0" w:color="FFFFFF"/>
            </w:tcBorders>
            <w:shd w:val="clear" w:color="auto" w:fill="800000"/>
          </w:tcPr>
          <w:p w:rsidR="000938C1" w:rsidRPr="00891830" w:rsidRDefault="000938C1" w:rsidP="00891830">
            <w:pPr>
              <w:jc w:val="center"/>
              <w:rPr>
                <w:rFonts w:ascii="Arial" w:hAnsi="Arial" w:cs="Arial"/>
                <w:color w:val="FFFFFF"/>
                <w:sz w:val="20"/>
                <w:szCs w:val="20"/>
                <w:u w:val="single"/>
              </w:rPr>
            </w:pPr>
            <w:r w:rsidRPr="00891830">
              <w:rPr>
                <w:b/>
                <w:bCs/>
                <w:color w:val="FFFFFF"/>
                <w:sz w:val="18"/>
                <w:szCs w:val="18"/>
              </w:rPr>
              <w:t>РАЗХОДИ ПО ФУНКЦИИ</w:t>
            </w:r>
            <w:r w:rsidRPr="00891830">
              <w:rPr>
                <w:rStyle w:val="FootnoteReference"/>
                <w:b/>
                <w:bCs/>
                <w:color w:val="FFFFFF"/>
                <w:sz w:val="18"/>
                <w:szCs w:val="18"/>
              </w:rPr>
              <w:footnoteReference w:id="9"/>
            </w:r>
          </w:p>
        </w:tc>
        <w:tc>
          <w:tcPr>
            <w:tcW w:w="947" w:type="dxa"/>
            <w:tcBorders>
              <w:top w:val="nil"/>
              <w:left w:val="nil"/>
              <w:bottom w:val="single" w:sz="8" w:space="0" w:color="800000"/>
              <w:right w:val="single" w:sz="8" w:space="0" w:color="FFFFFF"/>
            </w:tcBorders>
            <w:shd w:val="clear" w:color="auto" w:fill="800000"/>
            <w:noWrap/>
            <w:vAlign w:val="bottom"/>
          </w:tcPr>
          <w:p w:rsidR="000938C1" w:rsidRPr="00891830" w:rsidRDefault="000938C1" w:rsidP="00891830">
            <w:pPr>
              <w:jc w:val="center"/>
              <w:rPr>
                <w:color w:val="FFFFFF"/>
                <w:sz w:val="20"/>
                <w:szCs w:val="20"/>
                <w:u w:val="single"/>
              </w:rPr>
            </w:pPr>
            <w:r w:rsidRPr="00891830">
              <w:rPr>
                <w:b/>
                <w:bCs/>
                <w:color w:val="FFFFFF"/>
                <w:sz w:val="18"/>
                <w:szCs w:val="18"/>
              </w:rPr>
              <w:footnoteReference w:customMarkFollows="1" w:id="10"/>
              <w:t>Отчет</w:t>
            </w:r>
          </w:p>
        </w:tc>
        <w:tc>
          <w:tcPr>
            <w:tcW w:w="1075" w:type="dxa"/>
            <w:tcBorders>
              <w:top w:val="nil"/>
              <w:left w:val="nil"/>
              <w:bottom w:val="single" w:sz="8" w:space="0" w:color="800000"/>
              <w:right w:val="single" w:sz="8" w:space="0" w:color="FFFFFF"/>
            </w:tcBorders>
            <w:shd w:val="clear" w:color="auto" w:fill="800000"/>
            <w:noWrap/>
            <w:vAlign w:val="bottom"/>
          </w:tcPr>
          <w:p w:rsidR="000938C1" w:rsidRPr="00891830" w:rsidRDefault="000938C1" w:rsidP="00891830">
            <w:pPr>
              <w:jc w:val="center"/>
              <w:rPr>
                <w:rStyle w:val="FootnoteReference"/>
                <w:b/>
                <w:bCs/>
                <w:color w:val="FFFFFF"/>
                <w:sz w:val="18"/>
                <w:szCs w:val="18"/>
              </w:rPr>
            </w:pPr>
            <w:r w:rsidRPr="00891830">
              <w:rPr>
                <w:b/>
                <w:bCs/>
                <w:color w:val="FFFFFF"/>
                <w:sz w:val="18"/>
                <w:szCs w:val="18"/>
              </w:rPr>
              <w:t>Програма</w:t>
            </w:r>
            <w:r w:rsidRPr="00891830">
              <w:rPr>
                <w:rStyle w:val="FootnoteReference"/>
                <w:b/>
                <w:bCs/>
                <w:color w:val="FFFFFF"/>
                <w:sz w:val="18"/>
                <w:szCs w:val="18"/>
              </w:rPr>
              <w:footnoteReference w:id="11"/>
            </w:r>
          </w:p>
        </w:tc>
        <w:tc>
          <w:tcPr>
            <w:tcW w:w="929" w:type="dxa"/>
            <w:tcBorders>
              <w:top w:val="nil"/>
              <w:left w:val="nil"/>
              <w:bottom w:val="single" w:sz="8" w:space="0" w:color="800000"/>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 xml:space="preserve">Отчет </w:t>
            </w:r>
          </w:p>
        </w:tc>
        <w:tc>
          <w:tcPr>
            <w:tcW w:w="900" w:type="dxa"/>
            <w:tcBorders>
              <w:top w:val="nil"/>
              <w:left w:val="nil"/>
              <w:bottom w:val="single" w:sz="8" w:space="0" w:color="800000"/>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 xml:space="preserve">Отчет </w:t>
            </w:r>
          </w:p>
        </w:tc>
        <w:tc>
          <w:tcPr>
            <w:tcW w:w="955" w:type="dxa"/>
            <w:tcBorders>
              <w:top w:val="nil"/>
              <w:left w:val="nil"/>
              <w:bottom w:val="single" w:sz="8" w:space="0" w:color="800000"/>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Програма</w:t>
            </w:r>
          </w:p>
        </w:tc>
        <w:tc>
          <w:tcPr>
            <w:tcW w:w="845" w:type="dxa"/>
            <w:tcBorders>
              <w:top w:val="nil"/>
              <w:left w:val="nil"/>
              <w:bottom w:val="single" w:sz="8" w:space="0" w:color="800000"/>
              <w:right w:val="double" w:sz="6" w:space="0" w:color="800000"/>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 xml:space="preserve">Отчет </w:t>
            </w:r>
          </w:p>
        </w:tc>
      </w:tr>
      <w:tr w:rsidR="000938C1" w:rsidRPr="00D71394" w:rsidTr="004A6956">
        <w:trPr>
          <w:trHeight w:val="270"/>
        </w:trPr>
        <w:tc>
          <w:tcPr>
            <w:tcW w:w="3889" w:type="dxa"/>
            <w:tcBorders>
              <w:top w:val="nil"/>
              <w:left w:val="double" w:sz="6" w:space="0" w:color="800000"/>
              <w:bottom w:val="double" w:sz="6" w:space="0" w:color="800000"/>
              <w:right w:val="single" w:sz="8" w:space="0" w:color="FFFFFF"/>
            </w:tcBorders>
            <w:shd w:val="clear" w:color="auto" w:fill="800000"/>
            <w:noWrap/>
            <w:vAlign w:val="bottom"/>
          </w:tcPr>
          <w:p w:rsidR="000938C1" w:rsidRPr="00891830" w:rsidRDefault="000938C1" w:rsidP="00891830">
            <w:pPr>
              <w:rPr>
                <w:rFonts w:ascii="Arial" w:hAnsi="Arial" w:cs="Arial"/>
                <w:color w:val="FFFFFF"/>
                <w:sz w:val="20"/>
                <w:szCs w:val="20"/>
              </w:rPr>
            </w:pPr>
            <w:r w:rsidRPr="00891830">
              <w:rPr>
                <w:rFonts w:ascii="Arial" w:hAnsi="Arial" w:cs="Arial"/>
                <w:color w:val="FFFFFF"/>
                <w:sz w:val="20"/>
                <w:szCs w:val="20"/>
              </w:rPr>
              <w:t> </w:t>
            </w:r>
          </w:p>
        </w:tc>
        <w:tc>
          <w:tcPr>
            <w:tcW w:w="947" w:type="dxa"/>
            <w:tcBorders>
              <w:top w:val="nil"/>
              <w:left w:val="nil"/>
              <w:bottom w:val="double" w:sz="6" w:space="0" w:color="800000"/>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2012 г.</w:t>
            </w:r>
          </w:p>
        </w:tc>
        <w:tc>
          <w:tcPr>
            <w:tcW w:w="1075" w:type="dxa"/>
            <w:tcBorders>
              <w:top w:val="nil"/>
              <w:left w:val="nil"/>
              <w:bottom w:val="double" w:sz="6" w:space="0" w:color="800000"/>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2013 г.</w:t>
            </w:r>
          </w:p>
        </w:tc>
        <w:tc>
          <w:tcPr>
            <w:tcW w:w="929" w:type="dxa"/>
            <w:tcBorders>
              <w:top w:val="nil"/>
              <w:left w:val="nil"/>
              <w:bottom w:val="double" w:sz="6" w:space="0" w:color="800000"/>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2013 г.</w:t>
            </w:r>
          </w:p>
        </w:tc>
        <w:tc>
          <w:tcPr>
            <w:tcW w:w="900" w:type="dxa"/>
            <w:tcBorders>
              <w:top w:val="nil"/>
              <w:left w:val="nil"/>
              <w:bottom w:val="double" w:sz="6" w:space="0" w:color="800000"/>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2012 г.</w:t>
            </w:r>
          </w:p>
        </w:tc>
        <w:tc>
          <w:tcPr>
            <w:tcW w:w="955" w:type="dxa"/>
            <w:tcBorders>
              <w:top w:val="nil"/>
              <w:left w:val="nil"/>
              <w:bottom w:val="double" w:sz="6" w:space="0" w:color="800000"/>
              <w:right w:val="single" w:sz="8" w:space="0" w:color="FFFFFF"/>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2013 г.</w:t>
            </w:r>
          </w:p>
        </w:tc>
        <w:tc>
          <w:tcPr>
            <w:tcW w:w="845" w:type="dxa"/>
            <w:tcBorders>
              <w:top w:val="nil"/>
              <w:left w:val="nil"/>
              <w:bottom w:val="double" w:sz="6" w:space="0" w:color="800000"/>
              <w:right w:val="double" w:sz="6" w:space="0" w:color="800000"/>
            </w:tcBorders>
            <w:shd w:val="clear" w:color="auto" w:fill="800000"/>
            <w:noWrap/>
            <w:vAlign w:val="bottom"/>
          </w:tcPr>
          <w:p w:rsidR="000938C1" w:rsidRPr="00891830" w:rsidRDefault="000938C1" w:rsidP="00891830">
            <w:pPr>
              <w:jc w:val="center"/>
              <w:rPr>
                <w:b/>
                <w:bCs/>
                <w:color w:val="FFFFFF"/>
                <w:sz w:val="18"/>
                <w:szCs w:val="18"/>
              </w:rPr>
            </w:pPr>
            <w:r w:rsidRPr="00891830">
              <w:rPr>
                <w:b/>
                <w:bCs/>
                <w:color w:val="FFFFFF"/>
                <w:sz w:val="18"/>
                <w:szCs w:val="18"/>
              </w:rPr>
              <w:t>2013 г.</w:t>
            </w:r>
          </w:p>
        </w:tc>
      </w:tr>
      <w:tr w:rsidR="000938C1" w:rsidRPr="00CF1A14" w:rsidTr="004A6956">
        <w:trPr>
          <w:trHeight w:val="80"/>
        </w:trPr>
        <w:tc>
          <w:tcPr>
            <w:tcW w:w="3889" w:type="dxa"/>
            <w:tcBorders>
              <w:top w:val="nil"/>
              <w:left w:val="double" w:sz="6" w:space="0" w:color="800000"/>
              <w:bottom w:val="nil"/>
              <w:right w:val="single" w:sz="8" w:space="0" w:color="800000"/>
            </w:tcBorders>
            <w:shd w:val="clear" w:color="auto" w:fill="FFFFCC"/>
            <w:noWrap/>
            <w:vAlign w:val="bottom"/>
          </w:tcPr>
          <w:p w:rsidR="000938C1" w:rsidRPr="00CF1A14" w:rsidRDefault="000938C1" w:rsidP="00891830">
            <w:pPr>
              <w:rPr>
                <w:rFonts w:ascii="Arial" w:hAnsi="Arial" w:cs="Arial"/>
                <w:color w:val="0070C0"/>
                <w:sz w:val="4"/>
                <w:szCs w:val="4"/>
              </w:rPr>
            </w:pPr>
            <w:r w:rsidRPr="00CF1A14">
              <w:rPr>
                <w:rFonts w:ascii="Arial" w:hAnsi="Arial" w:cs="Arial"/>
                <w:color w:val="0070C0"/>
                <w:sz w:val="4"/>
                <w:szCs w:val="4"/>
              </w:rPr>
              <w:t> </w:t>
            </w:r>
          </w:p>
        </w:tc>
        <w:tc>
          <w:tcPr>
            <w:tcW w:w="947" w:type="dxa"/>
            <w:tcBorders>
              <w:top w:val="nil"/>
              <w:left w:val="nil"/>
              <w:bottom w:val="nil"/>
              <w:right w:val="single" w:sz="8" w:space="0" w:color="800000"/>
            </w:tcBorders>
            <w:shd w:val="clear" w:color="auto" w:fill="FFFFCC"/>
            <w:noWrap/>
            <w:vAlign w:val="bottom"/>
          </w:tcPr>
          <w:p w:rsidR="000938C1" w:rsidRPr="00CF1A14" w:rsidRDefault="000938C1" w:rsidP="00891830">
            <w:pPr>
              <w:jc w:val="right"/>
              <w:rPr>
                <w:color w:val="0070C0"/>
                <w:sz w:val="8"/>
                <w:szCs w:val="8"/>
              </w:rPr>
            </w:pPr>
          </w:p>
        </w:tc>
        <w:tc>
          <w:tcPr>
            <w:tcW w:w="1075" w:type="dxa"/>
            <w:tcBorders>
              <w:top w:val="nil"/>
              <w:left w:val="nil"/>
              <w:bottom w:val="nil"/>
              <w:right w:val="single" w:sz="8" w:space="0" w:color="800000"/>
            </w:tcBorders>
            <w:shd w:val="clear" w:color="auto" w:fill="FFFFCC"/>
            <w:noWrap/>
            <w:vAlign w:val="bottom"/>
          </w:tcPr>
          <w:p w:rsidR="000938C1" w:rsidRPr="00CF1A14" w:rsidRDefault="000938C1" w:rsidP="00891830">
            <w:pPr>
              <w:jc w:val="right"/>
              <w:rPr>
                <w:color w:val="0070C0"/>
                <w:sz w:val="8"/>
                <w:szCs w:val="8"/>
              </w:rPr>
            </w:pPr>
          </w:p>
        </w:tc>
        <w:tc>
          <w:tcPr>
            <w:tcW w:w="929" w:type="dxa"/>
            <w:tcBorders>
              <w:top w:val="nil"/>
              <w:left w:val="nil"/>
              <w:bottom w:val="nil"/>
              <w:right w:val="single" w:sz="8" w:space="0" w:color="800000"/>
            </w:tcBorders>
            <w:shd w:val="clear" w:color="auto" w:fill="FFFFCC"/>
            <w:noWrap/>
            <w:vAlign w:val="bottom"/>
          </w:tcPr>
          <w:p w:rsidR="000938C1" w:rsidRPr="00CF1A14" w:rsidRDefault="000938C1" w:rsidP="00891830">
            <w:pPr>
              <w:jc w:val="right"/>
              <w:rPr>
                <w:color w:val="0070C0"/>
                <w:sz w:val="8"/>
                <w:szCs w:val="8"/>
              </w:rPr>
            </w:pPr>
          </w:p>
        </w:tc>
        <w:tc>
          <w:tcPr>
            <w:tcW w:w="900" w:type="dxa"/>
            <w:tcBorders>
              <w:top w:val="nil"/>
              <w:left w:val="nil"/>
              <w:bottom w:val="nil"/>
              <w:right w:val="single" w:sz="8" w:space="0" w:color="800000"/>
            </w:tcBorders>
            <w:shd w:val="clear" w:color="auto" w:fill="FFFFCC"/>
            <w:noWrap/>
            <w:vAlign w:val="bottom"/>
          </w:tcPr>
          <w:p w:rsidR="000938C1" w:rsidRPr="00CF1A14" w:rsidRDefault="000938C1" w:rsidP="00891830">
            <w:pPr>
              <w:jc w:val="right"/>
              <w:rPr>
                <w:color w:val="0070C0"/>
                <w:sz w:val="8"/>
                <w:szCs w:val="8"/>
              </w:rPr>
            </w:pPr>
          </w:p>
        </w:tc>
        <w:tc>
          <w:tcPr>
            <w:tcW w:w="955" w:type="dxa"/>
            <w:tcBorders>
              <w:top w:val="nil"/>
              <w:left w:val="nil"/>
              <w:bottom w:val="nil"/>
              <w:right w:val="single" w:sz="8" w:space="0" w:color="800000"/>
            </w:tcBorders>
            <w:shd w:val="clear" w:color="auto" w:fill="FFFFCC"/>
            <w:noWrap/>
            <w:vAlign w:val="bottom"/>
          </w:tcPr>
          <w:p w:rsidR="000938C1" w:rsidRPr="00CF1A14" w:rsidRDefault="000938C1" w:rsidP="00891830">
            <w:pPr>
              <w:jc w:val="right"/>
              <w:rPr>
                <w:color w:val="0070C0"/>
                <w:sz w:val="8"/>
                <w:szCs w:val="8"/>
              </w:rPr>
            </w:pPr>
          </w:p>
        </w:tc>
        <w:tc>
          <w:tcPr>
            <w:tcW w:w="845" w:type="dxa"/>
            <w:tcBorders>
              <w:top w:val="nil"/>
              <w:left w:val="nil"/>
              <w:bottom w:val="nil"/>
              <w:right w:val="double" w:sz="6" w:space="0" w:color="800000"/>
            </w:tcBorders>
            <w:shd w:val="clear" w:color="auto" w:fill="FFFFCC"/>
            <w:noWrap/>
            <w:vAlign w:val="bottom"/>
          </w:tcPr>
          <w:p w:rsidR="000938C1" w:rsidRPr="00CF1A14" w:rsidRDefault="000938C1" w:rsidP="00891830">
            <w:pPr>
              <w:jc w:val="right"/>
              <w:rPr>
                <w:color w:val="0070C0"/>
                <w:sz w:val="8"/>
                <w:szCs w:val="8"/>
              </w:rPr>
            </w:pPr>
          </w:p>
        </w:tc>
      </w:tr>
      <w:tr w:rsidR="000938C1" w:rsidRPr="00CF1A14" w:rsidTr="004A6956">
        <w:trPr>
          <w:trHeight w:val="80"/>
        </w:trPr>
        <w:tc>
          <w:tcPr>
            <w:tcW w:w="3889" w:type="dxa"/>
            <w:tcBorders>
              <w:top w:val="nil"/>
              <w:left w:val="double" w:sz="6" w:space="0" w:color="800000"/>
              <w:bottom w:val="nil"/>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I. ОБЩИ ДЪРЖАВНИ СЛУЖБИ</w:t>
            </w:r>
          </w:p>
        </w:tc>
        <w:tc>
          <w:tcPr>
            <w:tcW w:w="947" w:type="dxa"/>
            <w:tcBorders>
              <w:top w:val="nil"/>
              <w:left w:val="nil"/>
              <w:bottom w:val="nil"/>
              <w:right w:val="single" w:sz="8" w:space="0" w:color="800000"/>
            </w:tcBorders>
            <w:shd w:val="clear" w:color="auto" w:fill="FFFFCC"/>
            <w:noWrap/>
            <w:vAlign w:val="bottom"/>
          </w:tcPr>
          <w:p w:rsidR="000938C1" w:rsidRPr="007C3861" w:rsidRDefault="000938C1" w:rsidP="00891830">
            <w:pPr>
              <w:jc w:val="right"/>
              <w:rPr>
                <w:bCs/>
                <w:sz w:val="18"/>
                <w:szCs w:val="18"/>
              </w:rPr>
            </w:pPr>
            <w:r w:rsidRPr="007C3861">
              <w:rPr>
                <w:bCs/>
                <w:sz w:val="18"/>
                <w:szCs w:val="18"/>
              </w:rPr>
              <w:t>1 675,4</w:t>
            </w:r>
          </w:p>
        </w:tc>
        <w:tc>
          <w:tcPr>
            <w:tcW w:w="1075" w:type="dxa"/>
            <w:tcBorders>
              <w:top w:val="nil"/>
              <w:left w:val="nil"/>
              <w:bottom w:val="nil"/>
              <w:right w:val="single" w:sz="8" w:space="0" w:color="800000"/>
            </w:tcBorders>
            <w:shd w:val="clear" w:color="auto" w:fill="FFFFCC"/>
            <w:noWrap/>
          </w:tcPr>
          <w:p w:rsidR="000938C1" w:rsidRPr="005A7BD2" w:rsidRDefault="000938C1" w:rsidP="00891830">
            <w:pPr>
              <w:jc w:val="right"/>
              <w:rPr>
                <w:bCs/>
                <w:sz w:val="18"/>
                <w:szCs w:val="18"/>
              </w:rPr>
            </w:pPr>
            <w:r w:rsidRPr="005A7BD2">
              <w:rPr>
                <w:bCs/>
                <w:sz w:val="18"/>
                <w:szCs w:val="18"/>
              </w:rPr>
              <w:t>1 967,0</w:t>
            </w:r>
          </w:p>
        </w:tc>
        <w:tc>
          <w:tcPr>
            <w:tcW w:w="929" w:type="dxa"/>
            <w:tcBorders>
              <w:top w:val="nil"/>
              <w:left w:val="nil"/>
              <w:bottom w:val="nil"/>
              <w:right w:val="single" w:sz="8" w:space="0" w:color="800000"/>
            </w:tcBorders>
            <w:shd w:val="clear" w:color="auto" w:fill="FFFFCC"/>
            <w:noWrap/>
          </w:tcPr>
          <w:p w:rsidR="000938C1" w:rsidRPr="005A7BD2" w:rsidRDefault="000938C1" w:rsidP="00021DAE">
            <w:pPr>
              <w:jc w:val="right"/>
              <w:rPr>
                <w:bCs/>
                <w:sz w:val="18"/>
                <w:szCs w:val="18"/>
              </w:rPr>
            </w:pPr>
            <w:r w:rsidRPr="005A7BD2">
              <w:rPr>
                <w:bCs/>
                <w:sz w:val="18"/>
                <w:szCs w:val="18"/>
              </w:rPr>
              <w:t>1 818,</w:t>
            </w:r>
            <w:r>
              <w:rPr>
                <w:bCs/>
                <w:sz w:val="18"/>
                <w:szCs w:val="18"/>
              </w:rPr>
              <w:t>4</w:t>
            </w:r>
          </w:p>
        </w:tc>
        <w:tc>
          <w:tcPr>
            <w:tcW w:w="900" w:type="dxa"/>
            <w:tcBorders>
              <w:top w:val="nil"/>
              <w:left w:val="nil"/>
              <w:bottom w:val="nil"/>
              <w:right w:val="single" w:sz="8" w:space="0" w:color="800000"/>
            </w:tcBorders>
            <w:shd w:val="clear" w:color="auto" w:fill="FFFFCC"/>
            <w:noWrap/>
          </w:tcPr>
          <w:p w:rsidR="000938C1" w:rsidRPr="00FC2930" w:rsidRDefault="000938C1" w:rsidP="00891830">
            <w:pPr>
              <w:jc w:val="right"/>
              <w:rPr>
                <w:bCs/>
                <w:sz w:val="18"/>
                <w:szCs w:val="18"/>
              </w:rPr>
            </w:pPr>
            <w:r w:rsidRPr="00FC2930">
              <w:rPr>
                <w:bCs/>
                <w:sz w:val="18"/>
                <w:szCs w:val="18"/>
              </w:rPr>
              <w:t>2,1%</w:t>
            </w:r>
          </w:p>
        </w:tc>
        <w:tc>
          <w:tcPr>
            <w:tcW w:w="955" w:type="dxa"/>
            <w:tcBorders>
              <w:top w:val="nil"/>
              <w:left w:val="nil"/>
              <w:bottom w:val="nil"/>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2,5%</w:t>
            </w:r>
          </w:p>
        </w:tc>
        <w:tc>
          <w:tcPr>
            <w:tcW w:w="845" w:type="dxa"/>
            <w:tcBorders>
              <w:top w:val="nil"/>
              <w:left w:val="nil"/>
              <w:bottom w:val="nil"/>
              <w:right w:val="double" w:sz="6" w:space="0" w:color="800000"/>
            </w:tcBorders>
            <w:shd w:val="clear" w:color="auto" w:fill="FFFFCC"/>
            <w:noWrap/>
          </w:tcPr>
          <w:p w:rsidR="000938C1" w:rsidRPr="00FC2930" w:rsidRDefault="000938C1" w:rsidP="00891830">
            <w:pPr>
              <w:jc w:val="right"/>
              <w:rPr>
                <w:bCs/>
                <w:sz w:val="18"/>
                <w:szCs w:val="18"/>
              </w:rPr>
            </w:pPr>
            <w:r w:rsidRPr="00FC2930">
              <w:rPr>
                <w:bCs/>
                <w:sz w:val="18"/>
                <w:szCs w:val="18"/>
              </w:rPr>
              <w:t>2,3%</w:t>
            </w:r>
          </w:p>
        </w:tc>
      </w:tr>
      <w:tr w:rsidR="000938C1" w:rsidRPr="00CF1A14" w:rsidTr="004A6956">
        <w:trPr>
          <w:trHeight w:val="80"/>
        </w:trPr>
        <w:tc>
          <w:tcPr>
            <w:tcW w:w="3889" w:type="dxa"/>
            <w:tcBorders>
              <w:top w:val="nil"/>
              <w:left w:val="double" w:sz="6" w:space="0" w:color="800000"/>
              <w:bottom w:val="nil"/>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II. ОТБРАНА И СИГУРНОСТ</w:t>
            </w:r>
          </w:p>
        </w:tc>
        <w:tc>
          <w:tcPr>
            <w:tcW w:w="947" w:type="dxa"/>
            <w:tcBorders>
              <w:top w:val="nil"/>
              <w:left w:val="nil"/>
              <w:bottom w:val="nil"/>
              <w:right w:val="single" w:sz="8" w:space="0" w:color="800000"/>
            </w:tcBorders>
            <w:shd w:val="clear" w:color="auto" w:fill="FFFFCC"/>
            <w:noWrap/>
            <w:vAlign w:val="bottom"/>
          </w:tcPr>
          <w:p w:rsidR="000938C1" w:rsidRPr="007C3861" w:rsidRDefault="000938C1" w:rsidP="00891830">
            <w:pPr>
              <w:jc w:val="right"/>
              <w:rPr>
                <w:bCs/>
                <w:sz w:val="18"/>
                <w:szCs w:val="18"/>
              </w:rPr>
            </w:pPr>
            <w:r w:rsidRPr="007C3861">
              <w:rPr>
                <w:bCs/>
                <w:sz w:val="18"/>
                <w:szCs w:val="18"/>
              </w:rPr>
              <w:t>2 802,3</w:t>
            </w:r>
          </w:p>
        </w:tc>
        <w:tc>
          <w:tcPr>
            <w:tcW w:w="1075" w:type="dxa"/>
            <w:tcBorders>
              <w:top w:val="nil"/>
              <w:left w:val="nil"/>
              <w:bottom w:val="nil"/>
              <w:right w:val="single" w:sz="8" w:space="0" w:color="800000"/>
            </w:tcBorders>
            <w:shd w:val="clear" w:color="auto" w:fill="FFFFCC"/>
            <w:noWrap/>
          </w:tcPr>
          <w:p w:rsidR="000938C1" w:rsidRPr="005A7BD2" w:rsidRDefault="000938C1" w:rsidP="00891830">
            <w:pPr>
              <w:jc w:val="right"/>
              <w:rPr>
                <w:bCs/>
                <w:sz w:val="18"/>
                <w:szCs w:val="18"/>
              </w:rPr>
            </w:pPr>
            <w:r w:rsidRPr="005A7BD2">
              <w:rPr>
                <w:bCs/>
                <w:sz w:val="18"/>
                <w:szCs w:val="18"/>
              </w:rPr>
              <w:t>3 062,5</w:t>
            </w:r>
          </w:p>
        </w:tc>
        <w:tc>
          <w:tcPr>
            <w:tcW w:w="929" w:type="dxa"/>
            <w:tcBorders>
              <w:top w:val="nil"/>
              <w:left w:val="nil"/>
              <w:bottom w:val="nil"/>
              <w:right w:val="single" w:sz="8" w:space="0" w:color="800000"/>
            </w:tcBorders>
            <w:shd w:val="clear" w:color="auto" w:fill="FFFFCC"/>
            <w:noWrap/>
          </w:tcPr>
          <w:p w:rsidR="000938C1" w:rsidRPr="005A7BD2" w:rsidRDefault="000938C1" w:rsidP="00891830">
            <w:pPr>
              <w:jc w:val="right"/>
              <w:rPr>
                <w:bCs/>
                <w:sz w:val="18"/>
                <w:szCs w:val="18"/>
              </w:rPr>
            </w:pPr>
            <w:r w:rsidRPr="005A7BD2">
              <w:rPr>
                <w:bCs/>
                <w:sz w:val="18"/>
                <w:szCs w:val="18"/>
              </w:rPr>
              <w:t>3 160,4</w:t>
            </w:r>
          </w:p>
        </w:tc>
        <w:tc>
          <w:tcPr>
            <w:tcW w:w="900" w:type="dxa"/>
            <w:tcBorders>
              <w:top w:val="nil"/>
              <w:left w:val="nil"/>
              <w:bottom w:val="nil"/>
              <w:right w:val="single" w:sz="8" w:space="0" w:color="800000"/>
            </w:tcBorders>
            <w:shd w:val="clear" w:color="auto" w:fill="FFFFCC"/>
            <w:noWrap/>
          </w:tcPr>
          <w:p w:rsidR="000938C1" w:rsidRPr="00FC2930" w:rsidRDefault="000938C1" w:rsidP="00891830">
            <w:pPr>
              <w:jc w:val="right"/>
              <w:rPr>
                <w:bCs/>
                <w:sz w:val="18"/>
                <w:szCs w:val="18"/>
              </w:rPr>
            </w:pPr>
            <w:r w:rsidRPr="00FC2930">
              <w:rPr>
                <w:bCs/>
                <w:sz w:val="18"/>
                <w:szCs w:val="18"/>
              </w:rPr>
              <w:t>3,6%</w:t>
            </w:r>
          </w:p>
        </w:tc>
        <w:tc>
          <w:tcPr>
            <w:tcW w:w="955" w:type="dxa"/>
            <w:tcBorders>
              <w:top w:val="nil"/>
              <w:left w:val="nil"/>
              <w:bottom w:val="nil"/>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3,8%</w:t>
            </w:r>
          </w:p>
        </w:tc>
        <w:tc>
          <w:tcPr>
            <w:tcW w:w="845" w:type="dxa"/>
            <w:tcBorders>
              <w:top w:val="nil"/>
              <w:left w:val="nil"/>
              <w:bottom w:val="nil"/>
              <w:right w:val="double" w:sz="6" w:space="0" w:color="800000"/>
            </w:tcBorders>
            <w:shd w:val="clear" w:color="auto" w:fill="FFFFCC"/>
            <w:noWrap/>
          </w:tcPr>
          <w:p w:rsidR="000938C1" w:rsidRPr="00FC2930" w:rsidRDefault="000938C1" w:rsidP="00891830">
            <w:pPr>
              <w:jc w:val="right"/>
              <w:rPr>
                <w:bCs/>
                <w:sz w:val="18"/>
                <w:szCs w:val="18"/>
              </w:rPr>
            </w:pPr>
            <w:r w:rsidRPr="00FC2930">
              <w:rPr>
                <w:bCs/>
                <w:sz w:val="18"/>
                <w:szCs w:val="18"/>
              </w:rPr>
              <w:t>4,0%</w:t>
            </w:r>
          </w:p>
        </w:tc>
      </w:tr>
      <w:tr w:rsidR="000938C1" w:rsidRPr="00CF1A14" w:rsidTr="004A6956">
        <w:trPr>
          <w:trHeight w:val="102"/>
        </w:trPr>
        <w:tc>
          <w:tcPr>
            <w:tcW w:w="3889" w:type="dxa"/>
            <w:tcBorders>
              <w:top w:val="nil"/>
              <w:left w:val="double" w:sz="6" w:space="0" w:color="800000"/>
              <w:bottom w:val="nil"/>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III. ОБРАЗОВАНИЕ</w:t>
            </w:r>
          </w:p>
        </w:tc>
        <w:tc>
          <w:tcPr>
            <w:tcW w:w="947" w:type="dxa"/>
            <w:tcBorders>
              <w:top w:val="nil"/>
              <w:left w:val="nil"/>
              <w:bottom w:val="nil"/>
              <w:right w:val="single" w:sz="8" w:space="0" w:color="800000"/>
            </w:tcBorders>
            <w:shd w:val="clear" w:color="auto" w:fill="FFFFCC"/>
            <w:noWrap/>
            <w:vAlign w:val="bottom"/>
          </w:tcPr>
          <w:p w:rsidR="000938C1" w:rsidRPr="007C3861" w:rsidRDefault="000938C1" w:rsidP="00891830">
            <w:pPr>
              <w:jc w:val="right"/>
              <w:rPr>
                <w:bCs/>
                <w:sz w:val="18"/>
                <w:szCs w:val="18"/>
              </w:rPr>
            </w:pPr>
            <w:r w:rsidRPr="007C3861">
              <w:rPr>
                <w:bCs/>
                <w:sz w:val="18"/>
                <w:szCs w:val="18"/>
              </w:rPr>
              <w:t>2 799,2</w:t>
            </w:r>
          </w:p>
        </w:tc>
        <w:tc>
          <w:tcPr>
            <w:tcW w:w="1075" w:type="dxa"/>
            <w:tcBorders>
              <w:top w:val="nil"/>
              <w:left w:val="nil"/>
              <w:bottom w:val="nil"/>
              <w:right w:val="single" w:sz="8" w:space="0" w:color="800000"/>
            </w:tcBorders>
            <w:shd w:val="clear" w:color="auto" w:fill="FFFFCC"/>
            <w:noWrap/>
          </w:tcPr>
          <w:p w:rsidR="000938C1" w:rsidRPr="005A7BD2" w:rsidRDefault="000938C1" w:rsidP="00891830">
            <w:pPr>
              <w:jc w:val="right"/>
              <w:rPr>
                <w:bCs/>
                <w:sz w:val="18"/>
                <w:szCs w:val="18"/>
              </w:rPr>
            </w:pPr>
            <w:r w:rsidRPr="005A7BD2">
              <w:rPr>
                <w:bCs/>
                <w:sz w:val="18"/>
                <w:szCs w:val="18"/>
              </w:rPr>
              <w:t>2 924,6</w:t>
            </w:r>
          </w:p>
        </w:tc>
        <w:tc>
          <w:tcPr>
            <w:tcW w:w="929" w:type="dxa"/>
            <w:tcBorders>
              <w:top w:val="nil"/>
              <w:left w:val="nil"/>
              <w:bottom w:val="nil"/>
              <w:right w:val="single" w:sz="8" w:space="0" w:color="800000"/>
            </w:tcBorders>
            <w:shd w:val="clear" w:color="auto" w:fill="FFFFCC"/>
            <w:noWrap/>
          </w:tcPr>
          <w:p w:rsidR="000938C1" w:rsidRPr="005A7BD2" w:rsidRDefault="000938C1" w:rsidP="00891830">
            <w:pPr>
              <w:jc w:val="right"/>
              <w:rPr>
                <w:bCs/>
                <w:sz w:val="18"/>
                <w:szCs w:val="18"/>
              </w:rPr>
            </w:pPr>
            <w:r w:rsidRPr="005A7BD2">
              <w:rPr>
                <w:bCs/>
                <w:sz w:val="18"/>
                <w:szCs w:val="18"/>
              </w:rPr>
              <w:t>3 087,6</w:t>
            </w:r>
          </w:p>
        </w:tc>
        <w:tc>
          <w:tcPr>
            <w:tcW w:w="900" w:type="dxa"/>
            <w:tcBorders>
              <w:top w:val="nil"/>
              <w:left w:val="nil"/>
              <w:bottom w:val="nil"/>
              <w:right w:val="single" w:sz="8" w:space="0" w:color="800000"/>
            </w:tcBorders>
            <w:shd w:val="clear" w:color="auto" w:fill="FFFFCC"/>
            <w:noWrap/>
          </w:tcPr>
          <w:p w:rsidR="000938C1" w:rsidRPr="00FC2930" w:rsidRDefault="000938C1" w:rsidP="00891830">
            <w:pPr>
              <w:jc w:val="right"/>
              <w:rPr>
                <w:bCs/>
                <w:sz w:val="18"/>
                <w:szCs w:val="18"/>
              </w:rPr>
            </w:pPr>
            <w:r w:rsidRPr="00FC2930">
              <w:rPr>
                <w:bCs/>
                <w:sz w:val="18"/>
                <w:szCs w:val="18"/>
              </w:rPr>
              <w:t>3,6%</w:t>
            </w:r>
          </w:p>
        </w:tc>
        <w:tc>
          <w:tcPr>
            <w:tcW w:w="955" w:type="dxa"/>
            <w:tcBorders>
              <w:top w:val="nil"/>
              <w:left w:val="nil"/>
              <w:bottom w:val="nil"/>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3,7%</w:t>
            </w:r>
          </w:p>
        </w:tc>
        <w:tc>
          <w:tcPr>
            <w:tcW w:w="845" w:type="dxa"/>
            <w:tcBorders>
              <w:top w:val="nil"/>
              <w:left w:val="nil"/>
              <w:bottom w:val="nil"/>
              <w:right w:val="double" w:sz="6" w:space="0" w:color="800000"/>
            </w:tcBorders>
            <w:shd w:val="clear" w:color="auto" w:fill="FFFFCC"/>
            <w:noWrap/>
          </w:tcPr>
          <w:p w:rsidR="000938C1" w:rsidRPr="00FC2930" w:rsidRDefault="000938C1" w:rsidP="00891830">
            <w:pPr>
              <w:jc w:val="right"/>
              <w:rPr>
                <w:bCs/>
                <w:sz w:val="18"/>
                <w:szCs w:val="18"/>
              </w:rPr>
            </w:pPr>
            <w:r w:rsidRPr="00FC2930">
              <w:rPr>
                <w:bCs/>
                <w:sz w:val="18"/>
                <w:szCs w:val="18"/>
              </w:rPr>
              <w:t>4,0%</w:t>
            </w:r>
          </w:p>
        </w:tc>
      </w:tr>
      <w:tr w:rsidR="000938C1" w:rsidRPr="00CF1A14" w:rsidTr="004A6956">
        <w:trPr>
          <w:trHeight w:val="255"/>
        </w:trPr>
        <w:tc>
          <w:tcPr>
            <w:tcW w:w="3889" w:type="dxa"/>
            <w:tcBorders>
              <w:top w:val="nil"/>
              <w:left w:val="double" w:sz="6" w:space="0" w:color="800000"/>
              <w:bottom w:val="nil"/>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IV. ЗДРАВЕОПАЗВАНЕ</w:t>
            </w:r>
          </w:p>
        </w:tc>
        <w:tc>
          <w:tcPr>
            <w:tcW w:w="947" w:type="dxa"/>
            <w:tcBorders>
              <w:top w:val="nil"/>
              <w:left w:val="nil"/>
              <w:bottom w:val="nil"/>
              <w:right w:val="single" w:sz="8" w:space="0" w:color="800000"/>
            </w:tcBorders>
            <w:shd w:val="clear" w:color="auto" w:fill="FFFFCC"/>
            <w:noWrap/>
            <w:vAlign w:val="center"/>
          </w:tcPr>
          <w:p w:rsidR="000938C1" w:rsidRPr="007C3861" w:rsidRDefault="000938C1" w:rsidP="00891830">
            <w:pPr>
              <w:jc w:val="right"/>
              <w:rPr>
                <w:bCs/>
                <w:sz w:val="18"/>
                <w:szCs w:val="18"/>
              </w:rPr>
            </w:pPr>
            <w:r w:rsidRPr="007C3861">
              <w:rPr>
                <w:bCs/>
                <w:sz w:val="18"/>
                <w:szCs w:val="18"/>
              </w:rPr>
              <w:t>3 303,2</w:t>
            </w:r>
          </w:p>
        </w:tc>
        <w:tc>
          <w:tcPr>
            <w:tcW w:w="1075"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3 364,4</w:t>
            </w:r>
          </w:p>
        </w:tc>
        <w:tc>
          <w:tcPr>
            <w:tcW w:w="929" w:type="dxa"/>
            <w:tcBorders>
              <w:top w:val="nil"/>
              <w:left w:val="nil"/>
              <w:bottom w:val="nil"/>
              <w:right w:val="single" w:sz="8" w:space="0" w:color="800000"/>
            </w:tcBorders>
            <w:shd w:val="clear" w:color="auto" w:fill="FFFFCC"/>
            <w:noWrap/>
          </w:tcPr>
          <w:p w:rsidR="000938C1" w:rsidRPr="005A7BD2" w:rsidRDefault="000938C1" w:rsidP="00891830">
            <w:pPr>
              <w:jc w:val="right"/>
              <w:rPr>
                <w:bCs/>
                <w:sz w:val="18"/>
                <w:szCs w:val="18"/>
              </w:rPr>
            </w:pPr>
            <w:r w:rsidRPr="005A7BD2">
              <w:rPr>
                <w:bCs/>
                <w:sz w:val="18"/>
                <w:szCs w:val="18"/>
              </w:rPr>
              <w:t>3 540,3</w:t>
            </w:r>
          </w:p>
        </w:tc>
        <w:tc>
          <w:tcPr>
            <w:tcW w:w="900" w:type="dxa"/>
            <w:tcBorders>
              <w:top w:val="nil"/>
              <w:left w:val="nil"/>
              <w:bottom w:val="nil"/>
              <w:right w:val="single" w:sz="8" w:space="0" w:color="800000"/>
            </w:tcBorders>
            <w:shd w:val="clear" w:color="auto" w:fill="FFFFCC"/>
            <w:noWrap/>
          </w:tcPr>
          <w:p w:rsidR="000938C1" w:rsidRPr="00FC2930" w:rsidRDefault="000938C1" w:rsidP="00891830">
            <w:pPr>
              <w:jc w:val="right"/>
              <w:rPr>
                <w:bCs/>
                <w:sz w:val="18"/>
                <w:szCs w:val="18"/>
              </w:rPr>
            </w:pPr>
            <w:r w:rsidRPr="00FC2930">
              <w:rPr>
                <w:bCs/>
                <w:sz w:val="18"/>
                <w:szCs w:val="18"/>
              </w:rPr>
              <w:t>4,2%</w:t>
            </w:r>
          </w:p>
        </w:tc>
        <w:tc>
          <w:tcPr>
            <w:tcW w:w="955" w:type="dxa"/>
            <w:tcBorders>
              <w:top w:val="nil"/>
              <w:left w:val="nil"/>
              <w:bottom w:val="nil"/>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4,2%</w:t>
            </w:r>
          </w:p>
        </w:tc>
        <w:tc>
          <w:tcPr>
            <w:tcW w:w="845" w:type="dxa"/>
            <w:tcBorders>
              <w:top w:val="nil"/>
              <w:left w:val="nil"/>
              <w:bottom w:val="nil"/>
              <w:right w:val="double" w:sz="6" w:space="0" w:color="800000"/>
            </w:tcBorders>
            <w:shd w:val="clear" w:color="auto" w:fill="FFFFCC"/>
            <w:noWrap/>
          </w:tcPr>
          <w:p w:rsidR="000938C1" w:rsidRPr="00FC2930" w:rsidRDefault="000938C1" w:rsidP="00891830">
            <w:pPr>
              <w:jc w:val="right"/>
              <w:rPr>
                <w:bCs/>
                <w:sz w:val="18"/>
                <w:szCs w:val="18"/>
              </w:rPr>
            </w:pPr>
            <w:r w:rsidRPr="00FC2930">
              <w:rPr>
                <w:bCs/>
                <w:sz w:val="18"/>
                <w:szCs w:val="18"/>
              </w:rPr>
              <w:t>4,5%</w:t>
            </w:r>
          </w:p>
        </w:tc>
      </w:tr>
      <w:tr w:rsidR="000938C1" w:rsidRPr="00CF1A14" w:rsidTr="004A6956">
        <w:trPr>
          <w:trHeight w:val="255"/>
        </w:trPr>
        <w:tc>
          <w:tcPr>
            <w:tcW w:w="3889" w:type="dxa"/>
            <w:tcBorders>
              <w:top w:val="nil"/>
              <w:left w:val="double" w:sz="6" w:space="0" w:color="800000"/>
              <w:bottom w:val="nil"/>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V.СОЦИАЛНО ОСИГУРЯВАНЕ, ПОДПОМАГАНЕ И ГРИЖИ</w:t>
            </w:r>
          </w:p>
        </w:tc>
        <w:tc>
          <w:tcPr>
            <w:tcW w:w="947" w:type="dxa"/>
            <w:tcBorders>
              <w:top w:val="nil"/>
              <w:left w:val="nil"/>
              <w:bottom w:val="nil"/>
              <w:right w:val="single" w:sz="8" w:space="0" w:color="800000"/>
            </w:tcBorders>
            <w:shd w:val="clear" w:color="auto" w:fill="FFFFCC"/>
            <w:noWrap/>
            <w:vAlign w:val="center"/>
          </w:tcPr>
          <w:p w:rsidR="000938C1" w:rsidRPr="007C3861" w:rsidRDefault="000938C1" w:rsidP="00891830">
            <w:pPr>
              <w:jc w:val="right"/>
              <w:rPr>
                <w:bCs/>
                <w:sz w:val="18"/>
                <w:szCs w:val="18"/>
              </w:rPr>
            </w:pPr>
            <w:r w:rsidRPr="007C3861">
              <w:rPr>
                <w:bCs/>
                <w:sz w:val="18"/>
                <w:szCs w:val="18"/>
              </w:rPr>
              <w:t>10 060,9</w:t>
            </w:r>
          </w:p>
        </w:tc>
        <w:tc>
          <w:tcPr>
            <w:tcW w:w="1075"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10 947,7</w:t>
            </w:r>
          </w:p>
        </w:tc>
        <w:tc>
          <w:tcPr>
            <w:tcW w:w="929"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11 000,0</w:t>
            </w:r>
          </w:p>
        </w:tc>
        <w:tc>
          <w:tcPr>
            <w:tcW w:w="900" w:type="dxa"/>
            <w:tcBorders>
              <w:top w:val="nil"/>
              <w:left w:val="nil"/>
              <w:bottom w:val="nil"/>
              <w:right w:val="single" w:sz="8"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12,9%</w:t>
            </w:r>
          </w:p>
        </w:tc>
        <w:tc>
          <w:tcPr>
            <w:tcW w:w="955" w:type="dxa"/>
            <w:tcBorders>
              <w:top w:val="nil"/>
              <w:left w:val="nil"/>
              <w:bottom w:val="nil"/>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13,7%</w:t>
            </w:r>
          </w:p>
        </w:tc>
        <w:tc>
          <w:tcPr>
            <w:tcW w:w="845" w:type="dxa"/>
            <w:tcBorders>
              <w:top w:val="nil"/>
              <w:left w:val="nil"/>
              <w:bottom w:val="nil"/>
              <w:right w:val="double" w:sz="6"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14,1%</w:t>
            </w:r>
          </w:p>
        </w:tc>
      </w:tr>
      <w:tr w:rsidR="000938C1" w:rsidRPr="00CF1A14" w:rsidTr="004A6956">
        <w:trPr>
          <w:trHeight w:val="388"/>
        </w:trPr>
        <w:tc>
          <w:tcPr>
            <w:tcW w:w="3889" w:type="dxa"/>
            <w:tcBorders>
              <w:top w:val="nil"/>
              <w:left w:val="double" w:sz="6" w:space="0" w:color="800000"/>
              <w:bottom w:val="nil"/>
              <w:right w:val="single" w:sz="8" w:space="0" w:color="800000"/>
            </w:tcBorders>
            <w:shd w:val="clear" w:color="auto" w:fill="FFFFCC"/>
            <w:vAlign w:val="bottom"/>
          </w:tcPr>
          <w:p w:rsidR="000938C1" w:rsidRPr="007C3861" w:rsidRDefault="000938C1" w:rsidP="00891830">
            <w:pPr>
              <w:rPr>
                <w:b/>
                <w:bCs/>
                <w:sz w:val="17"/>
                <w:szCs w:val="17"/>
              </w:rPr>
            </w:pPr>
            <w:r w:rsidRPr="007C3861">
              <w:rPr>
                <w:b/>
                <w:bCs/>
                <w:sz w:val="17"/>
                <w:szCs w:val="17"/>
              </w:rPr>
              <w:t>VI. ЖИЛИЩНО СТРОИТЕЛСТВО, БЛАГОУСТРОЙСТВО, КОМУНАЛНО СТОПАНСТВО И ОПАЗВАНЕ НА ОКОЛНАТА СРЕДА</w:t>
            </w:r>
          </w:p>
        </w:tc>
        <w:tc>
          <w:tcPr>
            <w:tcW w:w="947" w:type="dxa"/>
            <w:tcBorders>
              <w:top w:val="nil"/>
              <w:left w:val="nil"/>
              <w:bottom w:val="nil"/>
              <w:right w:val="single" w:sz="8" w:space="0" w:color="800000"/>
            </w:tcBorders>
            <w:shd w:val="clear" w:color="auto" w:fill="FFFFCC"/>
            <w:noWrap/>
            <w:vAlign w:val="center"/>
          </w:tcPr>
          <w:p w:rsidR="000938C1" w:rsidRPr="007C3861" w:rsidRDefault="000938C1" w:rsidP="00891830">
            <w:pPr>
              <w:jc w:val="right"/>
              <w:rPr>
                <w:bCs/>
                <w:sz w:val="18"/>
                <w:szCs w:val="18"/>
              </w:rPr>
            </w:pPr>
            <w:r w:rsidRPr="007C3861">
              <w:rPr>
                <w:bCs/>
                <w:sz w:val="18"/>
                <w:szCs w:val="18"/>
              </w:rPr>
              <w:t>1 359,2</w:t>
            </w:r>
          </w:p>
        </w:tc>
        <w:tc>
          <w:tcPr>
            <w:tcW w:w="1075"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2 864,4</w:t>
            </w:r>
          </w:p>
        </w:tc>
        <w:tc>
          <w:tcPr>
            <w:tcW w:w="929"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1 851,0</w:t>
            </w:r>
          </w:p>
        </w:tc>
        <w:tc>
          <w:tcPr>
            <w:tcW w:w="900" w:type="dxa"/>
            <w:tcBorders>
              <w:top w:val="nil"/>
              <w:left w:val="nil"/>
              <w:bottom w:val="nil"/>
              <w:right w:val="single" w:sz="8"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1,7%</w:t>
            </w:r>
          </w:p>
        </w:tc>
        <w:tc>
          <w:tcPr>
            <w:tcW w:w="955" w:type="dxa"/>
            <w:tcBorders>
              <w:top w:val="nil"/>
              <w:left w:val="nil"/>
              <w:bottom w:val="nil"/>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3,6%</w:t>
            </w:r>
          </w:p>
        </w:tc>
        <w:tc>
          <w:tcPr>
            <w:tcW w:w="845" w:type="dxa"/>
            <w:tcBorders>
              <w:top w:val="nil"/>
              <w:left w:val="nil"/>
              <w:bottom w:val="nil"/>
              <w:right w:val="double" w:sz="6"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2,4%</w:t>
            </w:r>
          </w:p>
        </w:tc>
      </w:tr>
      <w:tr w:rsidR="000938C1" w:rsidRPr="00CF1A14" w:rsidTr="004A6956">
        <w:trPr>
          <w:trHeight w:val="480"/>
        </w:trPr>
        <w:tc>
          <w:tcPr>
            <w:tcW w:w="3889" w:type="dxa"/>
            <w:tcBorders>
              <w:top w:val="nil"/>
              <w:left w:val="double" w:sz="6" w:space="0" w:color="800000"/>
              <w:bottom w:val="nil"/>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VII. ПОЧИВНО ДЕЛО, КУЛТУРА И РЕЛИГИОЗНИ ДЕЙНОСТИ</w:t>
            </w:r>
          </w:p>
        </w:tc>
        <w:tc>
          <w:tcPr>
            <w:tcW w:w="947" w:type="dxa"/>
            <w:tcBorders>
              <w:top w:val="nil"/>
              <w:left w:val="nil"/>
              <w:bottom w:val="nil"/>
              <w:right w:val="single" w:sz="8" w:space="0" w:color="800000"/>
            </w:tcBorders>
            <w:shd w:val="clear" w:color="auto" w:fill="FFFFCC"/>
            <w:noWrap/>
            <w:vAlign w:val="center"/>
          </w:tcPr>
          <w:p w:rsidR="000938C1" w:rsidRPr="007C3861" w:rsidRDefault="000938C1" w:rsidP="00891830">
            <w:pPr>
              <w:jc w:val="right"/>
              <w:rPr>
                <w:bCs/>
                <w:sz w:val="18"/>
                <w:szCs w:val="18"/>
              </w:rPr>
            </w:pPr>
            <w:r w:rsidRPr="007C3861">
              <w:rPr>
                <w:bCs/>
                <w:sz w:val="18"/>
                <w:szCs w:val="18"/>
              </w:rPr>
              <w:t>587,3</w:t>
            </w:r>
          </w:p>
        </w:tc>
        <w:tc>
          <w:tcPr>
            <w:tcW w:w="1075"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526,1</w:t>
            </w:r>
          </w:p>
        </w:tc>
        <w:tc>
          <w:tcPr>
            <w:tcW w:w="929"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669,4</w:t>
            </w:r>
          </w:p>
        </w:tc>
        <w:tc>
          <w:tcPr>
            <w:tcW w:w="900" w:type="dxa"/>
            <w:tcBorders>
              <w:top w:val="nil"/>
              <w:left w:val="nil"/>
              <w:bottom w:val="nil"/>
              <w:right w:val="single" w:sz="8"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0,8%</w:t>
            </w:r>
          </w:p>
        </w:tc>
        <w:tc>
          <w:tcPr>
            <w:tcW w:w="955" w:type="dxa"/>
            <w:tcBorders>
              <w:top w:val="nil"/>
              <w:left w:val="nil"/>
              <w:bottom w:val="nil"/>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0,7%</w:t>
            </w:r>
          </w:p>
        </w:tc>
        <w:tc>
          <w:tcPr>
            <w:tcW w:w="845" w:type="dxa"/>
            <w:tcBorders>
              <w:top w:val="nil"/>
              <w:left w:val="nil"/>
              <w:bottom w:val="nil"/>
              <w:right w:val="double" w:sz="6"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0,9%</w:t>
            </w:r>
          </w:p>
        </w:tc>
      </w:tr>
      <w:tr w:rsidR="000938C1" w:rsidRPr="00CF1A14" w:rsidTr="004A6956">
        <w:trPr>
          <w:trHeight w:val="255"/>
        </w:trPr>
        <w:tc>
          <w:tcPr>
            <w:tcW w:w="3889" w:type="dxa"/>
            <w:tcBorders>
              <w:top w:val="nil"/>
              <w:left w:val="double" w:sz="6" w:space="0" w:color="800000"/>
              <w:bottom w:val="nil"/>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VIII. ИКОНОМИЧЕСКИ ДЕЙНОСТИ  И УСЛУГИ</w:t>
            </w:r>
          </w:p>
        </w:tc>
        <w:tc>
          <w:tcPr>
            <w:tcW w:w="947" w:type="dxa"/>
            <w:tcBorders>
              <w:top w:val="nil"/>
              <w:left w:val="nil"/>
              <w:bottom w:val="nil"/>
              <w:right w:val="single" w:sz="8" w:space="0" w:color="800000"/>
            </w:tcBorders>
            <w:shd w:val="clear" w:color="auto" w:fill="FFFFCC"/>
            <w:noWrap/>
            <w:vAlign w:val="center"/>
          </w:tcPr>
          <w:p w:rsidR="000938C1" w:rsidRPr="007C3861" w:rsidRDefault="000938C1" w:rsidP="00891830">
            <w:pPr>
              <w:jc w:val="right"/>
              <w:rPr>
                <w:bCs/>
                <w:sz w:val="18"/>
                <w:szCs w:val="18"/>
              </w:rPr>
            </w:pPr>
            <w:r w:rsidRPr="007C3861">
              <w:rPr>
                <w:bCs/>
                <w:sz w:val="18"/>
                <w:szCs w:val="18"/>
              </w:rPr>
              <w:t>3 858,8</w:t>
            </w:r>
          </w:p>
        </w:tc>
        <w:tc>
          <w:tcPr>
            <w:tcW w:w="1075"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4 506,4</w:t>
            </w:r>
          </w:p>
        </w:tc>
        <w:tc>
          <w:tcPr>
            <w:tcW w:w="929" w:type="dxa"/>
            <w:tcBorders>
              <w:top w:val="nil"/>
              <w:left w:val="nil"/>
              <w:bottom w:val="nil"/>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3 667,9</w:t>
            </w:r>
          </w:p>
        </w:tc>
        <w:tc>
          <w:tcPr>
            <w:tcW w:w="900" w:type="dxa"/>
            <w:tcBorders>
              <w:top w:val="nil"/>
              <w:left w:val="nil"/>
              <w:bottom w:val="nil"/>
              <w:right w:val="single" w:sz="8"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4,9%</w:t>
            </w:r>
          </w:p>
        </w:tc>
        <w:tc>
          <w:tcPr>
            <w:tcW w:w="955" w:type="dxa"/>
            <w:tcBorders>
              <w:top w:val="nil"/>
              <w:left w:val="nil"/>
              <w:bottom w:val="nil"/>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5,6%</w:t>
            </w:r>
          </w:p>
        </w:tc>
        <w:tc>
          <w:tcPr>
            <w:tcW w:w="845" w:type="dxa"/>
            <w:tcBorders>
              <w:top w:val="nil"/>
              <w:left w:val="nil"/>
              <w:bottom w:val="nil"/>
              <w:right w:val="double" w:sz="6"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4,7%</w:t>
            </w:r>
          </w:p>
        </w:tc>
      </w:tr>
      <w:tr w:rsidR="000938C1" w:rsidRPr="00CF1A14" w:rsidTr="004A6956">
        <w:trPr>
          <w:trHeight w:val="495"/>
        </w:trPr>
        <w:tc>
          <w:tcPr>
            <w:tcW w:w="3889" w:type="dxa"/>
            <w:tcBorders>
              <w:top w:val="nil"/>
              <w:left w:val="double" w:sz="6" w:space="0" w:color="800000"/>
              <w:bottom w:val="single" w:sz="8" w:space="0" w:color="800000"/>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IХ. РАЗХОДИ, НЕКЛАСИФИЦИРАНИ В ДРУГИТЕ ФУНКЦИИ</w:t>
            </w:r>
          </w:p>
        </w:tc>
        <w:tc>
          <w:tcPr>
            <w:tcW w:w="947" w:type="dxa"/>
            <w:tcBorders>
              <w:top w:val="nil"/>
              <w:left w:val="nil"/>
              <w:bottom w:val="single" w:sz="8" w:space="0" w:color="800000"/>
              <w:right w:val="single" w:sz="8" w:space="0" w:color="800000"/>
            </w:tcBorders>
            <w:shd w:val="clear" w:color="auto" w:fill="FFFFCC"/>
            <w:noWrap/>
            <w:vAlign w:val="center"/>
          </w:tcPr>
          <w:p w:rsidR="000938C1" w:rsidRPr="007C3861" w:rsidRDefault="000938C1" w:rsidP="00891830">
            <w:pPr>
              <w:jc w:val="right"/>
              <w:rPr>
                <w:bCs/>
                <w:sz w:val="18"/>
                <w:szCs w:val="18"/>
              </w:rPr>
            </w:pPr>
            <w:r w:rsidRPr="007C3861">
              <w:rPr>
                <w:bCs/>
                <w:sz w:val="18"/>
                <w:szCs w:val="18"/>
              </w:rPr>
              <w:t>572,7</w:t>
            </w:r>
          </w:p>
        </w:tc>
        <w:tc>
          <w:tcPr>
            <w:tcW w:w="1075" w:type="dxa"/>
            <w:tcBorders>
              <w:top w:val="nil"/>
              <w:left w:val="nil"/>
              <w:bottom w:val="single" w:sz="8" w:space="0" w:color="800000"/>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907,0</w:t>
            </w:r>
          </w:p>
        </w:tc>
        <w:tc>
          <w:tcPr>
            <w:tcW w:w="929" w:type="dxa"/>
            <w:tcBorders>
              <w:top w:val="nil"/>
              <w:left w:val="nil"/>
              <w:bottom w:val="single" w:sz="8" w:space="0" w:color="800000"/>
              <w:right w:val="single" w:sz="8" w:space="0" w:color="800000"/>
            </w:tcBorders>
            <w:shd w:val="clear" w:color="auto" w:fill="FFFFCC"/>
            <w:noWrap/>
            <w:vAlign w:val="center"/>
          </w:tcPr>
          <w:p w:rsidR="000938C1" w:rsidRPr="005A7BD2" w:rsidRDefault="000938C1" w:rsidP="00891830">
            <w:pPr>
              <w:jc w:val="right"/>
              <w:rPr>
                <w:bCs/>
                <w:sz w:val="18"/>
                <w:szCs w:val="18"/>
              </w:rPr>
            </w:pPr>
            <w:r w:rsidRPr="005A7BD2">
              <w:rPr>
                <w:bCs/>
                <w:sz w:val="18"/>
                <w:szCs w:val="18"/>
              </w:rPr>
              <w:t>688,8</w:t>
            </w:r>
          </w:p>
        </w:tc>
        <w:tc>
          <w:tcPr>
            <w:tcW w:w="900" w:type="dxa"/>
            <w:tcBorders>
              <w:top w:val="nil"/>
              <w:left w:val="nil"/>
              <w:bottom w:val="single" w:sz="8" w:space="0" w:color="800000"/>
              <w:right w:val="single" w:sz="8"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0,7%</w:t>
            </w:r>
          </w:p>
        </w:tc>
        <w:tc>
          <w:tcPr>
            <w:tcW w:w="955" w:type="dxa"/>
            <w:tcBorders>
              <w:top w:val="nil"/>
              <w:left w:val="nil"/>
              <w:bottom w:val="single" w:sz="8" w:space="0" w:color="800000"/>
              <w:right w:val="single" w:sz="8" w:space="0" w:color="800000"/>
            </w:tcBorders>
            <w:shd w:val="clear" w:color="auto" w:fill="FFFFCC"/>
            <w:noWrap/>
            <w:vAlign w:val="center"/>
          </w:tcPr>
          <w:p w:rsidR="000938C1" w:rsidRPr="00283AB8" w:rsidRDefault="000938C1" w:rsidP="00891830">
            <w:pPr>
              <w:jc w:val="right"/>
              <w:rPr>
                <w:bCs/>
                <w:sz w:val="18"/>
                <w:szCs w:val="18"/>
              </w:rPr>
            </w:pPr>
            <w:r w:rsidRPr="00283AB8">
              <w:rPr>
                <w:bCs/>
                <w:sz w:val="18"/>
                <w:szCs w:val="18"/>
              </w:rPr>
              <w:t>1,1%</w:t>
            </w:r>
          </w:p>
        </w:tc>
        <w:tc>
          <w:tcPr>
            <w:tcW w:w="845" w:type="dxa"/>
            <w:tcBorders>
              <w:top w:val="nil"/>
              <w:left w:val="nil"/>
              <w:bottom w:val="single" w:sz="8" w:space="0" w:color="800000"/>
              <w:right w:val="double" w:sz="6" w:space="0" w:color="800000"/>
            </w:tcBorders>
            <w:shd w:val="clear" w:color="auto" w:fill="FFFFCC"/>
            <w:noWrap/>
            <w:vAlign w:val="center"/>
          </w:tcPr>
          <w:p w:rsidR="000938C1" w:rsidRPr="00FC2930" w:rsidRDefault="000938C1" w:rsidP="00891830">
            <w:pPr>
              <w:jc w:val="right"/>
              <w:rPr>
                <w:bCs/>
                <w:sz w:val="18"/>
                <w:szCs w:val="18"/>
              </w:rPr>
            </w:pPr>
            <w:r w:rsidRPr="00FC2930">
              <w:rPr>
                <w:bCs/>
                <w:sz w:val="18"/>
                <w:szCs w:val="18"/>
              </w:rPr>
              <w:t>0,9%</w:t>
            </w:r>
          </w:p>
        </w:tc>
      </w:tr>
      <w:tr w:rsidR="000938C1" w:rsidRPr="00CF1A14" w:rsidTr="004A6956">
        <w:trPr>
          <w:trHeight w:val="270"/>
        </w:trPr>
        <w:tc>
          <w:tcPr>
            <w:tcW w:w="3889" w:type="dxa"/>
            <w:tcBorders>
              <w:top w:val="nil"/>
              <w:left w:val="double" w:sz="6" w:space="0" w:color="800000"/>
              <w:bottom w:val="double" w:sz="6" w:space="0" w:color="800000"/>
              <w:right w:val="single" w:sz="8" w:space="0" w:color="800000"/>
            </w:tcBorders>
            <w:shd w:val="clear" w:color="auto" w:fill="FFFFCC"/>
            <w:vAlign w:val="bottom"/>
          </w:tcPr>
          <w:p w:rsidR="000938C1" w:rsidRPr="007C3861" w:rsidRDefault="000938C1" w:rsidP="00891830">
            <w:pPr>
              <w:rPr>
                <w:b/>
                <w:bCs/>
                <w:sz w:val="18"/>
                <w:szCs w:val="18"/>
              </w:rPr>
            </w:pPr>
            <w:r w:rsidRPr="007C3861">
              <w:rPr>
                <w:b/>
                <w:bCs/>
                <w:sz w:val="18"/>
                <w:szCs w:val="18"/>
              </w:rPr>
              <w:t>ОБЩО РАЗХОДИ</w:t>
            </w:r>
          </w:p>
        </w:tc>
        <w:tc>
          <w:tcPr>
            <w:tcW w:w="947" w:type="dxa"/>
            <w:tcBorders>
              <w:top w:val="nil"/>
              <w:left w:val="nil"/>
              <w:bottom w:val="double" w:sz="6" w:space="0" w:color="800000"/>
              <w:right w:val="single" w:sz="8" w:space="0" w:color="800000"/>
            </w:tcBorders>
            <w:shd w:val="clear" w:color="auto" w:fill="FFFFCC"/>
            <w:noWrap/>
            <w:vAlign w:val="center"/>
          </w:tcPr>
          <w:p w:rsidR="000938C1" w:rsidRPr="002871AF" w:rsidRDefault="000938C1" w:rsidP="004A6956">
            <w:pPr>
              <w:jc w:val="center"/>
              <w:rPr>
                <w:b/>
                <w:bCs/>
                <w:sz w:val="18"/>
                <w:szCs w:val="18"/>
              </w:rPr>
            </w:pPr>
            <w:r w:rsidRPr="002871AF">
              <w:rPr>
                <w:b/>
                <w:bCs/>
                <w:sz w:val="18"/>
                <w:szCs w:val="18"/>
              </w:rPr>
              <w:t>27 019,0</w:t>
            </w:r>
          </w:p>
        </w:tc>
        <w:tc>
          <w:tcPr>
            <w:tcW w:w="1075" w:type="dxa"/>
            <w:tcBorders>
              <w:top w:val="nil"/>
              <w:left w:val="nil"/>
              <w:bottom w:val="double" w:sz="6" w:space="0" w:color="800000"/>
              <w:right w:val="single" w:sz="8" w:space="0" w:color="800000"/>
            </w:tcBorders>
            <w:shd w:val="clear" w:color="auto" w:fill="FFFFCC"/>
            <w:noWrap/>
            <w:vAlign w:val="center"/>
          </w:tcPr>
          <w:p w:rsidR="000938C1" w:rsidRPr="005A7BD2" w:rsidRDefault="000938C1" w:rsidP="004A6956">
            <w:pPr>
              <w:jc w:val="center"/>
              <w:rPr>
                <w:b/>
                <w:bCs/>
                <w:sz w:val="18"/>
                <w:szCs w:val="18"/>
              </w:rPr>
            </w:pPr>
            <w:r w:rsidRPr="005A7BD2">
              <w:rPr>
                <w:b/>
                <w:bCs/>
                <w:sz w:val="18"/>
                <w:szCs w:val="18"/>
              </w:rPr>
              <w:t>31 070,0</w:t>
            </w:r>
          </w:p>
        </w:tc>
        <w:tc>
          <w:tcPr>
            <w:tcW w:w="929" w:type="dxa"/>
            <w:tcBorders>
              <w:top w:val="nil"/>
              <w:left w:val="nil"/>
              <w:bottom w:val="double" w:sz="6" w:space="0" w:color="800000"/>
              <w:right w:val="single" w:sz="8" w:space="0" w:color="800000"/>
            </w:tcBorders>
            <w:shd w:val="clear" w:color="auto" w:fill="FFFFCC"/>
            <w:noWrap/>
            <w:vAlign w:val="center"/>
          </w:tcPr>
          <w:p w:rsidR="000938C1" w:rsidRPr="00FC2930" w:rsidRDefault="000938C1" w:rsidP="00021DAE">
            <w:pPr>
              <w:jc w:val="center"/>
              <w:rPr>
                <w:b/>
                <w:bCs/>
                <w:sz w:val="18"/>
                <w:szCs w:val="18"/>
              </w:rPr>
            </w:pPr>
            <w:r w:rsidRPr="00FC2930">
              <w:rPr>
                <w:b/>
                <w:bCs/>
                <w:sz w:val="18"/>
                <w:szCs w:val="18"/>
              </w:rPr>
              <w:t>29</w:t>
            </w:r>
            <w:r>
              <w:rPr>
                <w:b/>
                <w:bCs/>
                <w:sz w:val="18"/>
                <w:szCs w:val="18"/>
              </w:rPr>
              <w:t> </w:t>
            </w:r>
            <w:r w:rsidRPr="00FC2930">
              <w:rPr>
                <w:b/>
                <w:bCs/>
                <w:sz w:val="18"/>
                <w:szCs w:val="18"/>
              </w:rPr>
              <w:t>48</w:t>
            </w:r>
            <w:r>
              <w:rPr>
                <w:b/>
                <w:bCs/>
                <w:sz w:val="18"/>
                <w:szCs w:val="18"/>
              </w:rPr>
              <w:t>3,8</w:t>
            </w:r>
          </w:p>
        </w:tc>
        <w:tc>
          <w:tcPr>
            <w:tcW w:w="900" w:type="dxa"/>
            <w:tcBorders>
              <w:top w:val="nil"/>
              <w:left w:val="nil"/>
              <w:bottom w:val="double" w:sz="6" w:space="0" w:color="800000"/>
              <w:right w:val="single" w:sz="8" w:space="0" w:color="800000"/>
            </w:tcBorders>
            <w:shd w:val="clear" w:color="auto" w:fill="FFFFCC"/>
            <w:noWrap/>
            <w:vAlign w:val="bottom"/>
          </w:tcPr>
          <w:p w:rsidR="000938C1" w:rsidRPr="00FC2930" w:rsidRDefault="000938C1" w:rsidP="00891830">
            <w:pPr>
              <w:rPr>
                <w:bCs/>
                <w:sz w:val="18"/>
                <w:szCs w:val="18"/>
              </w:rPr>
            </w:pPr>
            <w:r w:rsidRPr="00FC2930">
              <w:rPr>
                <w:bCs/>
                <w:sz w:val="18"/>
                <w:szCs w:val="18"/>
              </w:rPr>
              <w:t> </w:t>
            </w:r>
          </w:p>
        </w:tc>
        <w:tc>
          <w:tcPr>
            <w:tcW w:w="955" w:type="dxa"/>
            <w:tcBorders>
              <w:top w:val="nil"/>
              <w:left w:val="nil"/>
              <w:bottom w:val="double" w:sz="6" w:space="0" w:color="800000"/>
              <w:right w:val="single" w:sz="8" w:space="0" w:color="800000"/>
            </w:tcBorders>
            <w:shd w:val="clear" w:color="auto" w:fill="FFFFCC"/>
            <w:noWrap/>
            <w:vAlign w:val="bottom"/>
          </w:tcPr>
          <w:p w:rsidR="000938C1" w:rsidRPr="00FC2930" w:rsidRDefault="000938C1" w:rsidP="00891830">
            <w:pPr>
              <w:rPr>
                <w:bCs/>
                <w:sz w:val="18"/>
                <w:szCs w:val="18"/>
              </w:rPr>
            </w:pPr>
            <w:r w:rsidRPr="00FC2930">
              <w:rPr>
                <w:bCs/>
                <w:sz w:val="18"/>
                <w:szCs w:val="18"/>
              </w:rPr>
              <w:t> </w:t>
            </w:r>
          </w:p>
        </w:tc>
        <w:tc>
          <w:tcPr>
            <w:tcW w:w="845" w:type="dxa"/>
            <w:tcBorders>
              <w:top w:val="nil"/>
              <w:left w:val="nil"/>
              <w:bottom w:val="double" w:sz="6" w:space="0" w:color="800000"/>
              <w:right w:val="double" w:sz="6" w:space="0" w:color="800000"/>
            </w:tcBorders>
            <w:shd w:val="clear" w:color="auto" w:fill="FFFFCC"/>
            <w:noWrap/>
            <w:vAlign w:val="bottom"/>
          </w:tcPr>
          <w:p w:rsidR="000938C1" w:rsidRPr="00FC2930" w:rsidRDefault="000938C1" w:rsidP="00891830">
            <w:pPr>
              <w:rPr>
                <w:bCs/>
                <w:sz w:val="18"/>
                <w:szCs w:val="18"/>
              </w:rPr>
            </w:pPr>
            <w:r w:rsidRPr="00FC2930">
              <w:rPr>
                <w:bCs/>
                <w:sz w:val="18"/>
                <w:szCs w:val="18"/>
              </w:rPr>
              <w:t> </w:t>
            </w:r>
          </w:p>
        </w:tc>
      </w:tr>
    </w:tbl>
    <w:p w:rsidR="000938C1" w:rsidRPr="00CF1A14" w:rsidRDefault="000938C1" w:rsidP="00891830">
      <w:pPr>
        <w:ind w:firstLine="540"/>
        <w:jc w:val="both"/>
        <w:rPr>
          <w:color w:val="0070C0"/>
          <w:sz w:val="8"/>
          <w:szCs w:val="8"/>
        </w:rPr>
      </w:pPr>
    </w:p>
    <w:p w:rsidR="000938C1" w:rsidRPr="00CF1A14" w:rsidRDefault="000938C1" w:rsidP="00891830">
      <w:pPr>
        <w:ind w:firstLine="720"/>
        <w:jc w:val="both"/>
        <w:rPr>
          <w:color w:val="0070C0"/>
          <w:sz w:val="4"/>
          <w:szCs w:val="4"/>
        </w:rPr>
      </w:pPr>
    </w:p>
    <w:p w:rsidR="000938C1" w:rsidRPr="00CF1A14" w:rsidRDefault="000938C1" w:rsidP="00891830">
      <w:pPr>
        <w:ind w:firstLine="720"/>
        <w:jc w:val="both"/>
        <w:rPr>
          <w:color w:val="0070C0"/>
          <w:sz w:val="4"/>
          <w:szCs w:val="4"/>
        </w:rPr>
      </w:pPr>
      <w:r w:rsidRPr="00550565">
        <w:t>При анализа на разходите по функции, представени като относителен дял в БВП, следва да се има предвид, че за целите на анализа отчетните данни за 2012 г. и 2013 г. са отнесени към БВП (по данни на НСИ – 78 089,3 млн. лв. за 2012 г. и 78 115,3 млн. лв. за 2013 г.), докато за разчета към програмата за 2013 г. е използвана оценката на БВП, заложена в макрорамката към ЗИД на ЗДБРБ за 2013 г.</w:t>
      </w:r>
      <w:r w:rsidRPr="00550565">
        <w:rPr>
          <w:lang w:val="ru-RU"/>
        </w:rPr>
        <w:t xml:space="preserve"> (79</w:t>
      </w:r>
      <w:r w:rsidRPr="00550565">
        <w:rPr>
          <w:lang w:val="en-US"/>
        </w:rPr>
        <w:t> </w:t>
      </w:r>
      <w:r w:rsidRPr="00550565">
        <w:t>932,</w:t>
      </w:r>
      <w:r w:rsidRPr="00550565">
        <w:rPr>
          <w:lang w:val="ru-RU"/>
        </w:rPr>
        <w:t xml:space="preserve">0 </w:t>
      </w:r>
      <w:r w:rsidRPr="00550565">
        <w:t>млн. лв.</w:t>
      </w:r>
      <w:r w:rsidRPr="00550565">
        <w:rPr>
          <w:lang w:val="ru-RU"/>
        </w:rPr>
        <w:t>).</w:t>
      </w:r>
    </w:p>
    <w:p w:rsidR="000938C1" w:rsidRPr="002255D3" w:rsidRDefault="000938C1" w:rsidP="00891830">
      <w:pPr>
        <w:rPr>
          <w:color w:val="0070C0"/>
          <w:sz w:val="8"/>
          <w:szCs w:val="8"/>
        </w:rPr>
      </w:pPr>
    </w:p>
    <w:bookmarkStart w:id="105" w:name="_MON_1463914805"/>
    <w:bookmarkEnd w:id="105"/>
    <w:p w:rsidR="000938C1" w:rsidRPr="00CF1A14" w:rsidRDefault="000938C1" w:rsidP="00891830">
      <w:pPr>
        <w:rPr>
          <w:color w:val="0070C0"/>
        </w:rPr>
      </w:pPr>
      <w:r w:rsidRPr="00656AB5">
        <w:rPr>
          <w:noProof/>
        </w:rPr>
        <w:object w:dxaOrig="9380" w:dyaOrig="4148">
          <v:shape id="Object 11" o:spid="_x0000_i1035" type="#_x0000_t75" style="width:468.75pt;height:207.75pt;visibility:visible" o:ole="">
            <v:imagedata r:id="rId26" o:title="" cropbottom="-32f"/>
            <o:lock v:ext="edit" aspectratio="f"/>
          </v:shape>
          <o:OLEObject Type="Embed" ProgID="Excel.Chart.8" ShapeID="Object 11" DrawAspect="Content" ObjectID="_1467645786" r:id="rId27"/>
        </w:object>
      </w:r>
    </w:p>
    <w:p w:rsidR="000938C1" w:rsidRPr="002255D3" w:rsidRDefault="000938C1" w:rsidP="00891830">
      <w:pPr>
        <w:jc w:val="both"/>
        <w:rPr>
          <w:sz w:val="8"/>
          <w:szCs w:val="8"/>
        </w:rPr>
      </w:pPr>
    </w:p>
    <w:p w:rsidR="000938C1" w:rsidRPr="002255D3" w:rsidRDefault="000938C1" w:rsidP="00891830">
      <w:pPr>
        <w:jc w:val="both"/>
        <w:rPr>
          <w:sz w:val="8"/>
          <w:szCs w:val="8"/>
          <w:lang w:val="en-US"/>
        </w:rPr>
      </w:pPr>
      <w:r w:rsidRPr="00B110F1">
        <w:t>Видно от графиката, с най-голям относителен дял в разходите по КФП за 2013 г</w:t>
      </w:r>
      <w:r w:rsidRPr="00B110F1">
        <w:rPr>
          <w:b/>
          <w:i/>
        </w:rPr>
        <w:t>. са</w:t>
      </w:r>
      <w:r>
        <w:rPr>
          <w:b/>
          <w:i/>
        </w:rPr>
        <w:t xml:space="preserve"> </w:t>
      </w:r>
      <w:r w:rsidRPr="00B110F1">
        <w:rPr>
          <w:b/>
          <w:i/>
        </w:rPr>
        <w:t>средствата за сферата на социалното осигуряване, подпомагане и грижи</w:t>
      </w:r>
      <w:r w:rsidRPr="00B110F1">
        <w:t xml:space="preserve">. Общите разходи за функцията за годината възлизат на </w:t>
      </w:r>
      <w:r w:rsidRPr="00B110F1">
        <w:rPr>
          <w:b/>
          <w:i/>
          <w:lang w:val="ru-RU"/>
        </w:rPr>
        <w:t>11 000,0</w:t>
      </w:r>
      <w:r w:rsidRPr="00B110F1">
        <w:rPr>
          <w:b/>
          <w:i/>
        </w:rPr>
        <w:t xml:space="preserve"> млн. лв</w:t>
      </w:r>
      <w:r w:rsidRPr="00B110F1">
        <w:t xml:space="preserve">. или </w:t>
      </w:r>
      <w:r w:rsidRPr="00B110F1">
        <w:rPr>
          <w:b/>
          <w:i/>
        </w:rPr>
        <w:t>14,1 % от БВП.</w:t>
      </w:r>
      <w:r w:rsidRPr="00B110F1">
        <w:t xml:space="preserve"> За сравнение разходите за функция „Социално осигуряване, подпомагане и грижи” за 2012 г. представлява</w:t>
      </w:r>
      <w:r>
        <w:t>ха</w:t>
      </w:r>
      <w:r w:rsidRPr="00B110F1">
        <w:t xml:space="preserve"> 12,9 % от БВП.</w:t>
      </w:r>
      <w:r>
        <w:t xml:space="preserve"> </w:t>
      </w:r>
      <w:r>
        <w:rPr>
          <w:iCs/>
        </w:rPr>
        <w:t xml:space="preserve">С най-голям относителен дял във функцията са разходите за пенсии, отчетени по бюджетите на ДОО и УПФ, които възлизат на 7 762,2 млн. лв. и нарастват с 528,0 млн. лв. </w:t>
      </w:r>
      <w:r w:rsidRPr="00187783">
        <w:rPr>
          <w:iCs/>
          <w:lang w:val="en-US"/>
        </w:rPr>
        <w:t>(</w:t>
      </w:r>
      <w:r>
        <w:rPr>
          <w:iCs/>
        </w:rPr>
        <w:t>7,3 %</w:t>
      </w:r>
      <w:r w:rsidRPr="00187783">
        <w:rPr>
          <w:iCs/>
          <w:lang w:val="en-US"/>
        </w:rPr>
        <w:t>)</w:t>
      </w:r>
      <w:r>
        <w:rPr>
          <w:iCs/>
        </w:rPr>
        <w:t xml:space="preserve"> спрямо предходната година. Увеличението е в резултат от </w:t>
      </w:r>
      <w:r>
        <w:rPr>
          <w:color w:val="000000"/>
        </w:rPr>
        <w:t xml:space="preserve">осъвременяването на пенсиите </w:t>
      </w:r>
      <w:r w:rsidRPr="00CA1A08">
        <w:rPr>
          <w:color w:val="000000"/>
        </w:rPr>
        <w:t>от 1 април 2013 г.</w:t>
      </w:r>
      <w:r>
        <w:rPr>
          <w:iCs/>
        </w:rPr>
        <w:t xml:space="preserve"> и изплатените през м</w:t>
      </w:r>
      <w:r w:rsidRPr="000C0A89">
        <w:t>есец декември 2013 г. допълнителн</w:t>
      </w:r>
      <w:r>
        <w:t>и</w:t>
      </w:r>
      <w:r w:rsidRPr="000C0A89">
        <w:t xml:space="preserve"> сум</w:t>
      </w:r>
      <w:r>
        <w:t>и</w:t>
      </w:r>
      <w:r w:rsidRPr="000C0A89">
        <w:t xml:space="preserve"> в размер на 50 лв. на пенсионери, на които пенсията или сборът от пенсиите заедно с добавките и компенсациите към тях за декември 2013 г. е в размер до 251</w:t>
      </w:r>
      <w:r>
        <w:t>,</w:t>
      </w:r>
      <w:r w:rsidRPr="000C0A89">
        <w:t>00 лв. включително</w:t>
      </w:r>
      <w:r w:rsidRPr="00652645">
        <w:t xml:space="preserve">. С цел ограничаване на продължаващите негативни последици от кризата върху пазара на труда през 2013 г., бяха запазени и разширени мерките, насочени основно към съхраняване на работните места, осигуряване на субсидирана заетост на безработните и повишаване на качеството на работната сила. Изразходваните средства за реализиране на активната политика по заетостта през 2013 г. са в размер на 91,5 млн. лв., в т.ч. трансфери към министерства, ведомства и общини в размер на 44,1 млн. лева. Разходите, извършени в сферата на </w:t>
      </w:r>
      <w:r w:rsidRPr="00652645">
        <w:rPr>
          <w:b/>
          <w:i/>
        </w:rPr>
        <w:t>отбраната и сигурността</w:t>
      </w:r>
      <w:r w:rsidRPr="00652645">
        <w:t xml:space="preserve"> през 2013 г., са в размер на </w:t>
      </w:r>
      <w:r w:rsidRPr="00652645">
        <w:rPr>
          <w:b/>
          <w:i/>
        </w:rPr>
        <w:t>3 160,4 млн. лв.</w:t>
      </w:r>
      <w:r w:rsidRPr="00652645">
        <w:t xml:space="preserve">, което представлява </w:t>
      </w:r>
      <w:r w:rsidRPr="00652645">
        <w:rPr>
          <w:b/>
          <w:i/>
        </w:rPr>
        <w:t>4,0 % от БВП</w:t>
      </w:r>
      <w:r w:rsidRPr="00652645">
        <w:t xml:space="preserve">. С извършените разходи са обезпечени дейностите по осигуряването на националната сигурност и отбраната, опазването на обществения и правовия ред, поддържането на отбранителния потенциал на страната и издръжката на съдебната власт и администрацията на затворите. Сред основните приоритети </w:t>
      </w:r>
      <w:r>
        <w:t>за 2013 г. бяха</w:t>
      </w:r>
      <w:r w:rsidRPr="00652645">
        <w:t xml:space="preserve"> и политиките в сферата на</w:t>
      </w:r>
      <w:r w:rsidRPr="00652645">
        <w:rPr>
          <w:b/>
          <w:i/>
        </w:rPr>
        <w:t xml:space="preserve"> образованието</w:t>
      </w:r>
      <w:r w:rsidRPr="00652645">
        <w:t xml:space="preserve">, </w:t>
      </w:r>
      <w:r w:rsidRPr="008100A5">
        <w:t xml:space="preserve">като общият размер на разходите за функцията за 2013 г. е </w:t>
      </w:r>
      <w:r w:rsidRPr="008100A5">
        <w:rPr>
          <w:b/>
          <w:i/>
        </w:rPr>
        <w:t>3 087,6 млн. лв.</w:t>
      </w:r>
      <w:r w:rsidRPr="008100A5">
        <w:t xml:space="preserve"> или </w:t>
      </w:r>
      <w:r w:rsidRPr="008100A5">
        <w:rPr>
          <w:b/>
          <w:i/>
          <w:lang w:val="ru-RU"/>
        </w:rPr>
        <w:t>4,0</w:t>
      </w:r>
      <w:r w:rsidRPr="008100A5">
        <w:rPr>
          <w:b/>
          <w:i/>
        </w:rPr>
        <w:t xml:space="preserve"> % от БВП</w:t>
      </w:r>
      <w:r w:rsidRPr="008100A5">
        <w:t xml:space="preserve">. Новите политики през 2013 г. </w:t>
      </w:r>
      <w:r>
        <w:t>бяха</w:t>
      </w:r>
      <w:r w:rsidRPr="008100A5">
        <w:t>: въвеждане на целодневна организация на учебния ден на учениците в ІV клас; разшир</w:t>
      </w:r>
      <w:r>
        <w:t>яване на</w:t>
      </w:r>
      <w:r w:rsidRPr="008100A5">
        <w:t xml:space="preserve"> диференциацията на финансирането на държавните висши училища въз основа на комплексна оценка на качеството на обучението и съответствието му с потребностите на пазара на труда; в максимален размер </w:t>
      </w:r>
      <w:r>
        <w:t>бяха</w:t>
      </w:r>
      <w:r w:rsidRPr="008100A5">
        <w:t xml:space="preserve"> използвани възможностите за финансиране със средства от Европейския съюз на целодневната организация на </w:t>
      </w:r>
      <w:r w:rsidRPr="004B158F">
        <w:t xml:space="preserve">учебния ден в средищните училища и на извънкласните дейности на учениците. Извършените разходи през 2013 г. в сферата на </w:t>
      </w:r>
      <w:r w:rsidRPr="004B158F">
        <w:rPr>
          <w:b/>
          <w:i/>
        </w:rPr>
        <w:t>здравеопазването</w:t>
      </w:r>
      <w:r w:rsidRPr="004B158F">
        <w:t xml:space="preserve"> са в размер на </w:t>
      </w:r>
      <w:r w:rsidRPr="004B158F">
        <w:rPr>
          <w:b/>
          <w:i/>
        </w:rPr>
        <w:t>3 540,3 млн. лв</w:t>
      </w:r>
      <w:r w:rsidRPr="004B158F">
        <w:t xml:space="preserve">., </w:t>
      </w:r>
      <w:r>
        <w:t xml:space="preserve">или </w:t>
      </w:r>
      <w:r w:rsidRPr="004B158F">
        <w:t>4,5 % от БВП, като относителният им дял в БВП нараства с 0,3 п. п. спрямо 2012 г. Разходите за функция „</w:t>
      </w:r>
      <w:r w:rsidRPr="004B158F">
        <w:rPr>
          <w:b/>
          <w:i/>
        </w:rPr>
        <w:t>Икономически дейности и услуги”</w:t>
      </w:r>
      <w:r w:rsidRPr="004B158F">
        <w:t xml:space="preserve"> са в размер на </w:t>
      </w:r>
      <w:r w:rsidRPr="004B158F">
        <w:rPr>
          <w:b/>
          <w:i/>
        </w:rPr>
        <w:t>3 667,9 млн. лв.</w:t>
      </w:r>
      <w:r w:rsidRPr="004B158F">
        <w:t xml:space="preserve"> или 4,7</w:t>
      </w:r>
      <w:r w:rsidRPr="004B158F">
        <w:rPr>
          <w:b/>
          <w:i/>
        </w:rPr>
        <w:t> % от БВП</w:t>
      </w:r>
      <w:r w:rsidRPr="004B158F">
        <w:t>. Основните направления, в които са изразходва</w:t>
      </w:r>
      <w:r>
        <w:t>ни</w:t>
      </w:r>
      <w:r w:rsidRPr="004B158F">
        <w:t xml:space="preserve"> средствата по тази функция, са изграждане на инфраструктурни обекти с национално значение, ремонт </w:t>
      </w:r>
      <w:r w:rsidRPr="004109C2">
        <w:t xml:space="preserve">и поддържане на съществуващата транспортна мрежа и подпомагане на земеделските производители. Разходите за функция </w:t>
      </w:r>
      <w:r w:rsidRPr="004109C2">
        <w:rPr>
          <w:b/>
          <w:i/>
        </w:rPr>
        <w:t>„Общи държавни служби”</w:t>
      </w:r>
      <w:r w:rsidRPr="004109C2">
        <w:t xml:space="preserve"> са в размер на </w:t>
      </w:r>
      <w:r w:rsidRPr="004109C2">
        <w:rPr>
          <w:b/>
          <w:i/>
        </w:rPr>
        <w:t>1 818,</w:t>
      </w:r>
      <w:r>
        <w:rPr>
          <w:b/>
          <w:i/>
        </w:rPr>
        <w:t>4</w:t>
      </w:r>
      <w:r w:rsidRPr="004109C2">
        <w:rPr>
          <w:b/>
          <w:i/>
        </w:rPr>
        <w:t xml:space="preserve"> млн. лв. (2,3 % от БВП)</w:t>
      </w:r>
      <w:r w:rsidRPr="004109C2">
        <w:t xml:space="preserve"> и нарастват с 0,2 п. п. от БВП спрямо отчетените за предходната година. Разходите за дейностите по</w:t>
      </w:r>
      <w:r w:rsidRPr="004109C2">
        <w:rPr>
          <w:b/>
          <w:i/>
        </w:rPr>
        <w:t xml:space="preserve"> жилищно строителство, благоустройство, комунално стопанство и опазване на околната среда </w:t>
      </w:r>
      <w:r w:rsidRPr="004109C2">
        <w:t xml:space="preserve">са в размер на </w:t>
      </w:r>
      <w:r w:rsidRPr="004109C2">
        <w:rPr>
          <w:b/>
          <w:i/>
        </w:rPr>
        <w:t>1 851,0 млн. лв</w:t>
      </w:r>
      <w:r w:rsidRPr="004109C2">
        <w:t>. (</w:t>
      </w:r>
      <w:r w:rsidRPr="004109C2">
        <w:rPr>
          <w:b/>
          <w:i/>
        </w:rPr>
        <w:t>2,4 % от БВП</w:t>
      </w:r>
      <w:r w:rsidRPr="004109C2">
        <w:t>) като нарастват с 491,8 млн. лв.</w:t>
      </w:r>
      <w:r>
        <w:t xml:space="preserve"> </w:t>
      </w:r>
      <w:r w:rsidRPr="00187783">
        <w:rPr>
          <w:lang w:val="en-US"/>
        </w:rPr>
        <w:t>(36</w:t>
      </w:r>
      <w:r>
        <w:t>,</w:t>
      </w:r>
      <w:r w:rsidRPr="00187783">
        <w:rPr>
          <w:lang w:val="en-US"/>
        </w:rPr>
        <w:t xml:space="preserve">2 %) </w:t>
      </w:r>
      <w:r w:rsidRPr="004109C2">
        <w:t xml:space="preserve">спрямо 2012 г. Извършените разходи през годината за финансиране на сферата на </w:t>
      </w:r>
      <w:r w:rsidRPr="004109C2">
        <w:rPr>
          <w:b/>
          <w:i/>
        </w:rPr>
        <w:t>почивното дело, културата и религиозните дейности</w:t>
      </w:r>
      <w:r w:rsidRPr="004109C2">
        <w:t xml:space="preserve"> са в размер на </w:t>
      </w:r>
      <w:r w:rsidRPr="004109C2">
        <w:rPr>
          <w:b/>
          <w:i/>
        </w:rPr>
        <w:t>669,4 млн. лв.</w:t>
      </w:r>
      <w:r w:rsidRPr="004109C2">
        <w:t xml:space="preserve"> или </w:t>
      </w:r>
      <w:r w:rsidRPr="004109C2">
        <w:rPr>
          <w:b/>
          <w:i/>
        </w:rPr>
        <w:t xml:space="preserve">0,9 % от БВП </w:t>
      </w:r>
      <w:r w:rsidRPr="004109C2">
        <w:t xml:space="preserve">и нарастват с 0,1 пр. п. от БВП спрямо отчетените за предходната година. Разходите, </w:t>
      </w:r>
      <w:r w:rsidRPr="004109C2">
        <w:rPr>
          <w:b/>
          <w:i/>
        </w:rPr>
        <w:t xml:space="preserve">некласифицирани в другите функции </w:t>
      </w:r>
      <w:r w:rsidRPr="004109C2">
        <w:t>(без вноската за бюджета на ЕС)</w:t>
      </w:r>
      <w:r w:rsidRPr="004109C2">
        <w:rPr>
          <w:b/>
          <w:i/>
        </w:rPr>
        <w:t>,</w:t>
      </w:r>
      <w:r w:rsidRPr="004109C2">
        <w:t xml:space="preserve"> включват лихвените плащания по обслужване на държавния и общинския дълг </w:t>
      </w:r>
      <w:r>
        <w:t xml:space="preserve">и са в размер на </w:t>
      </w:r>
      <w:r w:rsidRPr="002255D3">
        <w:rPr>
          <w:b/>
        </w:rPr>
        <w:t>688</w:t>
      </w:r>
      <w:r>
        <w:rPr>
          <w:b/>
        </w:rPr>
        <w:t>,</w:t>
      </w:r>
      <w:r w:rsidRPr="002255D3">
        <w:rPr>
          <w:b/>
        </w:rPr>
        <w:t>8 млн. лв.,</w:t>
      </w:r>
      <w:r>
        <w:t xml:space="preserve"> което</w:t>
      </w:r>
      <w:r w:rsidRPr="004109C2">
        <w:t xml:space="preserve"> представляват </w:t>
      </w:r>
      <w:r w:rsidRPr="004109C2">
        <w:rPr>
          <w:b/>
          <w:i/>
        </w:rPr>
        <w:t xml:space="preserve">0,9 % от БВП. </w:t>
      </w:r>
    </w:p>
    <w:p w:rsidR="000938C1" w:rsidRPr="005C47A4" w:rsidRDefault="000938C1" w:rsidP="00187783">
      <w:pPr>
        <w:numPr>
          <w:ilvl w:val="0"/>
          <w:numId w:val="19"/>
        </w:numPr>
        <w:tabs>
          <w:tab w:val="clear" w:pos="1440"/>
          <w:tab w:val="num" w:pos="540"/>
        </w:tabs>
        <w:ind w:left="0" w:firstLine="360"/>
        <w:jc w:val="both"/>
        <w:rPr>
          <w:sz w:val="12"/>
          <w:szCs w:val="12"/>
        </w:rPr>
      </w:pPr>
      <w:r w:rsidRPr="005C47A4">
        <w:rPr>
          <w:b/>
        </w:rPr>
        <w:t xml:space="preserve">Бюджетното салдо по </w:t>
      </w:r>
      <w:r>
        <w:rPr>
          <w:b/>
        </w:rPr>
        <w:t>КФП</w:t>
      </w:r>
      <w:r w:rsidRPr="005C47A4">
        <w:rPr>
          <w:b/>
        </w:rPr>
        <w:t xml:space="preserve"> за 2013 г. на касова основа е отрицателно в размер на 1</w:t>
      </w:r>
      <w:r>
        <w:rPr>
          <w:b/>
        </w:rPr>
        <w:t> </w:t>
      </w:r>
      <w:r w:rsidRPr="005C47A4">
        <w:rPr>
          <w:b/>
        </w:rPr>
        <w:t>4</w:t>
      </w:r>
      <w:r>
        <w:rPr>
          <w:b/>
        </w:rPr>
        <w:t>40,7</w:t>
      </w:r>
      <w:r w:rsidRPr="005C47A4">
        <w:rPr>
          <w:b/>
        </w:rPr>
        <w:t xml:space="preserve"> млн. лв.</w:t>
      </w:r>
      <w:r w:rsidRPr="005C47A4">
        <w:t xml:space="preserve">, което представлява </w:t>
      </w:r>
      <w:r w:rsidRPr="005C47A4">
        <w:rPr>
          <w:b/>
        </w:rPr>
        <w:t>1,</w:t>
      </w:r>
      <w:r>
        <w:rPr>
          <w:b/>
        </w:rPr>
        <w:t>8</w:t>
      </w:r>
      <w:r w:rsidRPr="005C47A4">
        <w:rPr>
          <w:b/>
        </w:rPr>
        <w:t xml:space="preserve"> %</w:t>
      </w:r>
      <w:r>
        <w:rPr>
          <w:b/>
          <w:lang w:val="en-US"/>
        </w:rPr>
        <w:t xml:space="preserve"> </w:t>
      </w:r>
      <w:r w:rsidRPr="005C47A4">
        <w:rPr>
          <w:b/>
        </w:rPr>
        <w:t>от БВП</w:t>
      </w:r>
      <w:r w:rsidRPr="005C47A4">
        <w:t xml:space="preserve">. То се формира от </w:t>
      </w:r>
      <w:r w:rsidRPr="005C47A4">
        <w:rPr>
          <w:bCs/>
        </w:rPr>
        <w:t>дефицит по националния бюджет в размер на 1 09</w:t>
      </w:r>
      <w:r>
        <w:rPr>
          <w:bCs/>
        </w:rPr>
        <w:t>6</w:t>
      </w:r>
      <w:r w:rsidRPr="005C47A4">
        <w:rPr>
          <w:bCs/>
        </w:rPr>
        <w:t>,</w:t>
      </w:r>
      <w:r>
        <w:rPr>
          <w:bCs/>
        </w:rPr>
        <w:t xml:space="preserve">8 </w:t>
      </w:r>
      <w:r w:rsidRPr="005C47A4">
        <w:rPr>
          <w:bCs/>
        </w:rPr>
        <w:t>млн.</w:t>
      </w:r>
      <w:r w:rsidRPr="005C47A4">
        <w:t xml:space="preserve"> лв. </w:t>
      </w:r>
      <w:r w:rsidRPr="005C47A4">
        <w:rPr>
          <w:bCs/>
        </w:rPr>
        <w:t>и дефицит по европейските средства в размер на 3</w:t>
      </w:r>
      <w:r>
        <w:rPr>
          <w:bCs/>
        </w:rPr>
        <w:t>43,9</w:t>
      </w:r>
      <w:r w:rsidRPr="005C47A4">
        <w:rPr>
          <w:bCs/>
        </w:rPr>
        <w:t xml:space="preserve"> млн. л</w:t>
      </w:r>
      <w:r>
        <w:rPr>
          <w:bCs/>
        </w:rPr>
        <w:t>е</w:t>
      </w:r>
      <w:r w:rsidRPr="005C47A4">
        <w:rPr>
          <w:bCs/>
        </w:rPr>
        <w:t>в</w:t>
      </w:r>
      <w:r>
        <w:rPr>
          <w:bCs/>
        </w:rPr>
        <w:t>а</w:t>
      </w:r>
      <w:r w:rsidRPr="005C47A4">
        <w:rPr>
          <w:bCs/>
        </w:rPr>
        <w:t>.</w:t>
      </w:r>
    </w:p>
    <w:p w:rsidR="000938C1" w:rsidRPr="004A6956" w:rsidRDefault="000938C1" w:rsidP="00F30F79">
      <w:pPr>
        <w:numPr>
          <w:ilvl w:val="0"/>
          <w:numId w:val="19"/>
        </w:numPr>
        <w:tabs>
          <w:tab w:val="clear" w:pos="1440"/>
          <w:tab w:val="num" w:pos="540"/>
        </w:tabs>
        <w:ind w:left="0" w:firstLine="360"/>
        <w:jc w:val="both"/>
      </w:pPr>
      <w:r w:rsidRPr="004A6956">
        <w:rPr>
          <w:b/>
        </w:rPr>
        <w:t>Фискалният резерв</w:t>
      </w:r>
      <w:r w:rsidRPr="00673D4D">
        <w:rPr>
          <w:rStyle w:val="FootnoteReference"/>
          <w:b/>
          <w:sz w:val="18"/>
          <w:szCs w:val="18"/>
        </w:rPr>
        <w:footnoteReference w:id="12"/>
      </w:r>
      <w:r>
        <w:rPr>
          <w:b/>
          <w:lang w:val="en-US"/>
        </w:rPr>
        <w:t xml:space="preserve"> </w:t>
      </w:r>
      <w:r w:rsidRPr="004A6956">
        <w:rPr>
          <w:b/>
        </w:rPr>
        <w:t>към 31.12.2013 г.</w:t>
      </w:r>
      <w:r>
        <w:rPr>
          <w:b/>
        </w:rPr>
        <w:t xml:space="preserve"> </w:t>
      </w:r>
      <w:r w:rsidRPr="004A6956">
        <w:t>е 4,7 млрд. л</w:t>
      </w:r>
      <w:r>
        <w:t>е</w:t>
      </w:r>
      <w:r w:rsidRPr="004A6956">
        <w:t>в</w:t>
      </w:r>
      <w:r>
        <w:t>а</w:t>
      </w:r>
      <w:r w:rsidRPr="004A6956">
        <w:t xml:space="preserve">. </w:t>
      </w:r>
    </w:p>
    <w:p w:rsidR="000938C1" w:rsidRPr="00CF1A14" w:rsidRDefault="000938C1" w:rsidP="00D12312">
      <w:pPr>
        <w:tabs>
          <w:tab w:val="left" w:pos="0"/>
          <w:tab w:val="left" w:pos="1080"/>
        </w:tabs>
        <w:jc w:val="both"/>
        <w:rPr>
          <w:bCs/>
          <w:color w:val="0070C0"/>
          <w:sz w:val="8"/>
          <w:szCs w:val="8"/>
        </w:rPr>
      </w:pPr>
    </w:p>
    <w:p w:rsidR="000938C1" w:rsidRPr="00CF1A14" w:rsidRDefault="000938C1" w:rsidP="00D12312">
      <w:pPr>
        <w:tabs>
          <w:tab w:val="left" w:pos="0"/>
          <w:tab w:val="left" w:pos="1080"/>
        </w:tabs>
        <w:jc w:val="both"/>
        <w:rPr>
          <w:bCs/>
          <w:color w:val="0070C0"/>
          <w:sz w:val="8"/>
          <w:szCs w:val="8"/>
        </w:rPr>
      </w:pPr>
    </w:p>
    <w:p w:rsidR="000938C1" w:rsidRPr="00DD3753" w:rsidRDefault="000938C1" w:rsidP="00F30F79">
      <w:pPr>
        <w:pStyle w:val="Heading3"/>
        <w:numPr>
          <w:ilvl w:val="1"/>
          <w:numId w:val="72"/>
        </w:numPr>
        <w:spacing w:before="0" w:after="0"/>
        <w:rPr>
          <w:rFonts w:ascii="Times New Roman" w:hAnsi="Times New Roman"/>
          <w:sz w:val="24"/>
          <w:lang w:val="bg-BG"/>
        </w:rPr>
      </w:pPr>
      <w:bookmarkStart w:id="106" w:name="_Toc393728054"/>
      <w:r w:rsidRPr="00DD3753">
        <w:rPr>
          <w:rFonts w:ascii="Times New Roman" w:hAnsi="Times New Roman"/>
          <w:sz w:val="24"/>
          <w:lang w:val="bg-BG"/>
        </w:rPr>
        <w:t>Мерки на НАП и АМ за повишаване на събираемостта на приходите</w:t>
      </w:r>
      <w:bookmarkEnd w:id="106"/>
    </w:p>
    <w:p w:rsidR="000938C1" w:rsidRPr="00CF1A14" w:rsidRDefault="000938C1" w:rsidP="00D12312">
      <w:pPr>
        <w:jc w:val="both"/>
        <w:rPr>
          <w:color w:val="0070C0"/>
          <w:sz w:val="8"/>
          <w:szCs w:val="8"/>
        </w:rPr>
      </w:pPr>
    </w:p>
    <w:p w:rsidR="000938C1" w:rsidRPr="008C02D4" w:rsidRDefault="000938C1" w:rsidP="00DD3753">
      <w:pPr>
        <w:tabs>
          <w:tab w:val="left" w:pos="0"/>
          <w:tab w:val="left" w:pos="9540"/>
          <w:tab w:val="left" w:pos="9720"/>
          <w:tab w:val="left" w:pos="9900"/>
        </w:tabs>
        <w:spacing w:before="120"/>
        <w:ind w:firstLine="720"/>
        <w:jc w:val="both"/>
      </w:pPr>
      <w:r w:rsidRPr="00B942DF">
        <w:t>През 2013 г. данъчната и митническата администрации продължиха да работят активно за повишаване на събираемостта на приходите - ключов елемент при изпълнението на заложените в бюджета разчети за годината, с оглед постигане на фискалните цели.</w:t>
      </w:r>
      <w:r w:rsidRPr="00B942DF">
        <w:rPr>
          <w:color w:val="000000"/>
        </w:rPr>
        <w:t xml:space="preserve"> Изпълнителният директор на НАП утвърди „Програма за спазване на законодателството и</w:t>
      </w:r>
      <w:r w:rsidRPr="00106A09">
        <w:rPr>
          <w:color w:val="000000"/>
        </w:rPr>
        <w:t xml:space="preserve"> намаляване нивата на риск за 2013 г.“, която включва действия за третиране на рискове в три приоритетни области – сивата икономика и укриването на обороти, неизпълнението на осигурителните задължения и рискове, свързани с определени икономически сектори. Агенция „Митници” работеше активно за засилване на контрола и проверките в зоните на ГКПП, предприеха се мерки за борбата срещу нарушенията с предмет тютюневи изделия и енергийни продукти, за по-добро използване на възможностите на мобилните екипи и мобилните групи, както и за извършване на ревизии и проверки и </w:t>
      </w:r>
      <w:r>
        <w:rPr>
          <w:color w:val="000000"/>
        </w:rPr>
        <w:t>др</w:t>
      </w:r>
      <w:r w:rsidRPr="00106A09">
        <w:rPr>
          <w:color w:val="000000"/>
        </w:rPr>
        <w:t>.</w:t>
      </w:r>
    </w:p>
    <w:p w:rsidR="000938C1" w:rsidRPr="0087396D" w:rsidRDefault="000938C1" w:rsidP="00DD3753"/>
    <w:p w:rsidR="000938C1" w:rsidRPr="00CF1A14" w:rsidRDefault="000938C1" w:rsidP="00DD3753">
      <w:pPr>
        <w:pStyle w:val="BodyText"/>
        <w:spacing w:after="40"/>
        <w:ind w:firstLine="720"/>
        <w:jc w:val="both"/>
        <w:rPr>
          <w:color w:val="0070C0"/>
          <w:sz w:val="4"/>
          <w:szCs w:val="4"/>
        </w:rPr>
      </w:pPr>
    </w:p>
    <w:p w:rsidR="000938C1" w:rsidRPr="008D0A74" w:rsidRDefault="000938C1" w:rsidP="00DD3753">
      <w:pPr>
        <w:pStyle w:val="BodyText"/>
        <w:spacing w:after="40"/>
        <w:ind w:firstLine="720"/>
        <w:jc w:val="both"/>
        <w:rPr>
          <w:b/>
          <w:u w:val="single"/>
        </w:rPr>
      </w:pPr>
      <w:r w:rsidRPr="008D0A74">
        <w:rPr>
          <w:b/>
          <w:u w:val="single"/>
        </w:rPr>
        <w:t>Мерки, предприети от НАП</w:t>
      </w:r>
    </w:p>
    <w:p w:rsidR="000938C1" w:rsidRPr="00CF1A14" w:rsidRDefault="000938C1" w:rsidP="00DD3753">
      <w:pPr>
        <w:pStyle w:val="BodyText"/>
        <w:spacing w:after="40"/>
        <w:ind w:firstLine="720"/>
        <w:jc w:val="both"/>
        <w:rPr>
          <w:b/>
          <w:color w:val="0070C0"/>
          <w:sz w:val="8"/>
          <w:szCs w:val="8"/>
          <w:u w:val="single"/>
        </w:rPr>
      </w:pPr>
    </w:p>
    <w:p w:rsidR="000938C1" w:rsidRPr="008D0A74" w:rsidRDefault="000938C1" w:rsidP="00DD3753">
      <w:pPr>
        <w:ind w:firstLine="708"/>
        <w:jc w:val="both"/>
      </w:pPr>
      <w:r w:rsidRPr="008D0A74">
        <w:rPr>
          <w:i/>
          <w:u w:val="single"/>
        </w:rPr>
        <w:t>Повишаване на събираемостта на просрочените задължения</w:t>
      </w:r>
    </w:p>
    <w:p w:rsidR="000938C1" w:rsidRPr="008A171C" w:rsidRDefault="000938C1" w:rsidP="00DD3753">
      <w:pPr>
        <w:ind w:firstLine="540"/>
        <w:jc w:val="both"/>
        <w:rPr>
          <w:b/>
          <w:u w:val="single"/>
          <w:lang w:val="ru-RU"/>
        </w:rPr>
      </w:pPr>
      <w:r w:rsidRPr="005B7CBA">
        <w:rPr>
          <w:bCs/>
        </w:rPr>
        <w:t xml:space="preserve">Повишаването на събираемостта на просрочените вземания, в т.ч. на непогасените в срок задължения за данъци и задължителни осигурителни вноски, е един от основните приоритети на </w:t>
      </w:r>
      <w:r>
        <w:rPr>
          <w:bCs/>
        </w:rPr>
        <w:t>НАП</w:t>
      </w:r>
      <w:r w:rsidRPr="005B7CBA">
        <w:rPr>
          <w:bCs/>
        </w:rPr>
        <w:t xml:space="preserve">. Всяка година се предприемат редица мерки, целящи  събиране на все по-голям процент просрочени вземания. </w:t>
      </w:r>
      <w:r w:rsidRPr="005B7CBA">
        <w:t>Ана</w:t>
      </w:r>
      <w:r w:rsidRPr="00943AF1">
        <w:t>лизът на данните за просрочените задължения за данъци и задължителни осигурителни вноски за 2012 г. и 2013 г. показва значително увеличение на задълженията</w:t>
      </w:r>
      <w:r w:rsidRPr="00DB28F8">
        <w:t>, които не се издължават в срока за доброволно плащане. Задълженията, чийто срок за доброволно плащане е изтекъл през 2013 г. и същите не са били платени своевременно, са с 570,3 млн. лв. повече от задълженията, просрочени през 2012 година. Близо 64</w:t>
      </w:r>
      <w:r>
        <w:rPr>
          <w:lang w:val="en-US"/>
        </w:rPr>
        <w:t xml:space="preserve"> </w:t>
      </w:r>
      <w:r w:rsidRPr="00DB28F8">
        <w:t>% от просрочените през 2013 г. нови задължения са платени в рамките на календарната година. Това е с 14,2</w:t>
      </w:r>
      <w:r>
        <w:t xml:space="preserve"> %</w:t>
      </w:r>
      <w:r w:rsidRPr="00DB28F8">
        <w:t xml:space="preserve"> повече от постигнатата събираемост на нововъзникнали</w:t>
      </w:r>
      <w:r>
        <w:t xml:space="preserve"> задължения</w:t>
      </w:r>
      <w:r w:rsidRPr="00DB28F8">
        <w:t xml:space="preserve"> през 2012</w:t>
      </w:r>
      <w:r>
        <w:t xml:space="preserve"> г. </w:t>
      </w:r>
      <w:r w:rsidRPr="00DB28F8">
        <w:t>Най-много плащания са постъпили за погасяване на нововъзникнали задължения по декларации по ЗДДС – 2</w:t>
      </w:r>
      <w:r>
        <w:t xml:space="preserve"> </w:t>
      </w:r>
      <w:r w:rsidRPr="00DB28F8">
        <w:t>108 мл</w:t>
      </w:r>
      <w:r>
        <w:t>н</w:t>
      </w:r>
      <w:r w:rsidRPr="00DB28F8">
        <w:t>. лева.</w:t>
      </w:r>
    </w:p>
    <w:p w:rsidR="000938C1" w:rsidRPr="00135BDE" w:rsidRDefault="000938C1" w:rsidP="00DD3753">
      <w:pPr>
        <w:ind w:firstLine="540"/>
        <w:jc w:val="both"/>
        <w:rPr>
          <w:bCs/>
        </w:rPr>
      </w:pPr>
      <w:r>
        <w:rPr>
          <w:bCs/>
          <w:lang w:val="ru-RU"/>
        </w:rPr>
        <w:t>През календарната 2013 г.</w:t>
      </w:r>
      <w:r w:rsidRPr="00135BDE">
        <w:rPr>
          <w:bCs/>
        </w:rPr>
        <w:t xml:space="preserve"> за погасяване на стари просрочени задължения са платени 981</w:t>
      </w:r>
      <w:r>
        <w:rPr>
          <w:bCs/>
        </w:rPr>
        <w:t>,3</w:t>
      </w:r>
      <w:r w:rsidRPr="00135BDE">
        <w:rPr>
          <w:bCs/>
        </w:rPr>
        <w:t xml:space="preserve"> млн. лв., което е с 263</w:t>
      </w:r>
      <w:r>
        <w:rPr>
          <w:bCs/>
        </w:rPr>
        <w:t>,9</w:t>
      </w:r>
      <w:r w:rsidRPr="00135BDE">
        <w:rPr>
          <w:bCs/>
        </w:rPr>
        <w:t xml:space="preserve"> млн.</w:t>
      </w:r>
      <w:r>
        <w:rPr>
          <w:bCs/>
        </w:rPr>
        <w:t xml:space="preserve"> </w:t>
      </w:r>
      <w:r w:rsidRPr="00135BDE">
        <w:rPr>
          <w:bCs/>
        </w:rPr>
        <w:t>лв. повече от платените през 2012 г. Постигната</w:t>
      </w:r>
      <w:r>
        <w:rPr>
          <w:bCs/>
        </w:rPr>
        <w:t>та</w:t>
      </w:r>
      <w:r w:rsidRPr="00135BDE">
        <w:rPr>
          <w:bCs/>
        </w:rPr>
        <w:t xml:space="preserve"> събираемост на задълженията, чийто срок за доброволно плащане е изтекъл в предишни години е повишена от 4</w:t>
      </w:r>
      <w:r>
        <w:rPr>
          <w:bCs/>
        </w:rPr>
        <w:t>,</w:t>
      </w:r>
      <w:r w:rsidRPr="00135BDE">
        <w:rPr>
          <w:bCs/>
        </w:rPr>
        <w:t>42</w:t>
      </w:r>
      <w:r>
        <w:rPr>
          <w:bCs/>
        </w:rPr>
        <w:t xml:space="preserve"> </w:t>
      </w:r>
      <w:r w:rsidRPr="00135BDE">
        <w:rPr>
          <w:bCs/>
        </w:rPr>
        <w:t>% на 5</w:t>
      </w:r>
      <w:r>
        <w:rPr>
          <w:bCs/>
        </w:rPr>
        <w:t>,</w:t>
      </w:r>
      <w:r w:rsidRPr="00135BDE">
        <w:rPr>
          <w:bCs/>
        </w:rPr>
        <w:t>25</w:t>
      </w:r>
      <w:r>
        <w:rPr>
          <w:bCs/>
        </w:rPr>
        <w:t xml:space="preserve"> </w:t>
      </w:r>
      <w:r w:rsidRPr="00135BDE">
        <w:rPr>
          <w:bCs/>
        </w:rPr>
        <w:t>%.</w:t>
      </w:r>
      <w:r>
        <w:rPr>
          <w:bCs/>
          <w:lang w:val="en-US"/>
        </w:rPr>
        <w:t xml:space="preserve"> </w:t>
      </w:r>
      <w:r w:rsidRPr="00135BDE">
        <w:rPr>
          <w:bCs/>
        </w:rPr>
        <w:t xml:space="preserve">В резултат на повишената събираемост, салдото на непогасените задължения за данъци и задължителни осигурителни вноски през 2013 г. се е увеличило </w:t>
      </w:r>
      <w:r>
        <w:rPr>
          <w:bCs/>
        </w:rPr>
        <w:t xml:space="preserve">с </w:t>
      </w:r>
      <w:r w:rsidRPr="00135BDE">
        <w:rPr>
          <w:bCs/>
        </w:rPr>
        <w:t>8</w:t>
      </w:r>
      <w:r>
        <w:rPr>
          <w:bCs/>
        </w:rPr>
        <w:t xml:space="preserve"> </w:t>
      </w:r>
      <w:r w:rsidRPr="00135BDE">
        <w:rPr>
          <w:bCs/>
        </w:rPr>
        <w:t>%, при 13</w:t>
      </w:r>
      <w:r>
        <w:rPr>
          <w:bCs/>
        </w:rPr>
        <w:t xml:space="preserve"> </w:t>
      </w:r>
      <w:r w:rsidRPr="00135BDE">
        <w:rPr>
          <w:bCs/>
        </w:rPr>
        <w:t>% увеличение на салдото през 2012 г. и 17</w:t>
      </w:r>
      <w:r>
        <w:rPr>
          <w:bCs/>
        </w:rPr>
        <w:t xml:space="preserve"> </w:t>
      </w:r>
      <w:r w:rsidRPr="00135BDE">
        <w:rPr>
          <w:bCs/>
        </w:rPr>
        <w:t>% увеличение на салдото през 2011 година.</w:t>
      </w:r>
    </w:p>
    <w:p w:rsidR="000938C1" w:rsidRPr="00135BDE" w:rsidRDefault="000938C1" w:rsidP="00DD3753">
      <w:pPr>
        <w:shd w:val="clear" w:color="auto" w:fill="FFFFFF"/>
        <w:ind w:firstLine="540"/>
        <w:jc w:val="both"/>
        <w:rPr>
          <w:bCs/>
        </w:rPr>
      </w:pPr>
      <w:r w:rsidRPr="00135BDE">
        <w:rPr>
          <w:bCs/>
        </w:rPr>
        <w:t xml:space="preserve">Като цяло се запазва структурата на </w:t>
      </w:r>
      <w:r>
        <w:rPr>
          <w:bCs/>
        </w:rPr>
        <w:t>задълженията</w:t>
      </w:r>
      <w:r w:rsidRPr="00135BDE">
        <w:rPr>
          <w:bCs/>
        </w:rPr>
        <w:t xml:space="preserve"> от гледна точка на вида на изпълнителното основание, вида на задължението и в зависимост от класификацията на дълга. Намаление се наблюдава при </w:t>
      </w:r>
      <w:r>
        <w:rPr>
          <w:bCs/>
        </w:rPr>
        <w:t>задълженията</w:t>
      </w:r>
      <w:r w:rsidRPr="00135BDE">
        <w:rPr>
          <w:bCs/>
        </w:rPr>
        <w:t xml:space="preserve"> на дълга по ревизионни актове за сметка на увеличение на непогасени</w:t>
      </w:r>
      <w:r>
        <w:rPr>
          <w:bCs/>
        </w:rPr>
        <w:t>те</w:t>
      </w:r>
      <w:r w:rsidRPr="00135BDE">
        <w:rPr>
          <w:bCs/>
        </w:rPr>
        <w:t xml:space="preserve"> деклариран</w:t>
      </w:r>
      <w:r>
        <w:rPr>
          <w:bCs/>
        </w:rPr>
        <w:t>и задължения</w:t>
      </w:r>
      <w:r w:rsidRPr="00135BDE">
        <w:rPr>
          <w:bCs/>
        </w:rPr>
        <w:t xml:space="preserve"> (с около 2</w:t>
      </w:r>
      <w:r>
        <w:rPr>
          <w:bCs/>
        </w:rPr>
        <w:t xml:space="preserve"> процентни </w:t>
      </w:r>
      <w:r w:rsidRPr="00135BDE">
        <w:rPr>
          <w:bCs/>
        </w:rPr>
        <w:t>п</w:t>
      </w:r>
      <w:r>
        <w:rPr>
          <w:bCs/>
        </w:rPr>
        <w:t>ункта</w:t>
      </w:r>
      <w:r w:rsidRPr="00135BDE">
        <w:rPr>
          <w:bCs/>
        </w:rPr>
        <w:t>) и на непогасените просрочени задължения по ЗДДС, за сметка на непогасените просрочени задължения за задължителни осигурителни вноски (с около 1</w:t>
      </w:r>
      <w:r>
        <w:rPr>
          <w:bCs/>
        </w:rPr>
        <w:t xml:space="preserve"> процентен пункт</w:t>
      </w:r>
      <w:r w:rsidRPr="00135BDE">
        <w:rPr>
          <w:bCs/>
        </w:rPr>
        <w:t>).</w:t>
      </w:r>
    </w:p>
    <w:p w:rsidR="000938C1" w:rsidRPr="00135BDE" w:rsidRDefault="000938C1" w:rsidP="00DD3753">
      <w:pPr>
        <w:ind w:firstLine="540"/>
        <w:jc w:val="both"/>
        <w:rPr>
          <w:bCs/>
        </w:rPr>
      </w:pPr>
      <w:r w:rsidRPr="00135BDE">
        <w:rPr>
          <w:bCs/>
        </w:rPr>
        <w:t>Внедрената единна сметка за плащане на данъци и осигуровки от задължените лица при работата на Национална</w:t>
      </w:r>
      <w:r>
        <w:rPr>
          <w:bCs/>
        </w:rPr>
        <w:t>та</w:t>
      </w:r>
      <w:r w:rsidRPr="00135BDE">
        <w:rPr>
          <w:bCs/>
        </w:rPr>
        <w:t xml:space="preserve"> агенция за приходите повлиява размера на салдото за отделните минали години през 2013</w:t>
      </w:r>
      <w:r w:rsidRPr="00187783">
        <w:rPr>
          <w:bCs/>
          <w:lang w:val="en-US"/>
        </w:rPr>
        <w:t xml:space="preserve"> </w:t>
      </w:r>
      <w:r w:rsidRPr="00135BDE">
        <w:rPr>
          <w:bCs/>
        </w:rPr>
        <w:t>г. в сравнение с предходната 2012</w:t>
      </w:r>
      <w:r w:rsidRPr="00187783">
        <w:rPr>
          <w:bCs/>
          <w:lang w:val="en-US"/>
        </w:rPr>
        <w:t xml:space="preserve"> </w:t>
      </w:r>
      <w:r w:rsidRPr="00135BDE">
        <w:rPr>
          <w:bCs/>
        </w:rPr>
        <w:t>г. За периода от 2007</w:t>
      </w:r>
      <w:r w:rsidRPr="00187783">
        <w:rPr>
          <w:bCs/>
          <w:lang w:val="en-US"/>
        </w:rPr>
        <w:t xml:space="preserve"> </w:t>
      </w:r>
      <w:r>
        <w:rPr>
          <w:bCs/>
        </w:rPr>
        <w:t>г.</w:t>
      </w:r>
      <w:r w:rsidRPr="00135BDE">
        <w:rPr>
          <w:bCs/>
        </w:rPr>
        <w:t xml:space="preserve"> до 2012</w:t>
      </w:r>
      <w:r w:rsidRPr="00187783">
        <w:rPr>
          <w:bCs/>
          <w:lang w:val="en-US"/>
        </w:rPr>
        <w:t xml:space="preserve"> </w:t>
      </w:r>
      <w:r w:rsidRPr="00135BDE">
        <w:rPr>
          <w:bCs/>
        </w:rPr>
        <w:t>г. е налице намаление на салдата, което като краен резултат съкращава общото увеличение на неиздължените просрочени задължения за 2013</w:t>
      </w:r>
      <w:r w:rsidRPr="00187783">
        <w:rPr>
          <w:bCs/>
          <w:lang w:val="en-US"/>
        </w:rPr>
        <w:t xml:space="preserve"> </w:t>
      </w:r>
      <w:r w:rsidRPr="00135BDE">
        <w:rPr>
          <w:bCs/>
        </w:rPr>
        <w:t>г. от 2 677,7 млн.</w:t>
      </w:r>
      <w:r>
        <w:rPr>
          <w:bCs/>
          <w:lang w:val="en-US"/>
        </w:rPr>
        <w:t xml:space="preserve"> </w:t>
      </w:r>
      <w:r w:rsidRPr="00135BDE">
        <w:rPr>
          <w:bCs/>
        </w:rPr>
        <w:t>лв. до 1</w:t>
      </w:r>
      <w:r>
        <w:rPr>
          <w:bCs/>
        </w:rPr>
        <w:t> </w:t>
      </w:r>
      <w:r w:rsidRPr="00135BDE">
        <w:rPr>
          <w:bCs/>
        </w:rPr>
        <w:t>444</w:t>
      </w:r>
      <w:r>
        <w:rPr>
          <w:bCs/>
        </w:rPr>
        <w:t>,0</w:t>
      </w:r>
      <w:r w:rsidRPr="00135BDE">
        <w:rPr>
          <w:bCs/>
        </w:rPr>
        <w:t xml:space="preserve"> млн.</w:t>
      </w:r>
      <w:r w:rsidRPr="00187783">
        <w:rPr>
          <w:bCs/>
          <w:lang w:val="en-US"/>
        </w:rPr>
        <w:t xml:space="preserve"> </w:t>
      </w:r>
      <w:r w:rsidRPr="00135BDE">
        <w:rPr>
          <w:bCs/>
        </w:rPr>
        <w:t>л</w:t>
      </w:r>
      <w:r>
        <w:rPr>
          <w:bCs/>
        </w:rPr>
        <w:t>е</w:t>
      </w:r>
      <w:r w:rsidRPr="00135BDE">
        <w:rPr>
          <w:bCs/>
        </w:rPr>
        <w:t>в</w:t>
      </w:r>
      <w:r>
        <w:rPr>
          <w:bCs/>
        </w:rPr>
        <w:t>а</w:t>
      </w:r>
      <w:r w:rsidRPr="00135BDE">
        <w:rPr>
          <w:bCs/>
        </w:rPr>
        <w:t xml:space="preserve">. Данните, които илюстрират конкретни резултати от протичащите процеси са представени в </w:t>
      </w:r>
      <w:r>
        <w:rPr>
          <w:bCs/>
        </w:rPr>
        <w:t>следващата таблица:</w:t>
      </w:r>
    </w:p>
    <w:p w:rsidR="000938C1" w:rsidRPr="00135BDE" w:rsidRDefault="000938C1" w:rsidP="00DD3753">
      <w:pPr>
        <w:jc w:val="both"/>
        <w:rPr>
          <w:bCs/>
        </w:rPr>
      </w:pPr>
    </w:p>
    <w:tbl>
      <w:tblPr>
        <w:tblpPr w:leftFromText="180" w:rightFromText="180" w:vertAnchor="text" w:tblpX="1150" w:tblpY="1"/>
        <w:tblOverlap w:val="never"/>
        <w:tblW w:w="7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21"/>
        <w:gridCol w:w="1417"/>
        <w:gridCol w:w="3003"/>
        <w:gridCol w:w="2410"/>
      </w:tblGrid>
      <w:tr w:rsidR="000938C1" w:rsidRPr="00E126DB" w:rsidTr="00E126DB">
        <w:trPr>
          <w:trHeight w:val="300"/>
        </w:trPr>
        <w:tc>
          <w:tcPr>
            <w:tcW w:w="921" w:type="dxa"/>
            <w:vMerge w:val="restart"/>
            <w:shd w:val="clear" w:color="000000" w:fill="F3F7FC"/>
            <w:vAlign w:val="center"/>
          </w:tcPr>
          <w:p w:rsidR="000938C1" w:rsidRPr="00E126DB" w:rsidRDefault="000938C1" w:rsidP="00DC30BE">
            <w:pPr>
              <w:jc w:val="center"/>
              <w:rPr>
                <w:sz w:val="20"/>
                <w:szCs w:val="20"/>
              </w:rPr>
            </w:pPr>
            <w:r w:rsidRPr="00E126DB">
              <w:rPr>
                <w:sz w:val="20"/>
                <w:szCs w:val="20"/>
              </w:rPr>
              <w:t>№ по ред</w:t>
            </w:r>
          </w:p>
        </w:tc>
        <w:tc>
          <w:tcPr>
            <w:tcW w:w="1417" w:type="dxa"/>
            <w:vMerge w:val="restart"/>
            <w:shd w:val="clear" w:color="000000" w:fill="F3F7FC"/>
            <w:vAlign w:val="center"/>
          </w:tcPr>
          <w:p w:rsidR="000938C1" w:rsidRPr="00E126DB" w:rsidRDefault="000938C1" w:rsidP="00DC30BE">
            <w:pPr>
              <w:jc w:val="center"/>
              <w:rPr>
                <w:sz w:val="20"/>
                <w:szCs w:val="20"/>
              </w:rPr>
            </w:pPr>
            <w:r w:rsidRPr="00E126DB">
              <w:rPr>
                <w:sz w:val="20"/>
                <w:szCs w:val="20"/>
              </w:rPr>
              <w:t>Период на поява на просрочените задължения</w:t>
            </w:r>
          </w:p>
        </w:tc>
        <w:tc>
          <w:tcPr>
            <w:tcW w:w="3003" w:type="dxa"/>
            <w:vMerge w:val="restart"/>
            <w:shd w:val="clear" w:color="000000" w:fill="F3F7FC"/>
            <w:vAlign w:val="center"/>
          </w:tcPr>
          <w:p w:rsidR="000938C1" w:rsidRPr="00E126DB" w:rsidRDefault="000938C1" w:rsidP="00DC30BE">
            <w:pPr>
              <w:jc w:val="center"/>
              <w:rPr>
                <w:sz w:val="20"/>
                <w:szCs w:val="20"/>
              </w:rPr>
            </w:pPr>
            <w:r w:rsidRPr="00E126DB">
              <w:rPr>
                <w:sz w:val="20"/>
                <w:szCs w:val="20"/>
              </w:rPr>
              <w:t>Общ размер на изменението</w:t>
            </w:r>
          </w:p>
          <w:p w:rsidR="000938C1" w:rsidRPr="00E126DB" w:rsidRDefault="000938C1" w:rsidP="00DC30BE">
            <w:pPr>
              <w:jc w:val="center"/>
              <w:rPr>
                <w:sz w:val="20"/>
                <w:szCs w:val="20"/>
              </w:rPr>
            </w:pPr>
            <w:r w:rsidRPr="00E126DB">
              <w:rPr>
                <w:sz w:val="20"/>
                <w:szCs w:val="20"/>
              </w:rPr>
              <w:t>в салдото на просрочените задължения към 31.12.2013 г.</w:t>
            </w:r>
          </w:p>
          <w:p w:rsidR="000938C1" w:rsidRPr="00E126DB" w:rsidRDefault="000938C1" w:rsidP="00DC30BE">
            <w:pPr>
              <w:jc w:val="center"/>
              <w:rPr>
                <w:sz w:val="20"/>
                <w:szCs w:val="20"/>
              </w:rPr>
            </w:pPr>
            <w:r w:rsidRPr="00E126DB">
              <w:rPr>
                <w:sz w:val="20"/>
                <w:szCs w:val="20"/>
              </w:rPr>
              <w:t>спрямо</w:t>
            </w:r>
          </w:p>
          <w:p w:rsidR="000938C1" w:rsidRPr="00E126DB" w:rsidRDefault="000938C1" w:rsidP="00DC30BE">
            <w:pPr>
              <w:jc w:val="center"/>
              <w:rPr>
                <w:sz w:val="20"/>
                <w:szCs w:val="20"/>
              </w:rPr>
            </w:pPr>
            <w:r w:rsidRPr="00E126DB">
              <w:rPr>
                <w:sz w:val="20"/>
                <w:szCs w:val="20"/>
              </w:rPr>
              <w:t>31.12.2012 г.</w:t>
            </w:r>
          </w:p>
        </w:tc>
        <w:tc>
          <w:tcPr>
            <w:tcW w:w="2410" w:type="dxa"/>
            <w:vMerge w:val="restart"/>
            <w:shd w:val="clear" w:color="000000" w:fill="F3F7FC"/>
            <w:vAlign w:val="center"/>
          </w:tcPr>
          <w:p w:rsidR="000938C1" w:rsidRPr="00E126DB" w:rsidRDefault="000938C1" w:rsidP="00DC30BE">
            <w:pPr>
              <w:jc w:val="center"/>
              <w:rPr>
                <w:sz w:val="20"/>
                <w:szCs w:val="20"/>
              </w:rPr>
            </w:pPr>
            <w:r w:rsidRPr="00E126DB">
              <w:rPr>
                <w:sz w:val="20"/>
                <w:szCs w:val="20"/>
              </w:rPr>
              <w:t>Дял от изменението</w:t>
            </w:r>
          </w:p>
          <w:p w:rsidR="000938C1" w:rsidRPr="00E126DB" w:rsidRDefault="000938C1" w:rsidP="00DC30BE">
            <w:pPr>
              <w:jc w:val="center"/>
              <w:rPr>
                <w:sz w:val="20"/>
                <w:szCs w:val="20"/>
              </w:rPr>
            </w:pPr>
            <w:r w:rsidRPr="00E126DB">
              <w:rPr>
                <w:sz w:val="20"/>
                <w:szCs w:val="20"/>
              </w:rPr>
              <w:t>на общия размер</w:t>
            </w:r>
          </w:p>
        </w:tc>
      </w:tr>
      <w:tr w:rsidR="000938C1" w:rsidRPr="00E126DB" w:rsidTr="00E126DB">
        <w:trPr>
          <w:trHeight w:val="1350"/>
        </w:trPr>
        <w:tc>
          <w:tcPr>
            <w:tcW w:w="921" w:type="dxa"/>
            <w:vMerge/>
            <w:vAlign w:val="center"/>
          </w:tcPr>
          <w:p w:rsidR="000938C1" w:rsidRPr="00E126DB" w:rsidRDefault="000938C1" w:rsidP="00DC30BE">
            <w:pPr>
              <w:rPr>
                <w:sz w:val="20"/>
                <w:szCs w:val="20"/>
              </w:rPr>
            </w:pPr>
          </w:p>
        </w:tc>
        <w:tc>
          <w:tcPr>
            <w:tcW w:w="1417" w:type="dxa"/>
            <w:vMerge/>
            <w:vAlign w:val="center"/>
          </w:tcPr>
          <w:p w:rsidR="000938C1" w:rsidRPr="00E126DB" w:rsidRDefault="000938C1" w:rsidP="00DC30BE">
            <w:pPr>
              <w:rPr>
                <w:sz w:val="20"/>
                <w:szCs w:val="20"/>
              </w:rPr>
            </w:pPr>
          </w:p>
        </w:tc>
        <w:tc>
          <w:tcPr>
            <w:tcW w:w="3003" w:type="dxa"/>
            <w:vMerge/>
            <w:vAlign w:val="center"/>
          </w:tcPr>
          <w:p w:rsidR="000938C1" w:rsidRPr="00E126DB" w:rsidRDefault="000938C1" w:rsidP="00DC30BE">
            <w:pPr>
              <w:rPr>
                <w:sz w:val="20"/>
                <w:szCs w:val="20"/>
              </w:rPr>
            </w:pPr>
          </w:p>
        </w:tc>
        <w:tc>
          <w:tcPr>
            <w:tcW w:w="2410" w:type="dxa"/>
            <w:vMerge/>
            <w:vAlign w:val="center"/>
          </w:tcPr>
          <w:p w:rsidR="000938C1" w:rsidRPr="00E126DB" w:rsidRDefault="000938C1" w:rsidP="00DC30BE">
            <w:pPr>
              <w:rPr>
                <w:sz w:val="20"/>
                <w:szCs w:val="20"/>
              </w:rPr>
            </w:pPr>
          </w:p>
        </w:tc>
      </w:tr>
      <w:tr w:rsidR="000938C1" w:rsidRPr="00E126DB" w:rsidTr="00E126DB">
        <w:trPr>
          <w:trHeight w:val="300"/>
        </w:trPr>
        <w:tc>
          <w:tcPr>
            <w:tcW w:w="921" w:type="dxa"/>
            <w:shd w:val="clear" w:color="000000" w:fill="F3F7FC"/>
            <w:noWrap/>
            <w:vAlign w:val="center"/>
          </w:tcPr>
          <w:p w:rsidR="000938C1" w:rsidRPr="00E126DB" w:rsidRDefault="000938C1" w:rsidP="00DC30BE">
            <w:pPr>
              <w:rPr>
                <w:sz w:val="20"/>
                <w:szCs w:val="20"/>
              </w:rPr>
            </w:pPr>
            <w:r w:rsidRPr="00E126DB">
              <w:rPr>
                <w:sz w:val="20"/>
                <w:szCs w:val="20"/>
              </w:rPr>
              <w:t> </w:t>
            </w:r>
          </w:p>
        </w:tc>
        <w:tc>
          <w:tcPr>
            <w:tcW w:w="1417" w:type="dxa"/>
            <w:shd w:val="clear" w:color="000000" w:fill="F3F7FC"/>
            <w:noWrap/>
            <w:vAlign w:val="center"/>
          </w:tcPr>
          <w:p w:rsidR="000938C1" w:rsidRPr="00E126DB" w:rsidRDefault="000938C1" w:rsidP="00DC30BE">
            <w:pPr>
              <w:rPr>
                <w:b/>
                <w:bCs/>
                <w:sz w:val="20"/>
                <w:szCs w:val="20"/>
              </w:rPr>
            </w:pPr>
            <w:r w:rsidRPr="00E126DB">
              <w:rPr>
                <w:b/>
                <w:bCs/>
                <w:sz w:val="20"/>
                <w:szCs w:val="20"/>
              </w:rPr>
              <w:t>Общо</w:t>
            </w:r>
          </w:p>
        </w:tc>
        <w:tc>
          <w:tcPr>
            <w:tcW w:w="3003" w:type="dxa"/>
            <w:shd w:val="clear" w:color="000000" w:fill="FFFFFF"/>
            <w:vAlign w:val="center"/>
          </w:tcPr>
          <w:p w:rsidR="000938C1" w:rsidRPr="00E126DB" w:rsidRDefault="000938C1" w:rsidP="00DC30BE">
            <w:pPr>
              <w:jc w:val="right"/>
              <w:rPr>
                <w:b/>
                <w:bCs/>
                <w:sz w:val="20"/>
                <w:szCs w:val="20"/>
              </w:rPr>
            </w:pPr>
            <w:r w:rsidRPr="00E126DB">
              <w:rPr>
                <w:b/>
                <w:bCs/>
                <w:sz w:val="20"/>
                <w:szCs w:val="20"/>
              </w:rPr>
              <w:t>1 444,0</w:t>
            </w:r>
          </w:p>
        </w:tc>
        <w:tc>
          <w:tcPr>
            <w:tcW w:w="2410" w:type="dxa"/>
            <w:shd w:val="clear" w:color="000000" w:fill="F3F7FC"/>
            <w:noWrap/>
            <w:vAlign w:val="center"/>
          </w:tcPr>
          <w:p w:rsidR="000938C1" w:rsidRPr="00E126DB" w:rsidRDefault="000938C1" w:rsidP="00DC30BE">
            <w:pPr>
              <w:rPr>
                <w:sz w:val="20"/>
                <w:szCs w:val="20"/>
              </w:rPr>
            </w:pPr>
            <w:r w:rsidRPr="00E126DB">
              <w:rPr>
                <w:sz w:val="20"/>
                <w:szCs w:val="20"/>
              </w:rPr>
              <w:t> </w:t>
            </w: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1</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2013</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2 677,7</w:t>
            </w:r>
          </w:p>
        </w:tc>
        <w:tc>
          <w:tcPr>
            <w:tcW w:w="2410" w:type="dxa"/>
            <w:shd w:val="clear" w:color="000000" w:fill="F3F7FC"/>
            <w:noWrap/>
            <w:vAlign w:val="bottom"/>
          </w:tcPr>
          <w:p w:rsidR="000938C1" w:rsidRPr="00E126DB" w:rsidRDefault="000938C1" w:rsidP="00DC30BE">
            <w:pPr>
              <w:jc w:val="right"/>
              <w:rPr>
                <w:sz w:val="20"/>
                <w:szCs w:val="20"/>
              </w:rPr>
            </w:pP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2</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2012</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-462,6</w:t>
            </w:r>
          </w:p>
        </w:tc>
        <w:tc>
          <w:tcPr>
            <w:tcW w:w="2410" w:type="dxa"/>
            <w:shd w:val="clear" w:color="000000" w:fill="F3F7FC"/>
            <w:noWrap/>
            <w:vAlign w:val="bottom"/>
          </w:tcPr>
          <w:p w:rsidR="000938C1" w:rsidRPr="00E126DB" w:rsidRDefault="000938C1" w:rsidP="00DC30BE">
            <w:pPr>
              <w:jc w:val="right"/>
              <w:rPr>
                <w:sz w:val="20"/>
                <w:szCs w:val="20"/>
              </w:rPr>
            </w:pPr>
            <w:r w:rsidRPr="00E126DB">
              <w:rPr>
                <w:sz w:val="20"/>
                <w:szCs w:val="20"/>
              </w:rPr>
              <w:t>-32,03%</w:t>
            </w: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3</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2011</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-121,5</w:t>
            </w:r>
          </w:p>
        </w:tc>
        <w:tc>
          <w:tcPr>
            <w:tcW w:w="2410" w:type="dxa"/>
            <w:shd w:val="clear" w:color="000000" w:fill="F3F7FC"/>
            <w:noWrap/>
            <w:vAlign w:val="bottom"/>
          </w:tcPr>
          <w:p w:rsidR="000938C1" w:rsidRPr="00E126DB" w:rsidRDefault="000938C1" w:rsidP="00DC30BE">
            <w:pPr>
              <w:jc w:val="right"/>
              <w:rPr>
                <w:sz w:val="20"/>
                <w:szCs w:val="20"/>
              </w:rPr>
            </w:pPr>
            <w:r w:rsidRPr="00E126DB">
              <w:rPr>
                <w:sz w:val="20"/>
                <w:szCs w:val="20"/>
              </w:rPr>
              <w:t>-8,42%</w:t>
            </w: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4</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2010</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-115,8</w:t>
            </w:r>
          </w:p>
        </w:tc>
        <w:tc>
          <w:tcPr>
            <w:tcW w:w="2410" w:type="dxa"/>
            <w:shd w:val="clear" w:color="000000" w:fill="F3F7FC"/>
            <w:noWrap/>
            <w:vAlign w:val="bottom"/>
          </w:tcPr>
          <w:p w:rsidR="000938C1" w:rsidRPr="00E126DB" w:rsidRDefault="000938C1" w:rsidP="00DC30BE">
            <w:pPr>
              <w:jc w:val="right"/>
              <w:rPr>
                <w:sz w:val="20"/>
                <w:szCs w:val="20"/>
              </w:rPr>
            </w:pPr>
            <w:r w:rsidRPr="00E126DB">
              <w:rPr>
                <w:sz w:val="20"/>
                <w:szCs w:val="20"/>
              </w:rPr>
              <w:t>-8,02%</w:t>
            </w: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5</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2009</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-62,9</w:t>
            </w:r>
          </w:p>
        </w:tc>
        <w:tc>
          <w:tcPr>
            <w:tcW w:w="2410" w:type="dxa"/>
            <w:shd w:val="clear" w:color="000000" w:fill="F3F7FC"/>
            <w:noWrap/>
            <w:vAlign w:val="bottom"/>
          </w:tcPr>
          <w:p w:rsidR="000938C1" w:rsidRPr="00E126DB" w:rsidRDefault="000938C1" w:rsidP="00DC30BE">
            <w:pPr>
              <w:jc w:val="right"/>
              <w:rPr>
                <w:sz w:val="20"/>
                <w:szCs w:val="20"/>
              </w:rPr>
            </w:pPr>
            <w:r w:rsidRPr="00E126DB">
              <w:rPr>
                <w:sz w:val="20"/>
                <w:szCs w:val="20"/>
              </w:rPr>
              <w:t>-4,35%</w:t>
            </w: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6</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2008</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-77,8</w:t>
            </w:r>
          </w:p>
        </w:tc>
        <w:tc>
          <w:tcPr>
            <w:tcW w:w="2410" w:type="dxa"/>
            <w:shd w:val="clear" w:color="000000" w:fill="F3F7FC"/>
            <w:noWrap/>
            <w:vAlign w:val="bottom"/>
          </w:tcPr>
          <w:p w:rsidR="000938C1" w:rsidRPr="00E126DB" w:rsidRDefault="000938C1" w:rsidP="00DC30BE">
            <w:pPr>
              <w:jc w:val="right"/>
              <w:rPr>
                <w:sz w:val="20"/>
                <w:szCs w:val="20"/>
              </w:rPr>
            </w:pPr>
            <w:r w:rsidRPr="00E126DB">
              <w:rPr>
                <w:sz w:val="20"/>
                <w:szCs w:val="20"/>
              </w:rPr>
              <w:t>-5,39%</w:t>
            </w: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7</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2007</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-35,0</w:t>
            </w:r>
          </w:p>
        </w:tc>
        <w:tc>
          <w:tcPr>
            <w:tcW w:w="2410" w:type="dxa"/>
            <w:shd w:val="clear" w:color="000000" w:fill="F3F7FC"/>
            <w:noWrap/>
            <w:vAlign w:val="bottom"/>
          </w:tcPr>
          <w:p w:rsidR="000938C1" w:rsidRPr="00E126DB" w:rsidRDefault="000938C1" w:rsidP="00DC30BE">
            <w:pPr>
              <w:jc w:val="right"/>
              <w:rPr>
                <w:sz w:val="20"/>
                <w:szCs w:val="20"/>
              </w:rPr>
            </w:pPr>
            <w:r w:rsidRPr="00E126DB">
              <w:rPr>
                <w:sz w:val="20"/>
                <w:szCs w:val="20"/>
              </w:rPr>
              <w:t>-2,43%</w:t>
            </w: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8</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2006</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20,5</w:t>
            </w:r>
          </w:p>
        </w:tc>
        <w:tc>
          <w:tcPr>
            <w:tcW w:w="2410" w:type="dxa"/>
            <w:shd w:val="clear" w:color="000000" w:fill="F3F7FC"/>
            <w:noWrap/>
            <w:vAlign w:val="bottom"/>
          </w:tcPr>
          <w:p w:rsidR="000938C1" w:rsidRPr="00E126DB" w:rsidRDefault="000938C1" w:rsidP="00DC30BE">
            <w:pPr>
              <w:jc w:val="right"/>
              <w:rPr>
                <w:sz w:val="20"/>
                <w:szCs w:val="20"/>
              </w:rPr>
            </w:pPr>
            <w:r w:rsidRPr="00E126DB">
              <w:rPr>
                <w:sz w:val="20"/>
                <w:szCs w:val="20"/>
              </w:rPr>
              <w:t>1,42%</w:t>
            </w:r>
          </w:p>
        </w:tc>
      </w:tr>
      <w:tr w:rsidR="000938C1" w:rsidRPr="00E126DB" w:rsidTr="00E126DB">
        <w:trPr>
          <w:trHeight w:val="300"/>
        </w:trPr>
        <w:tc>
          <w:tcPr>
            <w:tcW w:w="921" w:type="dxa"/>
            <w:shd w:val="clear" w:color="000000" w:fill="F3F7FC"/>
            <w:noWrap/>
            <w:vAlign w:val="bottom"/>
          </w:tcPr>
          <w:p w:rsidR="000938C1" w:rsidRPr="00E126DB" w:rsidRDefault="000938C1" w:rsidP="00DC30BE">
            <w:pPr>
              <w:jc w:val="right"/>
              <w:rPr>
                <w:sz w:val="20"/>
                <w:szCs w:val="20"/>
              </w:rPr>
            </w:pPr>
            <w:r w:rsidRPr="00E126DB">
              <w:rPr>
                <w:sz w:val="20"/>
                <w:szCs w:val="20"/>
              </w:rPr>
              <w:t>9</w:t>
            </w:r>
          </w:p>
        </w:tc>
        <w:tc>
          <w:tcPr>
            <w:tcW w:w="1417" w:type="dxa"/>
            <w:shd w:val="clear" w:color="000000" w:fill="F3F7FC"/>
            <w:noWrap/>
            <w:vAlign w:val="bottom"/>
          </w:tcPr>
          <w:p w:rsidR="000938C1" w:rsidRPr="00E126DB" w:rsidRDefault="000938C1" w:rsidP="00673D4D">
            <w:pPr>
              <w:jc w:val="center"/>
              <w:rPr>
                <w:sz w:val="20"/>
                <w:szCs w:val="20"/>
              </w:rPr>
            </w:pPr>
            <w:r w:rsidRPr="00E126DB">
              <w:rPr>
                <w:sz w:val="20"/>
                <w:szCs w:val="20"/>
              </w:rPr>
              <w:t>До 2006</w:t>
            </w:r>
          </w:p>
        </w:tc>
        <w:tc>
          <w:tcPr>
            <w:tcW w:w="3003" w:type="dxa"/>
            <w:shd w:val="clear" w:color="000000" w:fill="F3F7FC"/>
            <w:noWrap/>
            <w:vAlign w:val="bottom"/>
          </w:tcPr>
          <w:p w:rsidR="000938C1" w:rsidRPr="00E126DB" w:rsidRDefault="000938C1" w:rsidP="00DC30BE">
            <w:pPr>
              <w:jc w:val="right"/>
              <w:rPr>
                <w:sz w:val="20"/>
                <w:szCs w:val="20"/>
              </w:rPr>
            </w:pPr>
            <w:r w:rsidRPr="00E126DB">
              <w:rPr>
                <w:sz w:val="20"/>
                <w:szCs w:val="20"/>
              </w:rPr>
              <w:t>-378,6</w:t>
            </w:r>
          </w:p>
        </w:tc>
        <w:tc>
          <w:tcPr>
            <w:tcW w:w="2410" w:type="dxa"/>
            <w:shd w:val="clear" w:color="000000" w:fill="F3F7FC"/>
            <w:noWrap/>
            <w:vAlign w:val="bottom"/>
          </w:tcPr>
          <w:p w:rsidR="000938C1" w:rsidRPr="00E126DB" w:rsidRDefault="000938C1" w:rsidP="00DC30BE">
            <w:pPr>
              <w:jc w:val="right"/>
              <w:rPr>
                <w:sz w:val="20"/>
                <w:szCs w:val="20"/>
              </w:rPr>
            </w:pPr>
            <w:r w:rsidRPr="00E126DB">
              <w:rPr>
                <w:sz w:val="20"/>
                <w:szCs w:val="20"/>
              </w:rPr>
              <w:t>-26,22%</w:t>
            </w:r>
          </w:p>
        </w:tc>
      </w:tr>
    </w:tbl>
    <w:p w:rsidR="000938C1" w:rsidRDefault="000938C1" w:rsidP="00DD3753">
      <w:pPr>
        <w:pStyle w:val="BodyText"/>
        <w:spacing w:after="40"/>
        <w:ind w:firstLine="540"/>
        <w:jc w:val="both"/>
        <w:rPr>
          <w:b/>
          <w:u w:val="single"/>
          <w:lang w:val="en-US"/>
        </w:rPr>
      </w:pPr>
      <w:r>
        <w:rPr>
          <w:b/>
          <w:u w:val="single"/>
          <w:lang w:val="en-US"/>
        </w:rPr>
        <w:br w:type="textWrapping" w:clear="all"/>
      </w:r>
    </w:p>
    <w:p w:rsidR="000938C1" w:rsidRPr="006A5BBA" w:rsidRDefault="000938C1" w:rsidP="007D5E67">
      <w:pPr>
        <w:spacing w:after="120"/>
        <w:ind w:firstLine="539"/>
        <w:jc w:val="both"/>
        <w:rPr>
          <w:bCs/>
        </w:rPr>
      </w:pPr>
      <w:r w:rsidRPr="006A5BBA">
        <w:rPr>
          <w:bCs/>
        </w:rPr>
        <w:t>Анализирайки изменението на дълга, през 2013 г. се  забелязва, че основната причина за нарастването на дълга са начислените лихви за забава на плащанията – на тях се дължи 49</w:t>
      </w:r>
      <w:r>
        <w:rPr>
          <w:bCs/>
        </w:rPr>
        <w:t xml:space="preserve"> </w:t>
      </w:r>
      <w:r w:rsidRPr="006A5BBA">
        <w:rPr>
          <w:bCs/>
        </w:rPr>
        <w:t>% от увеличението в салдото.</w:t>
      </w:r>
    </w:p>
    <w:p w:rsidR="000938C1" w:rsidRPr="00135BDE" w:rsidRDefault="000938C1" w:rsidP="00DD3753">
      <w:pPr>
        <w:ind w:firstLine="540"/>
        <w:jc w:val="both"/>
        <w:rPr>
          <w:bCs/>
        </w:rPr>
      </w:pPr>
      <w:r w:rsidRPr="006A5BBA">
        <w:rPr>
          <w:bCs/>
        </w:rPr>
        <w:t>Вторият голям фактор, причина за нарастване на дълга, са задълженията, установявани при</w:t>
      </w:r>
      <w:r w:rsidRPr="00135BDE">
        <w:rPr>
          <w:bCs/>
        </w:rPr>
        <w:t xml:space="preserve"> ревизии по ЗДДС. Салдото на ново</w:t>
      </w:r>
      <w:r w:rsidRPr="00187783">
        <w:rPr>
          <w:bCs/>
          <w:lang w:val="en-US"/>
        </w:rPr>
        <w:t>-</w:t>
      </w:r>
      <w:r w:rsidRPr="00135BDE">
        <w:rPr>
          <w:bCs/>
        </w:rPr>
        <w:t>просрочените задължения (просрочени от 1.01.2013 г. до 31.12.2013 г.), установени при ревизии по ЗДДС, е нараснало през годината с над 1</w:t>
      </w:r>
      <w:r>
        <w:rPr>
          <w:bCs/>
        </w:rPr>
        <w:t> </w:t>
      </w:r>
      <w:r w:rsidRPr="00135BDE">
        <w:rPr>
          <w:bCs/>
        </w:rPr>
        <w:t>031</w:t>
      </w:r>
      <w:r>
        <w:rPr>
          <w:bCs/>
        </w:rPr>
        <w:t xml:space="preserve"> </w:t>
      </w:r>
      <w:r w:rsidRPr="00135BDE">
        <w:rPr>
          <w:bCs/>
        </w:rPr>
        <w:t xml:space="preserve">млн. лв., а като цяло задълженията, установявани при ревизии по ЗДДС, формират близо 65 % от непогасените просрочия към </w:t>
      </w:r>
      <w:r>
        <w:rPr>
          <w:bCs/>
        </w:rPr>
        <w:t>края на 2</w:t>
      </w:r>
      <w:r w:rsidRPr="00135BDE">
        <w:rPr>
          <w:bCs/>
        </w:rPr>
        <w:t>013 година.</w:t>
      </w:r>
    </w:p>
    <w:p w:rsidR="000938C1" w:rsidRDefault="000938C1" w:rsidP="00DD3753">
      <w:pPr>
        <w:ind w:firstLine="540"/>
        <w:jc w:val="both"/>
        <w:rPr>
          <w:bCs/>
        </w:rPr>
      </w:pPr>
      <w:r>
        <w:rPr>
          <w:bCs/>
        </w:rPr>
        <w:t>К</w:t>
      </w:r>
      <w:r w:rsidRPr="00135BDE">
        <w:rPr>
          <w:bCs/>
        </w:rPr>
        <w:t>ъм края на 2012 г. са събрани основната част от събираемите просрочия с по-големи размери. Известни резерви съществуват в малките по</w:t>
      </w:r>
      <w:r w:rsidRPr="00187783">
        <w:rPr>
          <w:bCs/>
          <w:lang w:val="en-US"/>
        </w:rPr>
        <w:t xml:space="preserve"> </w:t>
      </w:r>
      <w:r w:rsidRPr="00135BDE">
        <w:rPr>
          <w:bCs/>
        </w:rPr>
        <w:t>размер дългове, но предвид броя им (непогасените задължения с размер до 100 лв. са 7</w:t>
      </w:r>
      <w:r>
        <w:rPr>
          <w:bCs/>
        </w:rPr>
        <w:t>,</w:t>
      </w:r>
      <w:r w:rsidRPr="00135BDE">
        <w:rPr>
          <w:bCs/>
        </w:rPr>
        <w:t>4 млн. на брой или 71</w:t>
      </w:r>
      <w:r>
        <w:rPr>
          <w:bCs/>
        </w:rPr>
        <w:t xml:space="preserve"> </w:t>
      </w:r>
      <w:r w:rsidRPr="00135BDE">
        <w:rPr>
          <w:bCs/>
        </w:rPr>
        <w:t xml:space="preserve">% от броя на всички просрочия), </w:t>
      </w:r>
      <w:r>
        <w:rPr>
          <w:bCs/>
        </w:rPr>
        <w:t xml:space="preserve">от </w:t>
      </w:r>
      <w:r w:rsidRPr="00135BDE">
        <w:rPr>
          <w:bCs/>
        </w:rPr>
        <w:t xml:space="preserve">предприемането на действия спрямо тях </w:t>
      </w:r>
      <w:r>
        <w:rPr>
          <w:bCs/>
        </w:rPr>
        <w:t>не се очаква</w:t>
      </w:r>
      <w:r w:rsidRPr="00187783">
        <w:rPr>
          <w:bCs/>
          <w:lang w:val="en-US"/>
        </w:rPr>
        <w:t xml:space="preserve"> </w:t>
      </w:r>
      <w:r>
        <w:rPr>
          <w:bCs/>
        </w:rPr>
        <w:t>значителен</w:t>
      </w:r>
      <w:r w:rsidRPr="00135BDE">
        <w:rPr>
          <w:bCs/>
        </w:rPr>
        <w:t xml:space="preserve"> фискален ефект, освен ако не се намалят разходите за събирането им чрез автоматизиране на масовите ръчни процеси по обезпечаване и събиране на просрочения дълг. </w:t>
      </w:r>
    </w:p>
    <w:p w:rsidR="000938C1" w:rsidRPr="00135BDE" w:rsidRDefault="000938C1" w:rsidP="00DD3753">
      <w:pPr>
        <w:ind w:firstLine="540"/>
        <w:jc w:val="both"/>
        <w:rPr>
          <w:bCs/>
        </w:rPr>
      </w:pPr>
      <w:r w:rsidRPr="00135BDE">
        <w:rPr>
          <w:bCs/>
        </w:rPr>
        <w:t>В тази посока са и проведени</w:t>
      </w:r>
      <w:r>
        <w:rPr>
          <w:bCs/>
        </w:rPr>
        <w:t>те</w:t>
      </w:r>
      <w:r w:rsidRPr="00135BDE">
        <w:rPr>
          <w:bCs/>
        </w:rPr>
        <w:t xml:space="preserve"> през 2013 г. мерки за повишаване на събираемостта на просрочените вземания, а именно: </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 xml:space="preserve">Осъществява се текущо оперативно наблюдение на задължените лица чрез определяне на действия по събиране и селективен подход към длъжниците на база степента на риска за събиране на задължението и тяхното поведение към спазването на задълженията за регистриране, деклариране и заплащане на задължения за данъци и осигуровки и други публични държавни вземания. Прилагат се техники за стимулиране и спазване на доброволното изпълнение на задълженията в зависимост от това, към коя група попадат задължените лица: уведомления, напомнителни писма, разясняване на възможностите за обезпечаване и погасяване на задълженията на лица с временно финансово затруднение, възможност за сключване на споразумения с приходната администрация.  Размерът на задълженията, за които през 2013 г. са връчени покани </w:t>
      </w:r>
      <w:r>
        <w:rPr>
          <w:bCs/>
        </w:rPr>
        <w:t>за доброволно изпълнение е с 583</w:t>
      </w:r>
      <w:r w:rsidRPr="00135BDE">
        <w:rPr>
          <w:bCs/>
        </w:rPr>
        <w:t xml:space="preserve"> млн. лв. повече от размера на задълженията, за които са връчени покани през 2012 г.</w:t>
      </w:r>
      <w:r>
        <w:rPr>
          <w:bCs/>
          <w:lang w:val="en-US"/>
        </w:rPr>
        <w:t xml:space="preserve"> </w:t>
      </w:r>
      <w:r w:rsidRPr="00135BDE">
        <w:rPr>
          <w:bCs/>
        </w:rPr>
        <w:t>През годината са издадени 13 894 бр. разрешения за неотложни плащания (с 1 098 бр. повече от 2012 г.) за плащане на части на дълг в размер на 713 млн. лева.</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В съответствие с възприетия през 2012 г. подход, през 2013 г. се разработиха 15 броя показател</w:t>
      </w:r>
      <w:r>
        <w:rPr>
          <w:bCs/>
        </w:rPr>
        <w:t>и</w:t>
      </w:r>
      <w:r w:rsidRPr="00135BDE">
        <w:rPr>
          <w:bCs/>
        </w:rPr>
        <w:t xml:space="preserve"> за дейността по събиране на просрочените публични вземания в ТД на НАП, целящи повишаване на процента на обхванатите с действия непогасени публични вземания. Търсената цел бе през 2013 г. да бъдат събрани с 5</w:t>
      </w:r>
      <w:r>
        <w:rPr>
          <w:bCs/>
        </w:rPr>
        <w:t xml:space="preserve"> </w:t>
      </w:r>
      <w:r w:rsidRPr="00135BDE">
        <w:rPr>
          <w:bCs/>
        </w:rPr>
        <w:t>% повече просрочени задължения за данъци и задължителни осигурителни вноски в сравнение със събраните през 2012 година.</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 xml:space="preserve">Ежемесечно се осъществява мониторинг върху събираемостта на просрочените публични вземания в териториалните дирекции и офисите, съответно дирекциите СДО, попадащи в тяхната компетентност. </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Проведе се кампания за обхващане с действия на възможно най-голям кръг задължени лица. Инвентаризираха се просрочените вземания и се състави график за действията на публичните изпълнители, съобразен с ресурсите, с които разполагат отделните ТД/офиси, приоритетно от лицата с най-големи по размер задължения (над 5 000 лева). С длъжниците с над 200 хил.</w:t>
      </w:r>
      <w:r>
        <w:rPr>
          <w:bCs/>
        </w:rPr>
        <w:t xml:space="preserve"> </w:t>
      </w:r>
      <w:r w:rsidRPr="00135BDE">
        <w:rPr>
          <w:bCs/>
        </w:rPr>
        <w:t>лв</w:t>
      </w:r>
      <w:r>
        <w:rPr>
          <w:bCs/>
        </w:rPr>
        <w:t>.</w:t>
      </w:r>
      <w:r w:rsidRPr="00135BDE">
        <w:rPr>
          <w:bCs/>
        </w:rPr>
        <w:t xml:space="preserve"> по текущи задължения по ЗДДС се проведоха срещи за поемане на ангажимент за внасяне на просрочените задължения с конкретни дати. Осъществява се ежемесечен мониторинг за своевременно предприемане на действия спрямо последните.</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 xml:space="preserve">За подобряване на фискалната дисциплина и намаляване на разходите за събиране на дълга и през 2013 г. продължи практиката за провеждане на телефонни кампании </w:t>
      </w:r>
      <w:r w:rsidRPr="00135BDE">
        <w:t xml:space="preserve">през </w:t>
      </w:r>
      <w:r w:rsidRPr="00135BDE">
        <w:rPr>
          <w:lang w:val="en-US"/>
        </w:rPr>
        <w:t>call</w:t>
      </w:r>
      <w:r w:rsidRPr="00135BDE">
        <w:t xml:space="preserve">-центъра на НАП, като се подготвиха и проведоха 4 броя кампании, целящи стимулиране на доброволното изпълнение на малки по размер дългове за данъци и задължителни осигурителни вноски. </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 xml:space="preserve">С оглед увеличаване на производителността на служителите, ангажирани с процеса по събиране на просрочения дълг при минимизиране на разходите, се стартираха краткосрочни разработки и допълнения към съществуващите системи в НАП, след реализацията на които ще се обезпечат масовите ръчни процеси по обезпечаване и събиране на просрочения дълг. През 2013 г. се внедриха първите две от разработващите се функционалности, осигуряващи експорта на данни за вземанията (с взискател НАП или външни взискатели), за които е взето решение за стартиране на процедура за принудително изпълнение. </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С оглед намаляване на разходите за събиране на малките по размер дългове се внедри програмно приложение за идентифициране на задължени лица, работещи при един работодател и се допълни инструкцията за взаимодействие с Националния осигурителен институт, като се регламентира и обмена на информация за банкови сметки на физически лица.</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 xml:space="preserve">Инициираха се законодателни промени, свързани със създаването на правна възможност за разсрочване или отсрочване на задължения за данъци и задължителни осигурителни вноски при облекчени условия. </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Продължи участието на представители на НАП при провеждане на срещите на работната група, сформирана въз основа на заповед на министъра на правосъдието. Целта е с включването на НАП в Единната среда за обмен на електронни запори по смисъла на чл. 450а от Гражданския процесуален кодекс, разработвана съвместно от представители на Асоциация на банките в България, частни съдебни изпълнители и представители на „Борика-Банксервиз”, да се намалят разходите за обезпечаване и събиране на публичните дългове.</w:t>
      </w:r>
    </w:p>
    <w:p w:rsidR="000938C1" w:rsidRPr="00135BDE" w:rsidRDefault="000938C1" w:rsidP="00F30F79">
      <w:pPr>
        <w:numPr>
          <w:ilvl w:val="0"/>
          <w:numId w:val="52"/>
        </w:numPr>
        <w:tabs>
          <w:tab w:val="clear" w:pos="720"/>
          <w:tab w:val="left" w:pos="540"/>
          <w:tab w:val="num" w:pos="928"/>
        </w:tabs>
        <w:ind w:left="0" w:firstLine="720"/>
        <w:jc w:val="both"/>
        <w:rPr>
          <w:bCs/>
        </w:rPr>
      </w:pPr>
      <w:r w:rsidRPr="00135BDE">
        <w:rPr>
          <w:bCs/>
        </w:rPr>
        <w:t xml:space="preserve"> Реорганизирана е дейността по събиране на публичните вземания чрез унификация и осигуряване на цялостност на процеса, като един публичен изпълнител ще отговаря за събиране на всички просрочени задължения на едно задължено лице от възникването им до тяхното погасяване. </w:t>
      </w:r>
    </w:p>
    <w:p w:rsidR="000938C1" w:rsidRDefault="000938C1" w:rsidP="00DD3753">
      <w:pPr>
        <w:ind w:firstLine="540"/>
        <w:jc w:val="both"/>
        <w:rPr>
          <w:bCs/>
        </w:rPr>
      </w:pPr>
      <w:r w:rsidRPr="00135BDE">
        <w:rPr>
          <w:bCs/>
        </w:rPr>
        <w:t>В резултат на предприетите действия през 2013 г. са събрани над 5</w:t>
      </w:r>
      <w:r>
        <w:rPr>
          <w:bCs/>
        </w:rPr>
        <w:t>,</w:t>
      </w:r>
      <w:r w:rsidRPr="00135BDE">
        <w:rPr>
          <w:bCs/>
        </w:rPr>
        <w:t>6 млрд.</w:t>
      </w:r>
      <w:r>
        <w:rPr>
          <w:bCs/>
        </w:rPr>
        <w:t xml:space="preserve"> </w:t>
      </w:r>
      <w:r w:rsidRPr="00135BDE">
        <w:rPr>
          <w:bCs/>
        </w:rPr>
        <w:t>лв. за погасяване на просрочени задължения за данъци и задължителни осигурителни вноски. Платената сума е с 39 % (1</w:t>
      </w:r>
      <w:r>
        <w:rPr>
          <w:bCs/>
        </w:rPr>
        <w:t> </w:t>
      </w:r>
      <w:r w:rsidRPr="00135BDE">
        <w:rPr>
          <w:bCs/>
        </w:rPr>
        <w:t>588</w:t>
      </w:r>
      <w:r>
        <w:rPr>
          <w:bCs/>
        </w:rPr>
        <w:t>,</w:t>
      </w:r>
      <w:r w:rsidRPr="00135BDE">
        <w:rPr>
          <w:bCs/>
        </w:rPr>
        <w:t>4 млн.</w:t>
      </w:r>
      <w:r>
        <w:rPr>
          <w:bCs/>
        </w:rPr>
        <w:t xml:space="preserve"> </w:t>
      </w:r>
      <w:r w:rsidRPr="00135BDE">
        <w:rPr>
          <w:bCs/>
        </w:rPr>
        <w:t>лв.) повече от платената сума за погасяване на просрочени задължения през 2012 г. и почти два пъти повече от платената сума за погасяване на просрочени задължения през 2011 г., видно от което заложената цел за 5</w:t>
      </w:r>
      <w:r>
        <w:rPr>
          <w:bCs/>
        </w:rPr>
        <w:t xml:space="preserve"> </w:t>
      </w:r>
      <w:r w:rsidRPr="00135BDE">
        <w:rPr>
          <w:bCs/>
        </w:rPr>
        <w:t>% увеличение през 2013 г. на събраните просрочени задължения за данъци и задължителни осигурителни вноски е изпълнена.</w:t>
      </w:r>
    </w:p>
    <w:p w:rsidR="000938C1" w:rsidRDefault="000938C1" w:rsidP="00DD3753">
      <w:pPr>
        <w:ind w:firstLine="540"/>
        <w:jc w:val="both"/>
        <w:rPr>
          <w:bCs/>
        </w:rPr>
      </w:pPr>
    </w:p>
    <w:p w:rsidR="000938C1" w:rsidRPr="008D0A74" w:rsidRDefault="000938C1" w:rsidP="00DD3753">
      <w:pPr>
        <w:ind w:firstLine="708"/>
        <w:jc w:val="both"/>
        <w:rPr>
          <w:i/>
          <w:u w:val="single"/>
        </w:rPr>
      </w:pPr>
      <w:r w:rsidRPr="008D0A74">
        <w:rPr>
          <w:i/>
          <w:u w:val="single"/>
        </w:rPr>
        <w:t>Постигнатите резултати по основните дейности на функция „Контрол”</w:t>
      </w:r>
    </w:p>
    <w:p w:rsidR="000938C1" w:rsidRPr="00EB0B0B" w:rsidRDefault="000938C1" w:rsidP="00DD3753">
      <w:pPr>
        <w:ind w:firstLine="540"/>
        <w:jc w:val="both"/>
      </w:pPr>
      <w:r w:rsidRPr="00EB0B0B">
        <w:t xml:space="preserve">Приключените и отчетени </w:t>
      </w:r>
      <w:r w:rsidRPr="00BF6C72">
        <w:t>ревизии</w:t>
      </w:r>
      <w:r w:rsidRPr="00EB0B0B">
        <w:t xml:space="preserve"> за 2013 г. са 10 957 и представляват 93</w:t>
      </w:r>
      <w:r>
        <w:t>,</w:t>
      </w:r>
      <w:r w:rsidRPr="00EB0B0B">
        <w:t>8</w:t>
      </w:r>
      <w:r>
        <w:t xml:space="preserve"> </w:t>
      </w:r>
      <w:r w:rsidRPr="00EB0B0B">
        <w:t>% от планираните за 2013</w:t>
      </w:r>
      <w:r>
        <w:t xml:space="preserve"> </w:t>
      </w:r>
      <w:r w:rsidRPr="00EB0B0B">
        <w:t>г. 11 681 ревизии. Б</w:t>
      </w:r>
      <w:r w:rsidRPr="00EB0B0B">
        <w:rPr>
          <w:bCs/>
        </w:rPr>
        <w:t>роят на извършените ревизии за определяне на осигурителни вноски през 2013 г. са идентични с броя на извършените през 2012 г., но са се увеличили с 24</w:t>
      </w:r>
      <w:r>
        <w:rPr>
          <w:bCs/>
        </w:rPr>
        <w:t xml:space="preserve"> </w:t>
      </w:r>
      <w:r w:rsidRPr="00EB0B0B">
        <w:rPr>
          <w:bCs/>
        </w:rPr>
        <w:t xml:space="preserve">% допълнително разкритите приходи в резултат на извършването на тези ревизии.  </w:t>
      </w:r>
    </w:p>
    <w:p w:rsidR="000938C1" w:rsidRPr="00EB0B0B" w:rsidRDefault="000938C1" w:rsidP="00DD3753">
      <w:pPr>
        <w:ind w:firstLine="540"/>
        <w:jc w:val="both"/>
        <w:rPr>
          <w:bCs/>
        </w:rPr>
      </w:pPr>
      <w:r w:rsidRPr="00EB0B0B">
        <w:t xml:space="preserve">Планираните качествени параметри за ефективност на </w:t>
      </w:r>
      <w:r w:rsidRPr="00EB0B0B">
        <w:rPr>
          <w:bCs/>
        </w:rPr>
        <w:t xml:space="preserve">извършваните ревизии са достигнати в основната си част – относителен дял на РА с разкрития над 10 000 лв. и относителен дял на издадените нулеви РА.  </w:t>
      </w:r>
    </w:p>
    <w:p w:rsidR="000938C1" w:rsidRPr="00EB0B0B" w:rsidRDefault="000938C1" w:rsidP="00DD3753">
      <w:pPr>
        <w:ind w:firstLine="540"/>
        <w:jc w:val="both"/>
        <w:rPr>
          <w:bCs/>
        </w:rPr>
      </w:pPr>
      <w:r w:rsidRPr="00EB0B0B">
        <w:rPr>
          <w:bCs/>
        </w:rPr>
        <w:t>По един от основните показатели за тази дейност обаче – допълнително разкрити приходи през 2013 г. има значително намаление от 43</w:t>
      </w:r>
      <w:r>
        <w:rPr>
          <w:bCs/>
        </w:rPr>
        <w:t xml:space="preserve"> </w:t>
      </w:r>
      <w:r w:rsidRPr="00EB0B0B">
        <w:rPr>
          <w:bCs/>
        </w:rPr>
        <w:t>% спрямо 2012 г. Основна причина за това е въвеждането на промени в ревизионната практика на агенцията, свързани с анализа и третирането на измами с ДДС, продиктувани от решения на СЕС.</w:t>
      </w:r>
    </w:p>
    <w:p w:rsidR="000938C1" w:rsidRPr="00EB0B0B" w:rsidRDefault="000938C1" w:rsidP="00DD3753">
      <w:pPr>
        <w:ind w:firstLine="540"/>
        <w:jc w:val="both"/>
        <w:rPr>
          <w:lang w:val="ru-RU"/>
        </w:rPr>
      </w:pPr>
      <w:r w:rsidRPr="00EB0B0B">
        <w:t xml:space="preserve">И през 2013 г. продължи тенденцията за повишаване използването на софтуера за </w:t>
      </w:r>
      <w:r w:rsidRPr="00BF6C72">
        <w:t>електронни ревизии ACL</w:t>
      </w:r>
      <w:r w:rsidRPr="00EB0B0B">
        <w:t xml:space="preserve"> в контролната дейност на НАП. Това се дължи както на проведените обучения на потребителите на софтуера в НАП, така и на дейността на сформираните в две териториални дирекции на агенцията специализирани екипи за е-ревизии. През 2013 г. са извършени 164 ревизии, в които данни от информационни системи на ревизираните лица са били анализирани от органи по приходите със софтуера за електронни ревизии. Специализираните екипи за е-ревизии са приключили 51 ревизионни производства, при които са определени допълнителни</w:t>
      </w:r>
      <w:r w:rsidRPr="00EB0B0B">
        <w:rPr>
          <w:lang w:val="ru-RU"/>
        </w:rPr>
        <w:t xml:space="preserve"> задължения за данъци в общ размер на 4</w:t>
      </w:r>
      <w:r>
        <w:rPr>
          <w:lang w:val="ru-RU"/>
        </w:rPr>
        <w:t>,</w:t>
      </w:r>
      <w:r w:rsidRPr="00EB0B0B">
        <w:rPr>
          <w:lang w:val="ru-RU"/>
        </w:rPr>
        <w:t>9</w:t>
      </w:r>
      <w:r w:rsidRPr="00EB0B0B">
        <w:t> млн.</w:t>
      </w:r>
      <w:r w:rsidRPr="00EB0B0B">
        <w:rPr>
          <w:lang w:val="ru-RU"/>
        </w:rPr>
        <w:t xml:space="preserve"> лв. или средно на една ревизия – 95</w:t>
      </w:r>
      <w:r w:rsidRPr="00EB0B0B">
        <w:t> </w:t>
      </w:r>
      <w:r w:rsidRPr="00EB0B0B">
        <w:rPr>
          <w:lang w:val="ru-RU"/>
        </w:rPr>
        <w:t>887 лв. Във връзка с показаните положителни резултати от дейността на специализираните екипи, през 2014 г. е предвидено сформирането на такива екипи и в останалите ТД на НАП.</w:t>
      </w:r>
    </w:p>
    <w:p w:rsidR="000938C1" w:rsidRPr="00F725E9" w:rsidRDefault="000938C1" w:rsidP="00DD3753">
      <w:pPr>
        <w:spacing w:before="120"/>
        <w:ind w:firstLine="540"/>
        <w:jc w:val="both"/>
      </w:pPr>
      <w:r w:rsidRPr="00673D4D">
        <w:t xml:space="preserve">Общият брой на извършените проверки през 2013 г. е </w:t>
      </w:r>
      <w:r w:rsidRPr="00F725E9">
        <w:t xml:space="preserve">225 104 и </w:t>
      </w:r>
      <w:r w:rsidRPr="00673D4D">
        <w:t>се е увеличил с 2 % спрямо 2012 г., като основният дял на увеличението се дължи на броя на извършените проверки за прихващане и възстановяване, които са се увеличили с 5,2</w:t>
      </w:r>
      <w:r>
        <w:rPr>
          <w:lang w:val="en-US"/>
        </w:rPr>
        <w:t xml:space="preserve"> </w:t>
      </w:r>
      <w:r w:rsidRPr="00673D4D">
        <w:t>% спрямо 2012 г</w:t>
      </w:r>
      <w:r w:rsidRPr="00F725E9">
        <w:t xml:space="preserve">. </w:t>
      </w:r>
      <w:r w:rsidRPr="00673D4D">
        <w:t>Относителният дял на извършените проверки за установяване на факти и обстоятелства бележи спад с приблизително 7 % спрямо 2012 г., но са изпълнени плановите параметри за 2013 г. за този вид проверки.</w:t>
      </w:r>
    </w:p>
    <w:p w:rsidR="000938C1" w:rsidRPr="00673D4D" w:rsidRDefault="000938C1" w:rsidP="00DD3753">
      <w:pPr>
        <w:ind w:firstLine="540"/>
        <w:jc w:val="both"/>
      </w:pPr>
      <w:r w:rsidRPr="00F725E9">
        <w:t xml:space="preserve">През 2013 г. са извършени </w:t>
      </w:r>
      <w:r w:rsidRPr="00F725E9">
        <w:rPr>
          <w:bCs/>
        </w:rPr>
        <w:t xml:space="preserve">31 587 </w:t>
      </w:r>
      <w:r w:rsidRPr="00673D4D">
        <w:t xml:space="preserve">оперативни проверки при </w:t>
      </w:r>
      <w:r w:rsidRPr="00F725E9">
        <w:t xml:space="preserve">32 235 за 2012 г. </w:t>
      </w:r>
      <w:r w:rsidRPr="00673D4D">
        <w:t>Намалението на  показателите през 2013 г. се дължи на следните причини:</w:t>
      </w:r>
    </w:p>
    <w:p w:rsidR="000938C1" w:rsidRPr="00673D4D" w:rsidRDefault="000938C1" w:rsidP="00673D4D">
      <w:pPr>
        <w:pStyle w:val="ListParagraph"/>
        <w:numPr>
          <w:ilvl w:val="0"/>
          <w:numId w:val="76"/>
        </w:numPr>
        <w:tabs>
          <w:tab w:val="left" w:pos="1260"/>
        </w:tabs>
        <w:ind w:left="0" w:firstLine="1077"/>
        <w:jc w:val="both"/>
      </w:pPr>
      <w:r w:rsidRPr="00673D4D">
        <w:t>през летния сезон на 2013 г. не бе проведена лятна кампания по морските курорти, тъй като органите на НАП бяха ангажирани в съвместни контролни действия с органи на Агенция „Митници“, Българската агенция по безопасност на храните и МВР. В рамките на второто шестмесечие на годината се извършваха постоянни финансови и фитосанитарни проверки на доставяните на територията на страната плодове и зеленчуци с цел защита на българските производители от нерегламентиран внос и нелоялна конкуренция</w:t>
      </w:r>
      <w:r w:rsidRPr="00F725E9">
        <w:t>;</w:t>
      </w:r>
    </w:p>
    <w:p w:rsidR="000938C1" w:rsidRPr="00673D4D" w:rsidRDefault="000938C1" w:rsidP="00F30F79">
      <w:pPr>
        <w:pStyle w:val="ListParagraph"/>
        <w:numPr>
          <w:ilvl w:val="0"/>
          <w:numId w:val="76"/>
        </w:numPr>
        <w:tabs>
          <w:tab w:val="left" w:pos="1260"/>
        </w:tabs>
        <w:spacing w:before="120"/>
        <w:ind w:left="0" w:firstLine="1080"/>
        <w:jc w:val="both"/>
      </w:pPr>
      <w:r w:rsidRPr="00673D4D">
        <w:t>изменение</w:t>
      </w:r>
      <w:r w:rsidRPr="00F725E9">
        <w:t>то</w:t>
      </w:r>
      <w:r w:rsidRPr="00673D4D">
        <w:t xml:space="preserve"> на Наредба № Н-18/2006 г., </w:t>
      </w:r>
      <w:r w:rsidRPr="00F725E9">
        <w:t>с</w:t>
      </w:r>
      <w:r w:rsidRPr="00673D4D">
        <w:t>вързано с въвеждане на задължение за лицата, извършващи търговия със стоки/услуги чрез апарати на самообслужване</w:t>
      </w:r>
      <w:r w:rsidRPr="00F725E9">
        <w:t>,</w:t>
      </w:r>
      <w:r w:rsidRPr="00673D4D">
        <w:t xml:space="preserve"> да отчитат продажбите чрез фискални устройства</w:t>
      </w:r>
      <w:r w:rsidRPr="00F725E9">
        <w:t>;</w:t>
      </w:r>
    </w:p>
    <w:p w:rsidR="000938C1" w:rsidRPr="00673D4D" w:rsidRDefault="000938C1" w:rsidP="00F30F79">
      <w:pPr>
        <w:pStyle w:val="ListParagraph"/>
        <w:numPr>
          <w:ilvl w:val="0"/>
          <w:numId w:val="76"/>
        </w:numPr>
        <w:tabs>
          <w:tab w:val="left" w:pos="1260"/>
        </w:tabs>
        <w:spacing w:before="120"/>
        <w:ind w:left="0" w:firstLine="1080"/>
        <w:jc w:val="both"/>
      </w:pPr>
      <w:r w:rsidRPr="00673D4D">
        <w:t>промяна в реда за възлагане и извършване на оперативните проверки, който се прилага от средата на 2012 г. - след предварителен подбор на обекти/ЗЛ, като приоритет са наблюденията, с които се цели да се установят реалните размери на оборотите на проверяваните лица.</w:t>
      </w:r>
    </w:p>
    <w:p w:rsidR="000938C1" w:rsidRPr="00673D4D" w:rsidRDefault="000938C1" w:rsidP="00DD3753">
      <w:pPr>
        <w:pStyle w:val="ListParagraph"/>
        <w:tabs>
          <w:tab w:val="left" w:pos="1260"/>
        </w:tabs>
        <w:spacing w:before="120"/>
        <w:ind w:left="0" w:firstLine="540"/>
        <w:jc w:val="both"/>
      </w:pPr>
      <w:r w:rsidRPr="00F725E9">
        <w:t>С цел п</w:t>
      </w:r>
      <w:r w:rsidRPr="00673D4D">
        <w:t>одобряване организацията на работа, повишаване ефикасността и ефективността на функция „Контрол“ са предприети следните мерки:</w:t>
      </w:r>
    </w:p>
    <w:p w:rsidR="000938C1" w:rsidRPr="00673D4D" w:rsidRDefault="000938C1" w:rsidP="00F30F79">
      <w:pPr>
        <w:pStyle w:val="ListParagraph"/>
        <w:numPr>
          <w:ilvl w:val="1"/>
          <w:numId w:val="76"/>
        </w:numPr>
        <w:tabs>
          <w:tab w:val="left" w:pos="1260"/>
        </w:tabs>
        <w:spacing w:before="120"/>
        <w:ind w:left="0" w:firstLine="1080"/>
        <w:jc w:val="both"/>
      </w:pPr>
      <w:r w:rsidRPr="00673D4D">
        <w:t xml:space="preserve">Контролни мерки по Програмата за спазване на законодателството и минимизиране нивата на риск през 2013 г. - бяха предприети мерки за третиране на 14 идентифицирани риска от неспазване на законодателството. Общо през годината бяха извършени 1 193 ревизии, като бяха установени допълнителни задължения общо в размер на 77 млн.лв. Освен това бяха извършени общо 7161 различни видове проверки, целящи събиране на информация или установяване на спазването на законодателството, като са установени общо 343 нарушения и са издадени 280 наказателни постановления, с които са наложени санкции за 242 хил.лева. </w:t>
      </w:r>
    </w:p>
    <w:p w:rsidR="000938C1" w:rsidRPr="00673D4D" w:rsidRDefault="000938C1" w:rsidP="00F30F79">
      <w:pPr>
        <w:pStyle w:val="ListParagraph"/>
        <w:numPr>
          <w:ilvl w:val="1"/>
          <w:numId w:val="77"/>
        </w:numPr>
        <w:tabs>
          <w:tab w:val="left" w:pos="1260"/>
        </w:tabs>
        <w:spacing w:before="120"/>
        <w:ind w:left="0" w:firstLine="1080"/>
        <w:jc w:val="both"/>
      </w:pPr>
      <w:r w:rsidRPr="00673D4D">
        <w:t xml:space="preserve">От 01.05.2013 г. в НАП бе внедрена Информационна система „Контрол на горивата“ (ИСКГ), изградена в рамките на съвместен проект на НАП и АМ. Беше изградена свързаност между системите на АМ и ИСКГ, която осигурява възможност в реално време да  се получава информация за освободените за потребление течни горива - от данъчните складове или от внос. На основание промените в ЗДДС и в Наредба Н-18, в сила от 01.05.2013 г., икономическите оператори са задължени да подават по електронен път информация за настъпили промени в собствеността, местоназначението или транспорта на горивото по пътя му от данъчния склад/граничния пункт до местоназначението декларирано в акцизния данъчен документ, респ. в ЕАД. Информационната система дава възможност за наблюдение на движението на течните горива, при което се идентифицират доставки с повишен риск или несъответствия в подадени данни от икономическите оператори, и да се  предприемат съответните контролни действия.  </w:t>
      </w:r>
    </w:p>
    <w:p w:rsidR="000938C1" w:rsidRPr="00673D4D" w:rsidRDefault="000938C1" w:rsidP="00DD3753">
      <w:pPr>
        <w:spacing w:before="120"/>
        <w:ind w:firstLine="708"/>
        <w:jc w:val="both"/>
      </w:pPr>
      <w:r w:rsidRPr="00673D4D">
        <w:t>Информационна система „Контрол“</w:t>
      </w:r>
      <w:r w:rsidRPr="00F725E9">
        <w:t xml:space="preserve"> - з</w:t>
      </w:r>
      <w:r w:rsidRPr="00673D4D">
        <w:t>а разработката и внедряването й осъществява проект „Надграждане на Системата за управление на приходите чрез разработване на софтуерно приложение в подкрепа на контролната дейност в НАП – ИС „Контрол“, финансиран по ОПАК. Договор с фирмата изпълнител е сключен на 19.02.2013 г. Целта на създаването на информационната система е подобряване ефективността на контролната дейност и повишаване на събираемостта, както и удовлетвореността на клиентите на НАП. През 2013 г. предвидените дейности по проекта са изпълнени в срок съгласно утвърден план-график. През 2014 г. предстои финализиране на разработката, тестване и внедряване в реална експлоатация. Реалното използване на системата ще подкрепи дейностите на функция „Контрол“ на всички нива в тяхната цялост и взаимна връзка. Системата ще улесни и бизнеса с възможностите за двустранна електронна комуникация.</w:t>
      </w:r>
    </w:p>
    <w:p w:rsidR="000938C1" w:rsidRPr="00F725E9" w:rsidRDefault="000938C1" w:rsidP="00DD3753">
      <w:pPr>
        <w:ind w:firstLine="708"/>
        <w:jc w:val="both"/>
        <w:rPr>
          <w:i/>
          <w:u w:val="single"/>
        </w:rPr>
      </w:pPr>
      <w:r w:rsidRPr="00F725E9">
        <w:rPr>
          <w:i/>
          <w:u w:val="single"/>
        </w:rPr>
        <w:t>Въвеждане на фискален контрол върху движението на рискови стоки</w:t>
      </w:r>
    </w:p>
    <w:p w:rsidR="000938C1" w:rsidRPr="00F725E9" w:rsidRDefault="000938C1" w:rsidP="00DD3753">
      <w:pPr>
        <w:ind w:firstLine="540"/>
        <w:jc w:val="both"/>
      </w:pPr>
      <w:r w:rsidRPr="00F725E9">
        <w:t xml:space="preserve">С цел предприемане на ефективни мерки за защита на фискалната позиция и </w:t>
      </w:r>
      <w:r w:rsidRPr="00673D4D">
        <w:t>предотвратяване неплащането на ДДС, със ЗИД на ДОПК, публикуван в ДВ. бр.109 от 20 декември 2013 г., беше регламентирано органи по приходите да осъществяват  фискален контрол върху движението на стоки с висок фискален риск на територията на Република България.</w:t>
      </w:r>
      <w:r w:rsidRPr="00F725E9">
        <w:t xml:space="preserve"> Разработена бе концепция за работата на звеното. Направи се бизнес-анализ на процесите, които ще се извършват от звеното за фискален контрол. Разработени са модели на процесите. Разработени са процедури за работа на звеното и необходими образци на формуляри. В изпълнение на чл. 127з от ДОПК беше разработен проект на Наредба за условията и реда за осъществяване на фискален контрол върху движението на стоки с висок фискален риск на територията на Република България и изискванията към фискалните контролни пунктове, а в изпълнение на чл. 127а, ал. 7 беше разработен, предложен и утвърден със заповед на министъра на финансите списък на стоки с висок фискален риск (заповед № ЗМФ- 4/ 02.01.2014 г.). </w:t>
      </w:r>
    </w:p>
    <w:p w:rsidR="000938C1" w:rsidRPr="00673D4D" w:rsidRDefault="000938C1" w:rsidP="00DD3753">
      <w:pPr>
        <w:spacing w:before="120"/>
        <w:ind w:firstLine="708"/>
        <w:jc w:val="both"/>
      </w:pPr>
      <w:r w:rsidRPr="00F725E9">
        <w:t>Изготви се проект на бюджет за 2014 г. и  актуализирани прогнози за 2015 г. и 2016 г. във връзка с необходимите допълнителни ресурси за изграждането на звеното. Проведени са процедури за осигуряване на минимално необходимото оборудване. Проведена е информационна кампания за осведомяване на външните заинтересовани страни. Проведени са подбор и са назначени служители, които да обезпечат процеса в началния етап. Проведени са обучения на новоназначените служители. Разработена е и внедрена критична функционалност на ИС „Фискален контрол“.</w:t>
      </w:r>
    </w:p>
    <w:p w:rsidR="000938C1" w:rsidRPr="00673D4D" w:rsidRDefault="000938C1" w:rsidP="00DD3753">
      <w:pPr>
        <w:spacing w:before="120"/>
        <w:ind w:firstLine="708"/>
        <w:jc w:val="both"/>
        <w:rPr>
          <w:i/>
          <w:u w:val="single"/>
        </w:rPr>
      </w:pPr>
      <w:r w:rsidRPr="00F725E9">
        <w:rPr>
          <w:i/>
          <w:u w:val="single"/>
        </w:rPr>
        <w:t>Мерки, предприети от НАП за борба с данъчните престъпления, пресичането на опитите за укриване на данъчни задължения и опити за данъчни измами през 2013 година</w:t>
      </w:r>
    </w:p>
    <w:p w:rsidR="000938C1" w:rsidRPr="00F725E9" w:rsidRDefault="000938C1" w:rsidP="00DD3753">
      <w:pPr>
        <w:ind w:firstLine="540"/>
        <w:jc w:val="both"/>
      </w:pPr>
      <w:r w:rsidRPr="00673D4D">
        <w:t>Данните за 2013 г., предоставени от НАП, показват значимите усилия и постигнатите резултати в следствие на действията на служителите на НАП в защита на финансите на държавната хазна в борбата с данъчните измами.</w:t>
      </w:r>
    </w:p>
    <w:p w:rsidR="000938C1" w:rsidRPr="00673D4D" w:rsidRDefault="000938C1" w:rsidP="00DD3753">
      <w:pPr>
        <w:ind w:firstLine="540"/>
        <w:jc w:val="both"/>
      </w:pPr>
      <w:r w:rsidRPr="00673D4D">
        <w:t>През 2013 г. дирекция ”Разследване на особени случаи” (РОС) беше децентрализирана и структурирана като отдел в дирекция ”Контрол” в ЦУ и ТД на НАП с цел повишаване на ефикасността и ефективността при осъществяване на дейността си</w:t>
      </w:r>
      <w:r>
        <w:rPr>
          <w:lang w:val="en-US"/>
        </w:rPr>
        <w:t xml:space="preserve"> </w:t>
      </w:r>
      <w:r w:rsidRPr="00673D4D">
        <w:t>по противодействие и борба с данъчните измами. Дейността на отдел”РОС” през 2013 г. е осъществявана въз основа и в изпълнение на задачите, поставени в Стратегическия план на НАП за периода 2011 – 2015г., Оперативния годишен план на ЦУ на НАП за 2013 г. и приоритетите на НАП за 2013 г. По отношение на отдела, през 2013 г. бяха заложени следните цели и задачи:</w:t>
      </w:r>
    </w:p>
    <w:p w:rsidR="000938C1" w:rsidRPr="00673D4D" w:rsidRDefault="000938C1" w:rsidP="00F30F79">
      <w:pPr>
        <w:numPr>
          <w:ilvl w:val="0"/>
          <w:numId w:val="79"/>
        </w:numPr>
        <w:jc w:val="both"/>
      </w:pPr>
      <w:r w:rsidRPr="00673D4D">
        <w:t xml:space="preserve">идентифициране на задължени лица с рисков профил, въз основа на информацията в наличните бази данни; </w:t>
      </w:r>
    </w:p>
    <w:p w:rsidR="000938C1" w:rsidRPr="00673D4D" w:rsidRDefault="000938C1" w:rsidP="00F30F79">
      <w:pPr>
        <w:numPr>
          <w:ilvl w:val="0"/>
          <w:numId w:val="79"/>
        </w:numPr>
        <w:jc w:val="both"/>
      </w:pPr>
      <w:r w:rsidRPr="00673D4D">
        <w:t xml:space="preserve">анализ и предприемане на мерки за противодействие на случаи на организирани измами с голям фискален ефект за държавния бюджет; </w:t>
      </w:r>
    </w:p>
    <w:p w:rsidR="000938C1" w:rsidRPr="00673D4D" w:rsidRDefault="000938C1" w:rsidP="00F30F79">
      <w:pPr>
        <w:numPr>
          <w:ilvl w:val="0"/>
          <w:numId w:val="79"/>
        </w:numPr>
        <w:jc w:val="both"/>
      </w:pPr>
      <w:r w:rsidRPr="00673D4D">
        <w:t xml:space="preserve">повишаване на ефективността от предприетите действията по предотвратяване и разследване на измами; </w:t>
      </w:r>
    </w:p>
    <w:p w:rsidR="000938C1" w:rsidRPr="00673D4D" w:rsidRDefault="000938C1" w:rsidP="00F30F79">
      <w:pPr>
        <w:numPr>
          <w:ilvl w:val="0"/>
          <w:numId w:val="79"/>
        </w:numPr>
        <w:jc w:val="both"/>
      </w:pPr>
      <w:r w:rsidRPr="00673D4D">
        <w:t>повишаване на резултатното взаимодействие и сътрудничество с националните и международни институции.</w:t>
      </w:r>
    </w:p>
    <w:p w:rsidR="000938C1" w:rsidRPr="00673D4D" w:rsidRDefault="000938C1" w:rsidP="00DD3753">
      <w:pPr>
        <w:ind w:firstLine="540"/>
        <w:jc w:val="both"/>
      </w:pPr>
      <w:r w:rsidRPr="00673D4D">
        <w:t xml:space="preserve">Целта бе правилно и прецизно да бъдат насочени основни ресурси </w:t>
      </w:r>
      <w:r w:rsidRPr="00673D4D">
        <w:rPr>
          <w:bCs/>
        </w:rPr>
        <w:t>и усилия на дирекцията към случаите с най-голям риск за бюджета, високо рисковите сегменти и случаите с висока степен на обществена опасност, като едновременно с това се оптимизират разходите и се подобри организацията на работа.</w:t>
      </w:r>
      <w:r>
        <w:rPr>
          <w:bCs/>
          <w:lang w:val="en-US"/>
        </w:rPr>
        <w:t xml:space="preserve"> </w:t>
      </w:r>
      <w:r w:rsidRPr="00673D4D">
        <w:rPr>
          <w:bCs/>
        </w:rPr>
        <w:t xml:space="preserve">Основната дейност на отдел </w:t>
      </w:r>
      <w:r w:rsidRPr="00673D4D">
        <w:t>”</w:t>
      </w:r>
      <w:r w:rsidRPr="00673D4D">
        <w:rPr>
          <w:bCs/>
        </w:rPr>
        <w:t>РОС</w:t>
      </w:r>
      <w:r w:rsidRPr="00673D4D">
        <w:t>”</w:t>
      </w:r>
      <w:r w:rsidRPr="00673D4D">
        <w:rPr>
          <w:bCs/>
        </w:rPr>
        <w:t>,</w:t>
      </w:r>
      <w:r>
        <w:rPr>
          <w:bCs/>
          <w:lang w:val="en-US"/>
        </w:rPr>
        <w:t xml:space="preserve"> </w:t>
      </w:r>
      <w:r w:rsidRPr="00673D4D">
        <w:rPr>
          <w:bCs/>
        </w:rPr>
        <w:t xml:space="preserve">осъществена през 2013 г. бе свързана с процеса по третиране и противодействие на данъчни измами чрез извършване на аналитико-проучвателни дейности и може да бъде илюстрирана със следните данни: </w:t>
      </w:r>
    </w:p>
    <w:p w:rsidR="000938C1" w:rsidRPr="00F725E9" w:rsidRDefault="000938C1" w:rsidP="00DD3753">
      <w:pPr>
        <w:ind w:firstLine="540"/>
        <w:jc w:val="both"/>
      </w:pPr>
      <w:r w:rsidRPr="00673D4D">
        <w:t>За периода 01.01.2013 – 31.12.2013 г.</w:t>
      </w:r>
      <w:r>
        <w:rPr>
          <w:lang w:val="en-US"/>
        </w:rPr>
        <w:t xml:space="preserve"> </w:t>
      </w:r>
      <w:r w:rsidRPr="00673D4D">
        <w:t>общия брой доклади за идентифицирани данъчни измами, изготвени от служителите на дирекция РОС е 189 бр., в т.ч. с</w:t>
      </w:r>
      <w:r w:rsidRPr="00F725E9">
        <w:t>поред вида на измамата:</w:t>
      </w:r>
    </w:p>
    <w:p w:rsidR="000938C1" w:rsidRPr="00F725E9" w:rsidRDefault="000938C1" w:rsidP="00DD3753">
      <w:pPr>
        <w:ind w:firstLine="540"/>
        <w:jc w:val="both"/>
      </w:pPr>
    </w:p>
    <w:p w:rsidR="000938C1" w:rsidRPr="00673D4D" w:rsidRDefault="000938C1" w:rsidP="00F30F79">
      <w:pPr>
        <w:numPr>
          <w:ilvl w:val="0"/>
          <w:numId w:val="78"/>
        </w:numPr>
        <w:jc w:val="both"/>
      </w:pPr>
      <w:r w:rsidRPr="00673D4D">
        <w:t>Измама с липсващ търговец – 142 доклада;</w:t>
      </w:r>
    </w:p>
    <w:p w:rsidR="000938C1" w:rsidRPr="00673D4D" w:rsidRDefault="000938C1" w:rsidP="00F30F79">
      <w:pPr>
        <w:numPr>
          <w:ilvl w:val="0"/>
          <w:numId w:val="78"/>
        </w:numPr>
        <w:jc w:val="both"/>
      </w:pPr>
      <w:r w:rsidRPr="00673D4D">
        <w:t>Измама с ВОП / ВОД – 6 доклада;</w:t>
      </w:r>
    </w:p>
    <w:p w:rsidR="000938C1" w:rsidRPr="00F725E9" w:rsidRDefault="000938C1" w:rsidP="00F30F79">
      <w:pPr>
        <w:numPr>
          <w:ilvl w:val="0"/>
          <w:numId w:val="78"/>
        </w:numPr>
        <w:jc w:val="both"/>
      </w:pPr>
      <w:r w:rsidRPr="00F725E9">
        <w:t xml:space="preserve">Измама тип „въртележка” – </w:t>
      </w:r>
      <w:r w:rsidRPr="00673D4D">
        <w:t>1</w:t>
      </w:r>
      <w:r w:rsidRPr="00F725E9">
        <w:t xml:space="preserve"> доклад;</w:t>
      </w:r>
    </w:p>
    <w:p w:rsidR="000938C1" w:rsidRPr="00F725E9" w:rsidRDefault="000938C1" w:rsidP="00F30F79">
      <w:pPr>
        <w:numPr>
          <w:ilvl w:val="0"/>
          <w:numId w:val="78"/>
        </w:numPr>
        <w:jc w:val="both"/>
      </w:pPr>
      <w:r w:rsidRPr="00F725E9">
        <w:t>Други – 40 доклада.</w:t>
      </w:r>
    </w:p>
    <w:p w:rsidR="000938C1" w:rsidRPr="00F725E9" w:rsidRDefault="000938C1" w:rsidP="0000124A">
      <w:pPr>
        <w:ind w:left="720"/>
        <w:jc w:val="both"/>
      </w:pPr>
    </w:p>
    <w:p w:rsidR="000938C1" w:rsidRPr="00673D4D" w:rsidRDefault="000938C1" w:rsidP="00DD3753">
      <w:pPr>
        <w:ind w:firstLine="540"/>
        <w:jc w:val="both"/>
      </w:pPr>
      <w:r w:rsidRPr="00673D4D">
        <w:t>По териториални структури разпределението на докладите за идентифицирани данъчни измами е следното :</w:t>
      </w:r>
    </w:p>
    <w:p w:rsidR="000938C1" w:rsidRPr="00673D4D" w:rsidRDefault="000938C1" w:rsidP="00DD3753">
      <w:pPr>
        <w:jc w:val="both"/>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00"/>
        <w:gridCol w:w="2340"/>
      </w:tblGrid>
      <w:tr w:rsidR="000938C1" w:rsidRPr="00F725E9" w:rsidTr="00DC30BE">
        <w:tc>
          <w:tcPr>
            <w:tcW w:w="2700" w:type="dxa"/>
          </w:tcPr>
          <w:p w:rsidR="000938C1" w:rsidRPr="00F725E9" w:rsidRDefault="000938C1" w:rsidP="00DC30BE">
            <w:pPr>
              <w:jc w:val="both"/>
              <w:rPr>
                <w:sz w:val="20"/>
                <w:szCs w:val="20"/>
              </w:rPr>
            </w:pPr>
            <w:r w:rsidRPr="00F725E9">
              <w:rPr>
                <w:sz w:val="20"/>
                <w:szCs w:val="20"/>
              </w:rPr>
              <w:t>Пловдив</w:t>
            </w:r>
          </w:p>
        </w:tc>
        <w:tc>
          <w:tcPr>
            <w:tcW w:w="2340" w:type="dxa"/>
          </w:tcPr>
          <w:p w:rsidR="000938C1" w:rsidRPr="00F725E9" w:rsidRDefault="000938C1" w:rsidP="00DC30BE">
            <w:pPr>
              <w:jc w:val="both"/>
              <w:rPr>
                <w:sz w:val="20"/>
                <w:szCs w:val="20"/>
              </w:rPr>
            </w:pPr>
            <w:r w:rsidRPr="00F725E9">
              <w:rPr>
                <w:sz w:val="20"/>
                <w:szCs w:val="20"/>
              </w:rPr>
              <w:t>31 бр.</w:t>
            </w:r>
          </w:p>
        </w:tc>
      </w:tr>
      <w:tr w:rsidR="000938C1" w:rsidRPr="00F725E9" w:rsidTr="00DC30BE">
        <w:tc>
          <w:tcPr>
            <w:tcW w:w="2700" w:type="dxa"/>
          </w:tcPr>
          <w:p w:rsidR="000938C1" w:rsidRPr="00F725E9" w:rsidRDefault="000938C1" w:rsidP="00DC30BE">
            <w:pPr>
              <w:jc w:val="both"/>
              <w:rPr>
                <w:sz w:val="20"/>
                <w:szCs w:val="20"/>
              </w:rPr>
            </w:pPr>
            <w:r w:rsidRPr="00F725E9">
              <w:rPr>
                <w:sz w:val="20"/>
                <w:szCs w:val="20"/>
              </w:rPr>
              <w:t>Варна</w:t>
            </w:r>
          </w:p>
        </w:tc>
        <w:tc>
          <w:tcPr>
            <w:tcW w:w="2340" w:type="dxa"/>
          </w:tcPr>
          <w:p w:rsidR="000938C1" w:rsidRPr="00F725E9" w:rsidRDefault="000938C1" w:rsidP="00DC30BE">
            <w:pPr>
              <w:spacing w:before="100" w:beforeAutospacing="1" w:after="100" w:afterAutospacing="1"/>
              <w:jc w:val="both"/>
              <w:rPr>
                <w:sz w:val="20"/>
                <w:szCs w:val="20"/>
              </w:rPr>
            </w:pPr>
            <w:r w:rsidRPr="00F725E9">
              <w:rPr>
                <w:sz w:val="20"/>
                <w:szCs w:val="20"/>
              </w:rPr>
              <w:t>54 бр.</w:t>
            </w:r>
          </w:p>
        </w:tc>
      </w:tr>
      <w:tr w:rsidR="000938C1" w:rsidRPr="00F725E9" w:rsidTr="00DC30BE">
        <w:tc>
          <w:tcPr>
            <w:tcW w:w="2700" w:type="dxa"/>
          </w:tcPr>
          <w:p w:rsidR="000938C1" w:rsidRPr="00F725E9" w:rsidRDefault="000938C1" w:rsidP="00DC30BE">
            <w:pPr>
              <w:spacing w:before="100" w:beforeAutospacing="1" w:after="100" w:afterAutospacing="1"/>
              <w:jc w:val="both"/>
              <w:rPr>
                <w:sz w:val="20"/>
                <w:szCs w:val="20"/>
              </w:rPr>
            </w:pPr>
            <w:r w:rsidRPr="00F725E9">
              <w:rPr>
                <w:sz w:val="20"/>
                <w:szCs w:val="20"/>
              </w:rPr>
              <w:t>София</w:t>
            </w:r>
          </w:p>
        </w:tc>
        <w:tc>
          <w:tcPr>
            <w:tcW w:w="2340" w:type="dxa"/>
          </w:tcPr>
          <w:p w:rsidR="000938C1" w:rsidRPr="00F725E9" w:rsidRDefault="000938C1" w:rsidP="00DC30BE">
            <w:pPr>
              <w:spacing w:before="100" w:beforeAutospacing="1" w:after="100" w:afterAutospacing="1"/>
              <w:jc w:val="both"/>
              <w:rPr>
                <w:sz w:val="20"/>
                <w:szCs w:val="20"/>
              </w:rPr>
            </w:pPr>
            <w:r w:rsidRPr="00F725E9">
              <w:rPr>
                <w:sz w:val="20"/>
                <w:szCs w:val="20"/>
              </w:rPr>
              <w:t>17 бр.</w:t>
            </w:r>
          </w:p>
        </w:tc>
      </w:tr>
      <w:tr w:rsidR="000938C1" w:rsidRPr="00F725E9" w:rsidTr="00DC30BE">
        <w:tc>
          <w:tcPr>
            <w:tcW w:w="2700" w:type="dxa"/>
          </w:tcPr>
          <w:p w:rsidR="000938C1" w:rsidRPr="00F725E9" w:rsidRDefault="000938C1" w:rsidP="00DC30BE">
            <w:pPr>
              <w:spacing w:before="100" w:beforeAutospacing="1" w:after="100" w:afterAutospacing="1"/>
              <w:jc w:val="both"/>
              <w:rPr>
                <w:sz w:val="20"/>
                <w:szCs w:val="20"/>
              </w:rPr>
            </w:pPr>
            <w:r w:rsidRPr="00F725E9">
              <w:rPr>
                <w:sz w:val="20"/>
                <w:szCs w:val="20"/>
              </w:rPr>
              <w:t>Велико Търново</w:t>
            </w:r>
          </w:p>
        </w:tc>
        <w:tc>
          <w:tcPr>
            <w:tcW w:w="2340" w:type="dxa"/>
          </w:tcPr>
          <w:p w:rsidR="000938C1" w:rsidRPr="00F725E9" w:rsidRDefault="000938C1" w:rsidP="00DC30BE">
            <w:pPr>
              <w:spacing w:before="100" w:beforeAutospacing="1" w:after="100" w:afterAutospacing="1"/>
              <w:jc w:val="both"/>
              <w:rPr>
                <w:sz w:val="20"/>
                <w:szCs w:val="20"/>
              </w:rPr>
            </w:pPr>
            <w:r w:rsidRPr="00F725E9">
              <w:rPr>
                <w:sz w:val="20"/>
                <w:szCs w:val="20"/>
              </w:rPr>
              <w:t>27 бр.</w:t>
            </w:r>
          </w:p>
        </w:tc>
      </w:tr>
      <w:tr w:rsidR="000938C1" w:rsidRPr="00F725E9" w:rsidTr="00DC30BE">
        <w:tc>
          <w:tcPr>
            <w:tcW w:w="2700" w:type="dxa"/>
          </w:tcPr>
          <w:p w:rsidR="000938C1" w:rsidRPr="00F725E9" w:rsidRDefault="000938C1" w:rsidP="00DC30BE">
            <w:pPr>
              <w:spacing w:before="100" w:beforeAutospacing="1" w:after="100" w:afterAutospacing="1"/>
              <w:jc w:val="both"/>
              <w:rPr>
                <w:sz w:val="20"/>
                <w:szCs w:val="20"/>
              </w:rPr>
            </w:pPr>
            <w:r w:rsidRPr="00F725E9">
              <w:rPr>
                <w:sz w:val="20"/>
                <w:szCs w:val="20"/>
              </w:rPr>
              <w:t>Бургас</w:t>
            </w:r>
          </w:p>
        </w:tc>
        <w:tc>
          <w:tcPr>
            <w:tcW w:w="2340" w:type="dxa"/>
          </w:tcPr>
          <w:p w:rsidR="000938C1" w:rsidRPr="00F725E9" w:rsidRDefault="000938C1" w:rsidP="00DC30BE">
            <w:pPr>
              <w:spacing w:before="100" w:beforeAutospacing="1" w:after="100" w:afterAutospacing="1"/>
              <w:jc w:val="both"/>
              <w:rPr>
                <w:sz w:val="20"/>
                <w:szCs w:val="20"/>
              </w:rPr>
            </w:pPr>
            <w:r w:rsidRPr="00F725E9">
              <w:rPr>
                <w:sz w:val="20"/>
                <w:szCs w:val="20"/>
              </w:rPr>
              <w:t>38 бр.</w:t>
            </w:r>
          </w:p>
        </w:tc>
      </w:tr>
      <w:tr w:rsidR="000938C1" w:rsidRPr="00F725E9" w:rsidTr="00DC30BE">
        <w:tc>
          <w:tcPr>
            <w:tcW w:w="2700" w:type="dxa"/>
          </w:tcPr>
          <w:p w:rsidR="000938C1" w:rsidRPr="00F725E9" w:rsidRDefault="000938C1" w:rsidP="00DC30BE">
            <w:pPr>
              <w:spacing w:before="100" w:beforeAutospacing="1" w:after="100" w:afterAutospacing="1"/>
              <w:jc w:val="both"/>
              <w:rPr>
                <w:sz w:val="20"/>
                <w:szCs w:val="20"/>
              </w:rPr>
            </w:pPr>
            <w:r w:rsidRPr="00F725E9">
              <w:rPr>
                <w:sz w:val="20"/>
                <w:szCs w:val="20"/>
              </w:rPr>
              <w:t>ЦУ</w:t>
            </w:r>
          </w:p>
        </w:tc>
        <w:tc>
          <w:tcPr>
            <w:tcW w:w="2340" w:type="dxa"/>
          </w:tcPr>
          <w:p w:rsidR="000938C1" w:rsidRPr="00F725E9" w:rsidRDefault="000938C1" w:rsidP="00DC30BE">
            <w:pPr>
              <w:spacing w:before="100" w:beforeAutospacing="1" w:after="100" w:afterAutospacing="1"/>
              <w:jc w:val="both"/>
              <w:rPr>
                <w:sz w:val="20"/>
                <w:szCs w:val="20"/>
              </w:rPr>
            </w:pPr>
            <w:r w:rsidRPr="00F725E9">
              <w:rPr>
                <w:sz w:val="20"/>
                <w:szCs w:val="20"/>
              </w:rPr>
              <w:t>20 бр.</w:t>
            </w:r>
          </w:p>
        </w:tc>
      </w:tr>
      <w:tr w:rsidR="000938C1" w:rsidRPr="00F725E9" w:rsidTr="00DC30BE">
        <w:tc>
          <w:tcPr>
            <w:tcW w:w="2700" w:type="dxa"/>
          </w:tcPr>
          <w:p w:rsidR="000938C1" w:rsidRPr="00F725E9" w:rsidRDefault="000938C1" w:rsidP="00DC30BE">
            <w:pPr>
              <w:spacing w:before="100" w:beforeAutospacing="1" w:after="100" w:afterAutospacing="1"/>
              <w:jc w:val="both"/>
              <w:rPr>
                <w:sz w:val="20"/>
                <w:szCs w:val="20"/>
              </w:rPr>
            </w:pPr>
            <w:r w:rsidRPr="00F725E9">
              <w:rPr>
                <w:sz w:val="20"/>
                <w:szCs w:val="20"/>
              </w:rPr>
              <w:t>ГДО</w:t>
            </w:r>
          </w:p>
        </w:tc>
        <w:tc>
          <w:tcPr>
            <w:tcW w:w="2340" w:type="dxa"/>
          </w:tcPr>
          <w:p w:rsidR="000938C1" w:rsidRPr="00F725E9" w:rsidRDefault="000938C1" w:rsidP="00DC30BE">
            <w:pPr>
              <w:spacing w:before="100" w:beforeAutospacing="1" w:after="100" w:afterAutospacing="1"/>
              <w:jc w:val="both"/>
              <w:rPr>
                <w:sz w:val="20"/>
                <w:szCs w:val="20"/>
              </w:rPr>
            </w:pPr>
            <w:r w:rsidRPr="00F725E9">
              <w:rPr>
                <w:sz w:val="20"/>
                <w:szCs w:val="20"/>
              </w:rPr>
              <w:t>2  бр.</w:t>
            </w:r>
          </w:p>
        </w:tc>
      </w:tr>
      <w:tr w:rsidR="000938C1" w:rsidRPr="00F725E9" w:rsidTr="00DC30BE">
        <w:tc>
          <w:tcPr>
            <w:tcW w:w="2700" w:type="dxa"/>
          </w:tcPr>
          <w:p w:rsidR="000938C1" w:rsidRPr="00F725E9" w:rsidRDefault="000938C1" w:rsidP="00DC30BE">
            <w:pPr>
              <w:spacing w:before="100" w:beforeAutospacing="1" w:after="100" w:afterAutospacing="1"/>
              <w:jc w:val="both"/>
              <w:rPr>
                <w:b/>
                <w:sz w:val="20"/>
                <w:szCs w:val="20"/>
              </w:rPr>
            </w:pPr>
            <w:r w:rsidRPr="00F725E9">
              <w:rPr>
                <w:b/>
                <w:sz w:val="20"/>
                <w:szCs w:val="20"/>
              </w:rPr>
              <w:t>ОБЩО:</w:t>
            </w:r>
          </w:p>
        </w:tc>
        <w:tc>
          <w:tcPr>
            <w:tcW w:w="2340" w:type="dxa"/>
          </w:tcPr>
          <w:p w:rsidR="000938C1" w:rsidRPr="00F725E9" w:rsidRDefault="000938C1" w:rsidP="00DC30BE">
            <w:pPr>
              <w:spacing w:before="100" w:beforeAutospacing="1" w:after="100" w:afterAutospacing="1"/>
              <w:jc w:val="both"/>
              <w:rPr>
                <w:b/>
                <w:sz w:val="20"/>
                <w:szCs w:val="20"/>
              </w:rPr>
            </w:pPr>
            <w:r w:rsidRPr="00F725E9">
              <w:rPr>
                <w:b/>
                <w:sz w:val="20"/>
                <w:szCs w:val="20"/>
              </w:rPr>
              <w:t>189 бр.</w:t>
            </w:r>
          </w:p>
        </w:tc>
      </w:tr>
    </w:tbl>
    <w:p w:rsidR="000938C1" w:rsidRPr="00F725E9" w:rsidRDefault="000938C1" w:rsidP="00DD3753">
      <w:pPr>
        <w:jc w:val="both"/>
      </w:pPr>
    </w:p>
    <w:p w:rsidR="000938C1" w:rsidRPr="00673D4D" w:rsidRDefault="000938C1" w:rsidP="00DD3753">
      <w:pPr>
        <w:ind w:firstLine="540"/>
        <w:jc w:val="both"/>
      </w:pPr>
      <w:r w:rsidRPr="00673D4D">
        <w:t xml:space="preserve">В резултат на дейността на дирекцията през 2012 г. са идентифицирани общо 894 задължени лица (ЗЛ), участващи в случаи на данъчна измама. Общата сума на очаквания финансов ефект, вследствие на предприетите мерки от страна на НАП по посочените доклади възлиза на </w:t>
      </w:r>
      <w:r w:rsidRPr="00673D4D">
        <w:rPr>
          <w:bCs/>
        </w:rPr>
        <w:t xml:space="preserve">141,6 млн.  </w:t>
      </w:r>
      <w:r w:rsidRPr="00673D4D">
        <w:t xml:space="preserve">лева. </w:t>
      </w:r>
    </w:p>
    <w:p w:rsidR="000938C1" w:rsidRPr="00673D4D" w:rsidRDefault="000938C1" w:rsidP="00DD3753">
      <w:pPr>
        <w:ind w:firstLine="540"/>
        <w:jc w:val="both"/>
      </w:pPr>
      <w:r w:rsidRPr="00673D4D">
        <w:rPr>
          <w:color w:val="000000"/>
        </w:rPr>
        <w:t xml:space="preserve">В резултат на извършените детайлни анализи са определени най-подходящите начини за третиране на съответните случаи и са направени предложения за предприемане на действия спрямо задължените лица. </w:t>
      </w:r>
      <w:r w:rsidRPr="00673D4D">
        <w:t>Анализът на данните показва подобряване на прецизността при възлагането на ревизии, което намалява риска от извършване на ревизии без голям фискален ефект и оказва влияние върху крайния резултат от провеждането на съответните производства и въведените мерки за предотвратяване на потенциални загуби на данъчни приходи.</w:t>
      </w:r>
    </w:p>
    <w:p w:rsidR="000938C1" w:rsidRPr="00673D4D" w:rsidRDefault="000938C1" w:rsidP="00DD3753">
      <w:pPr>
        <w:ind w:firstLine="540"/>
        <w:jc w:val="both"/>
      </w:pPr>
      <w:r w:rsidRPr="00673D4D">
        <w:t>Във връзка с идентифицираните случаи на данъчни измами и с цел намаляване на негативните ефекти върху бюджета, през 2013</w:t>
      </w:r>
      <w:r>
        <w:t xml:space="preserve"> </w:t>
      </w:r>
      <w:r w:rsidRPr="00673D4D">
        <w:t>г. бяха извършени поредица от съвместни действия на органите на НАП и органите на реда с цел координиране на действията на институциите, които се борят с данъчните престъпления и за ефективно противодействие на закононарушенията свързани с укриване на приходи и ДДС. Осъществявано е активно взаимодействие с органите на МВР и ДАНС с цел пресичане на опитите за измами и предотвратяване действията на организирани престъпни групи. През 2013 г. служителите на отдел</w:t>
      </w:r>
      <w:r>
        <w:t xml:space="preserve"> </w:t>
      </w:r>
      <w:r w:rsidRPr="00673D4D">
        <w:t>”</w:t>
      </w:r>
      <w:r w:rsidRPr="00673D4D">
        <w:rPr>
          <w:bCs/>
        </w:rPr>
        <w:t>РОС</w:t>
      </w:r>
      <w:r w:rsidRPr="00673D4D">
        <w:t>”</w:t>
      </w:r>
      <w:r>
        <w:t xml:space="preserve"> </w:t>
      </w:r>
      <w:r w:rsidRPr="00673D4D">
        <w:t xml:space="preserve">подпомогнаха поредица от акции на МВР, ГДБОП, ДАНС и Специализираната прокуратура срещу ДДС измами със захар, горива, зърно, железа и други високорискови стоки. Разбити са престъпни групи, избягвали плащането на ДДС в особено големи размери, установени са и са задържани основните участници в престъпните схеми, извършени са претърсвания, иззети са счетоводни документи, фискални устройства, компютърни конфигурации и други веществени доказателства, образувани са досъдебни производства, като в резултат съществено са редуцирани щетите върху държавния бюджет на Република България.        </w:t>
      </w:r>
    </w:p>
    <w:p w:rsidR="000938C1" w:rsidRPr="00673D4D" w:rsidRDefault="000938C1" w:rsidP="00DD3753">
      <w:pPr>
        <w:ind w:firstLine="540"/>
        <w:jc w:val="both"/>
      </w:pPr>
      <w:r w:rsidRPr="00673D4D">
        <w:t>Служителите на отдел</w:t>
      </w:r>
      <w:r>
        <w:rPr>
          <w:lang w:val="en-US"/>
        </w:rPr>
        <w:t xml:space="preserve"> </w:t>
      </w:r>
      <w:r w:rsidRPr="00673D4D">
        <w:t>”</w:t>
      </w:r>
      <w:r w:rsidRPr="00673D4D">
        <w:rPr>
          <w:bCs/>
        </w:rPr>
        <w:t>РОС</w:t>
      </w:r>
      <w:r w:rsidRPr="00673D4D">
        <w:t>” извършват също анализ и поддържат актуално състоянието на базата данни от рискови лица, която е от съществено значение за бързата и ефективна селекция на задължени лица спрямо които следва да започнат административни производства и за ефективната дейност на контролните органи на НАП. За 2013 г. в резултат на извършени анализи</w:t>
      </w:r>
      <w:r>
        <w:t xml:space="preserve"> </w:t>
      </w:r>
      <w:r w:rsidRPr="00673D4D">
        <w:t>в регистъра с рискови лица са въведени общо 2 133 броя задължени лица, в това число 219 европейски търговци.</w:t>
      </w:r>
    </w:p>
    <w:p w:rsidR="000938C1" w:rsidRPr="00673D4D" w:rsidRDefault="000938C1" w:rsidP="00DD3753">
      <w:pPr>
        <w:ind w:firstLine="540"/>
        <w:jc w:val="both"/>
        <w:rPr>
          <w:szCs w:val="28"/>
        </w:rPr>
      </w:pPr>
      <w:r w:rsidRPr="00673D4D">
        <w:t>Международната дейност, осъществявана от отдел ”</w:t>
      </w:r>
      <w:r w:rsidRPr="00673D4D">
        <w:rPr>
          <w:bCs/>
        </w:rPr>
        <w:t>РОС</w:t>
      </w:r>
      <w:r w:rsidRPr="00673D4D">
        <w:t>” през 2013 г. спомогна както за обмена на конкретни данни относно замесени български търговци във вътреобщностни или трансгранични схеми за данъчни измами, така и за ранно идентифициране на тенде</w:t>
      </w:r>
      <w:r>
        <w:t>н</w:t>
      </w:r>
      <w:r w:rsidRPr="00673D4D">
        <w:t xml:space="preserve">циите в схемите на извършвани данъчни измами, обмена на опит и добри практики със специализираните звена за борба с данъчните измами в други държави. </w:t>
      </w:r>
      <w:r w:rsidRPr="00673D4D">
        <w:rPr>
          <w:szCs w:val="28"/>
        </w:rPr>
        <w:t>За повишаване на ефективността на борбата с данъчните измами от съществено значение е инициирането и въвеждане на набор от нови, по-строги национални мерки срещу укриването на данъци и избягването на данъчно облагане.</w:t>
      </w:r>
      <w:r>
        <w:rPr>
          <w:szCs w:val="28"/>
        </w:rPr>
        <w:t xml:space="preserve"> </w:t>
      </w:r>
      <w:r w:rsidRPr="00673D4D">
        <w:rPr>
          <w:szCs w:val="28"/>
        </w:rPr>
        <w:t>Служители на отдел</w:t>
      </w:r>
      <w:r>
        <w:rPr>
          <w:szCs w:val="28"/>
        </w:rPr>
        <w:t xml:space="preserve"> </w:t>
      </w:r>
      <w:r w:rsidRPr="00673D4D">
        <w:t>”</w:t>
      </w:r>
      <w:r w:rsidRPr="00673D4D">
        <w:rPr>
          <w:bCs/>
        </w:rPr>
        <w:t>РОС</w:t>
      </w:r>
      <w:r w:rsidRPr="00673D4D">
        <w:t>”</w:t>
      </w:r>
      <w:r w:rsidRPr="00673D4D">
        <w:rPr>
          <w:szCs w:val="28"/>
        </w:rPr>
        <w:t xml:space="preserve"> съвместно с представители на други дирекции участваха в поредица от работни срещи за обсъждане на решенията на Европейския съд по данъчни дела и прилагането им в НАП, с оглед преценяване на необходимостта от промяна на ревизионната практика и на нормативната уредба във връзка с противодействие на данъчните измами и набелязване на конкретни мерки за решаване на проблема.</w:t>
      </w:r>
    </w:p>
    <w:p w:rsidR="000938C1" w:rsidRPr="00673D4D" w:rsidRDefault="000938C1" w:rsidP="00DD3753">
      <w:pPr>
        <w:ind w:firstLine="540"/>
        <w:jc w:val="both"/>
      </w:pPr>
      <w:r w:rsidRPr="00673D4D">
        <w:rPr>
          <w:szCs w:val="28"/>
        </w:rPr>
        <w:t xml:space="preserve">През 2013 г. са предприети и стъпки за изпращането на предупредителни писма до търговците </w:t>
      </w:r>
      <w:r w:rsidRPr="00673D4D">
        <w:t>и използването на така изпратените писма при прилагане на солидарна отговорност за дължим и неплатен ДДС по смисъла на чл. 177 от ЗДДС и е направено предложение за прилагането на тази мярка и в България. Целта е чрез въвеждане на легални техники да се насърчи добросъвестното поведение на доставчици и избягване на участието им в схеми на измами с ДДС.</w:t>
      </w:r>
    </w:p>
    <w:p w:rsidR="000938C1" w:rsidRPr="00673D4D" w:rsidRDefault="000938C1" w:rsidP="00DD3753">
      <w:pPr>
        <w:spacing w:before="120"/>
        <w:ind w:firstLine="708"/>
        <w:jc w:val="both"/>
      </w:pPr>
      <w:r w:rsidRPr="00673D4D">
        <w:t>Представители на отдел ”</w:t>
      </w:r>
      <w:r w:rsidRPr="00673D4D">
        <w:rPr>
          <w:bCs/>
        </w:rPr>
        <w:t>РОС</w:t>
      </w:r>
      <w:r w:rsidRPr="00673D4D">
        <w:t xml:space="preserve">” участваха в  поредицата от срещи, проведени през 2013 г. на общата работна група от представители на НАП и Агенция </w:t>
      </w:r>
      <w:r w:rsidRPr="00F725E9">
        <w:t>„Митници”</w:t>
      </w:r>
      <w:r w:rsidRPr="00673D4D">
        <w:t>, сформирана във връзка с подписаната „Съвместна декларация за митническо и данъчно сътрудничество и взаимно подпомагане” от министрите на финансите на Република България и Република Гърция.</w:t>
      </w:r>
    </w:p>
    <w:p w:rsidR="000938C1" w:rsidRPr="00673D4D" w:rsidRDefault="000938C1" w:rsidP="00DD3753">
      <w:pPr>
        <w:pStyle w:val="BodyText"/>
        <w:spacing w:after="40"/>
        <w:ind w:firstLine="720"/>
        <w:jc w:val="both"/>
        <w:rPr>
          <w:b/>
          <w:color w:val="0070C0"/>
          <w:u w:val="single"/>
        </w:rPr>
      </w:pPr>
    </w:p>
    <w:p w:rsidR="000938C1" w:rsidRPr="00F725E9" w:rsidRDefault="000938C1" w:rsidP="00DD3753">
      <w:pPr>
        <w:pStyle w:val="BodyText"/>
        <w:spacing w:after="40"/>
        <w:ind w:firstLine="720"/>
        <w:jc w:val="both"/>
        <w:rPr>
          <w:b/>
          <w:u w:val="single"/>
        </w:rPr>
      </w:pPr>
      <w:r w:rsidRPr="00F725E9">
        <w:rPr>
          <w:b/>
          <w:u w:val="single"/>
        </w:rPr>
        <w:t>Мерки, предприети от Агенция „Митници” за борба с митническите, акцизните и валутните нарушения и ефект от предприетите действия</w:t>
      </w:r>
    </w:p>
    <w:p w:rsidR="000938C1" w:rsidRPr="00F725E9" w:rsidRDefault="000938C1" w:rsidP="00DD3753">
      <w:pPr>
        <w:ind w:left="360"/>
        <w:jc w:val="both"/>
        <w:rPr>
          <w:color w:val="0070C0"/>
          <w:sz w:val="4"/>
          <w:szCs w:val="4"/>
          <w:u w:val="single"/>
        </w:rPr>
      </w:pPr>
    </w:p>
    <w:p w:rsidR="000938C1" w:rsidRPr="00F725E9" w:rsidRDefault="000938C1" w:rsidP="00DD3753">
      <w:pPr>
        <w:kinsoku w:val="0"/>
        <w:overflowPunct w:val="0"/>
        <w:contextualSpacing/>
        <w:jc w:val="both"/>
        <w:textAlignment w:val="baseline"/>
        <w:rPr>
          <w:color w:val="0070C0"/>
          <w:sz w:val="4"/>
          <w:szCs w:val="4"/>
          <w:u w:val="single"/>
        </w:rPr>
      </w:pPr>
    </w:p>
    <w:p w:rsidR="000938C1" w:rsidRPr="00673D4D" w:rsidRDefault="000938C1" w:rsidP="00DD3753">
      <w:pPr>
        <w:spacing w:before="120" w:after="120"/>
        <w:ind w:firstLine="540"/>
        <w:jc w:val="both"/>
      </w:pPr>
      <w:r w:rsidRPr="00673D4D">
        <w:t>Целите</w:t>
      </w:r>
      <w:r>
        <w:t xml:space="preserve"> </w:t>
      </w:r>
      <w:r w:rsidRPr="00673D4D">
        <w:t>и приоритетите на митническата администрация през 2013 г. бяха насочени към:</w:t>
      </w:r>
    </w:p>
    <w:p w:rsidR="000938C1" w:rsidRPr="00673D4D" w:rsidRDefault="000938C1" w:rsidP="00F30F79">
      <w:pPr>
        <w:pStyle w:val="ListParagraph"/>
        <w:numPr>
          <w:ilvl w:val="0"/>
          <w:numId w:val="81"/>
        </w:numPr>
        <w:spacing w:before="120" w:after="120"/>
        <w:jc w:val="both"/>
      </w:pPr>
      <w:r w:rsidRPr="00673D4D">
        <w:t xml:space="preserve">улесняване на законната търговия чрез модернизиране на митническите работни методи в съответствие със стандартите на Европейския съюз, </w:t>
      </w:r>
    </w:p>
    <w:p w:rsidR="000938C1" w:rsidRPr="00673D4D" w:rsidRDefault="000938C1" w:rsidP="00F30F79">
      <w:pPr>
        <w:pStyle w:val="ListParagraph"/>
        <w:numPr>
          <w:ilvl w:val="0"/>
          <w:numId w:val="81"/>
        </w:numPr>
        <w:spacing w:before="120" w:after="120"/>
        <w:jc w:val="both"/>
      </w:pPr>
      <w:r w:rsidRPr="00673D4D">
        <w:t xml:space="preserve">задълбочаване на сътрудничеството с други митнически администрации, с правоприлагащите органи, с икономическите оператори и обществеността, </w:t>
      </w:r>
    </w:p>
    <w:p w:rsidR="000938C1" w:rsidRPr="00673D4D" w:rsidRDefault="000938C1" w:rsidP="00F30F79">
      <w:pPr>
        <w:pStyle w:val="ListParagraph"/>
        <w:numPr>
          <w:ilvl w:val="0"/>
          <w:numId w:val="81"/>
        </w:numPr>
        <w:spacing w:before="120" w:after="120"/>
        <w:jc w:val="both"/>
      </w:pPr>
      <w:r w:rsidRPr="00673D4D">
        <w:t xml:space="preserve">защита на обществото, националните интереси и финансовите интереси на Европейския съюз чрез ефективни мерки за противодействие на митническите, валутните и акцизните нарушения, на незаконния трафик на наркотични вещества, прекурсори, оръжия и изделия и технологии с двойна употреба, защитата на правата върху интелектуалната собственост. </w:t>
      </w:r>
    </w:p>
    <w:p w:rsidR="000938C1" w:rsidRPr="00673D4D" w:rsidRDefault="000938C1" w:rsidP="00DD3753">
      <w:pPr>
        <w:spacing w:before="120" w:after="120"/>
        <w:ind w:firstLine="540"/>
        <w:jc w:val="both"/>
      </w:pPr>
      <w:r w:rsidRPr="00673D4D">
        <w:t>С цел осигуряване в най-голяма степен на заложените в Закона за изменение и допълнение на Закона за държавния бюджет на Република България за 2013 г. приходи, Агенция „Митници” предприе следните мерки за повишаване на бюджетните приходи:</w:t>
      </w:r>
    </w:p>
    <w:p w:rsidR="000938C1" w:rsidRPr="00673D4D" w:rsidRDefault="000938C1" w:rsidP="00F30F79">
      <w:pPr>
        <w:numPr>
          <w:ilvl w:val="0"/>
          <w:numId w:val="80"/>
        </w:numPr>
        <w:spacing w:before="120" w:after="120"/>
        <w:ind w:left="0" w:firstLine="540"/>
        <w:jc w:val="both"/>
      </w:pPr>
      <w:r>
        <w:t xml:space="preserve"> </w:t>
      </w:r>
      <w:r w:rsidRPr="00673D4D">
        <w:t>Максимално интензифициране на използването на наличния административен и технически капацитет и на финансовите ресурси за извършване на проверки в зоните на ГКПП и на територията на страната с приоритет контрол на тютюневи изделия.</w:t>
      </w:r>
    </w:p>
    <w:p w:rsidR="000938C1" w:rsidRPr="00673D4D" w:rsidRDefault="000938C1" w:rsidP="00F30F79">
      <w:pPr>
        <w:numPr>
          <w:ilvl w:val="0"/>
          <w:numId w:val="80"/>
        </w:numPr>
        <w:spacing w:before="120" w:after="120"/>
        <w:ind w:left="0" w:firstLine="540"/>
        <w:jc w:val="both"/>
      </w:pPr>
      <w:r>
        <w:t xml:space="preserve"> </w:t>
      </w:r>
      <w:r w:rsidRPr="00673D4D">
        <w:t>Засилване на сътрудничеството с правоохранителните и правоприлагащите органи с оглед постигане на по-ефективни резултати в борбата срещу нарушенията с предмет тютютневи изделия и енергийни продукти.</w:t>
      </w:r>
    </w:p>
    <w:p w:rsidR="000938C1" w:rsidRPr="00673D4D" w:rsidRDefault="000938C1" w:rsidP="00F30F79">
      <w:pPr>
        <w:numPr>
          <w:ilvl w:val="0"/>
          <w:numId w:val="80"/>
        </w:numPr>
        <w:spacing w:before="120" w:after="120"/>
        <w:ind w:left="0" w:firstLine="540"/>
        <w:jc w:val="both"/>
      </w:pPr>
      <w:r>
        <w:t xml:space="preserve"> </w:t>
      </w:r>
      <w:r w:rsidRPr="00673D4D">
        <w:t>По-добро използване на възможностите на мобилните екипи и мобилните групи чрез насочването им към важни цели с максимално използване на техниките на анализа на риска за по-добро таргетиране при набелязване на обектите за контрол.</w:t>
      </w:r>
    </w:p>
    <w:p w:rsidR="000938C1" w:rsidRPr="00673D4D" w:rsidRDefault="000938C1" w:rsidP="00F30F79">
      <w:pPr>
        <w:numPr>
          <w:ilvl w:val="0"/>
          <w:numId w:val="80"/>
        </w:numPr>
        <w:spacing w:before="120" w:after="120"/>
        <w:ind w:left="0" w:firstLine="540"/>
        <w:jc w:val="both"/>
      </w:pPr>
      <w:r>
        <w:t xml:space="preserve"> </w:t>
      </w:r>
      <w:r w:rsidRPr="00673D4D">
        <w:t>Рационализиране и оптимизиране на контрола и контролните процедури чрез системен анализ на риска с оглед ефективна селекция на обектите на контрол.</w:t>
      </w:r>
    </w:p>
    <w:p w:rsidR="000938C1" w:rsidRPr="00673D4D" w:rsidRDefault="000938C1" w:rsidP="00F30F79">
      <w:pPr>
        <w:numPr>
          <w:ilvl w:val="0"/>
          <w:numId w:val="80"/>
        </w:numPr>
        <w:spacing w:before="120" w:after="120"/>
        <w:ind w:left="0" w:firstLine="540"/>
        <w:jc w:val="both"/>
      </w:pPr>
      <w:r w:rsidRPr="00673D4D">
        <w:t xml:space="preserve"> Справедливо отношение към бизнеса</w:t>
      </w:r>
      <w:r w:rsidRPr="00F725E9">
        <w:t xml:space="preserve"> и стимулиране на доброволното изпълнение на възникналите задължения</w:t>
      </w:r>
      <w:r w:rsidRPr="00673D4D">
        <w:t>.</w:t>
      </w:r>
    </w:p>
    <w:p w:rsidR="000938C1" w:rsidRPr="00673D4D" w:rsidRDefault="000938C1" w:rsidP="00F30F79">
      <w:pPr>
        <w:numPr>
          <w:ilvl w:val="0"/>
          <w:numId w:val="80"/>
        </w:numPr>
        <w:spacing w:before="120" w:after="120"/>
        <w:ind w:left="0" w:firstLine="540"/>
        <w:jc w:val="both"/>
      </w:pPr>
      <w:r>
        <w:t xml:space="preserve"> </w:t>
      </w:r>
      <w:r w:rsidRPr="00673D4D">
        <w:t>Оптимално използване на технически средства при извършваните проверки с цел намаляване на времето за контрол.</w:t>
      </w:r>
    </w:p>
    <w:p w:rsidR="000938C1" w:rsidRPr="00673D4D" w:rsidRDefault="000938C1" w:rsidP="00F30F79">
      <w:pPr>
        <w:numPr>
          <w:ilvl w:val="0"/>
          <w:numId w:val="80"/>
        </w:numPr>
        <w:spacing w:before="120" w:after="120"/>
        <w:ind w:left="0" w:firstLine="540"/>
        <w:jc w:val="both"/>
      </w:pPr>
      <w:r>
        <w:t xml:space="preserve"> </w:t>
      </w:r>
      <w:r w:rsidRPr="00F725E9">
        <w:t>Подобряване на дейността по селекцията и планирането на проверки</w:t>
      </w:r>
      <w:r w:rsidRPr="00673D4D">
        <w:t xml:space="preserve"> в рамките на последващия контрол и извършване на ревизии и проверки по случаи със значим фискален ефект за бюджета.</w:t>
      </w:r>
    </w:p>
    <w:p w:rsidR="000938C1" w:rsidRPr="00673D4D" w:rsidRDefault="000938C1" w:rsidP="00F30F79">
      <w:pPr>
        <w:numPr>
          <w:ilvl w:val="0"/>
          <w:numId w:val="80"/>
        </w:numPr>
        <w:spacing w:before="120" w:after="120"/>
        <w:ind w:left="0" w:firstLine="540"/>
        <w:jc w:val="both"/>
      </w:pPr>
      <w:r>
        <w:t xml:space="preserve"> </w:t>
      </w:r>
      <w:r w:rsidRPr="00673D4D">
        <w:t>Подобряване на бизнес средата и инвестиционната активност, включително и привличане на национално ниво на нови икономически оператори.</w:t>
      </w:r>
    </w:p>
    <w:p w:rsidR="000938C1" w:rsidRPr="00673D4D" w:rsidRDefault="000938C1" w:rsidP="00DD3753">
      <w:pPr>
        <w:spacing w:before="120"/>
        <w:ind w:firstLine="540"/>
        <w:jc w:val="both"/>
      </w:pPr>
      <w:r w:rsidRPr="00673D4D">
        <w:t>През 2013 г. в резултат на извършения от митническите служители оперативен контрол са установени 5 760 броя административни нарушения, от които 3 350 броя административни нарушения на акцизното законодателство и 2 610 броя административни нарушения на митническото законодателство. Образувани са общо 7 404 броя административно-наказателни производства, от които 4 614 са за нарушения по ЗАДС и 2 696 броя по ЗМ. Постановените суми по наказателни постановления за годината, в това число споразумения за прекратяване на административно-наказателни постановления, са в размер на 38</w:t>
      </w:r>
      <w:r w:rsidRPr="00F725E9">
        <w:t>,</w:t>
      </w:r>
      <w:r w:rsidRPr="00673D4D">
        <w:t>6 млн.лв., а събраната сума е 3,6 млн. лв., като от тях 1,0 млн. лв. - от споразумения за прекратяване на административно-наказателни производства.</w:t>
      </w:r>
    </w:p>
    <w:p w:rsidR="000938C1" w:rsidRPr="00673D4D" w:rsidRDefault="000938C1" w:rsidP="00DD3753">
      <w:pPr>
        <w:spacing w:before="120"/>
        <w:ind w:firstLine="540"/>
        <w:jc w:val="both"/>
      </w:pPr>
      <w:r w:rsidRPr="00673D4D">
        <w:t xml:space="preserve">През 2013 г. са извършени 102 проверки в рамките на последващия контрол по реда на чл. 78, пар. 2 от Регламент № 2913/92 на Съвета и повторни проверки на декларирането по реда на чл. 78, пар. 1 от същия регламент (в т.ч. са и приключените проверки по заповеди за възлагане от 2012 г.). В резултат са установени за досъбиране публични държавни вземания на обща стойност 2,1 млн. лв. (мита –  0,5 млн. лв. и ДДС от внос -  1,6 млн. лв.). Общата стойност на събраните суми е 0,4 млн. лв.: ДДС от внос – 0,4 млн. лв. и мита – 0,02 млн. лева. </w:t>
      </w:r>
    </w:p>
    <w:p w:rsidR="000938C1" w:rsidRPr="00673D4D" w:rsidRDefault="000938C1" w:rsidP="00DD3753">
      <w:pPr>
        <w:spacing w:before="120"/>
        <w:ind w:firstLine="540"/>
        <w:jc w:val="both"/>
      </w:pPr>
      <w:r w:rsidRPr="00673D4D">
        <w:t>През 2013 г. са приключени общо 67 броя ревизии на данъчнозадължени лица за установяване на задължения за акциз. Установените с ревизионните актове задължения за акциз са в размер на 8,0 млн. лв. С оглед разпоредбата на чл.175, ал.1 от ДОПК са начислени и лихви за просрочие в размер на 2,7 млн.</w:t>
      </w:r>
      <w:r>
        <w:rPr>
          <w:lang w:val="en-US"/>
        </w:rPr>
        <w:t xml:space="preserve"> </w:t>
      </w:r>
      <w:r w:rsidRPr="00673D4D">
        <w:t xml:space="preserve">лв. Погасените задължения за акциз са в размер на 2,8 млн. лв. и лихви за просрочие - в размер на 1,0 млн. лева. </w:t>
      </w:r>
    </w:p>
    <w:p w:rsidR="000938C1" w:rsidRPr="00F725E9" w:rsidRDefault="000938C1" w:rsidP="0052476D">
      <w:pPr>
        <w:tabs>
          <w:tab w:val="left" w:pos="1440"/>
        </w:tabs>
        <w:ind w:firstLine="567"/>
        <w:jc w:val="both"/>
        <w:rPr>
          <w:color w:val="0070C0"/>
        </w:rPr>
      </w:pPr>
      <w:r w:rsidRPr="00673D4D">
        <w:t>През 2013 г. са задържани 44 млн. къса цигари и 224,9 тона тютюн за пушене като са предотвратени загуби от акциз в размер на 50,7 млн. лева</w:t>
      </w:r>
      <w:r w:rsidRPr="00F725E9">
        <w:rPr>
          <w:color w:val="0070C0"/>
        </w:rPr>
        <w:t>.</w:t>
      </w:r>
    </w:p>
    <w:p w:rsidR="000938C1" w:rsidRPr="00F725E9" w:rsidRDefault="000938C1" w:rsidP="0058411C">
      <w:pPr>
        <w:tabs>
          <w:tab w:val="left" w:pos="1440"/>
        </w:tabs>
        <w:ind w:left="720"/>
        <w:jc w:val="both"/>
        <w:rPr>
          <w:color w:val="0070C0"/>
          <w:sz w:val="6"/>
          <w:szCs w:val="6"/>
        </w:rPr>
      </w:pPr>
      <w:r w:rsidRPr="0023385C">
        <w:rPr>
          <w:color w:val="0070C0"/>
        </w:rPr>
        <w:br w:type="page"/>
      </w:r>
    </w:p>
    <w:p w:rsidR="000938C1" w:rsidRPr="00F725E9" w:rsidRDefault="000938C1" w:rsidP="00F30F79">
      <w:pPr>
        <w:pStyle w:val="Heading3"/>
        <w:numPr>
          <w:ilvl w:val="1"/>
          <w:numId w:val="72"/>
        </w:numPr>
        <w:spacing w:before="0" w:after="0"/>
        <w:rPr>
          <w:rFonts w:ascii="Times New Roman" w:hAnsi="Times New Roman"/>
          <w:sz w:val="24"/>
          <w:lang w:val="bg-BG"/>
        </w:rPr>
      </w:pPr>
      <w:bookmarkStart w:id="107" w:name="_Toc324863403"/>
      <w:bookmarkStart w:id="108" w:name="_Toc393728055"/>
      <w:r w:rsidRPr="00F725E9">
        <w:rPr>
          <w:rFonts w:ascii="Times New Roman" w:hAnsi="Times New Roman"/>
          <w:sz w:val="24"/>
          <w:lang w:val="bg-BG"/>
        </w:rPr>
        <w:t>Изпълнение на приходите по консолидираната фискална програма</w:t>
      </w:r>
      <w:bookmarkEnd w:id="107"/>
      <w:bookmarkEnd w:id="108"/>
    </w:p>
    <w:p w:rsidR="000938C1" w:rsidRPr="00F725E9" w:rsidRDefault="000938C1" w:rsidP="00D12312">
      <w:pPr>
        <w:tabs>
          <w:tab w:val="left" w:pos="900"/>
        </w:tabs>
        <w:ind w:firstLine="900"/>
        <w:jc w:val="both"/>
        <w:rPr>
          <w:color w:val="0070C0"/>
          <w:sz w:val="8"/>
          <w:szCs w:val="8"/>
        </w:rPr>
      </w:pPr>
    </w:p>
    <w:p w:rsidR="000938C1" w:rsidRPr="00F725E9" w:rsidRDefault="000938C1" w:rsidP="00F30F79">
      <w:pPr>
        <w:ind w:firstLine="540"/>
        <w:jc w:val="both"/>
      </w:pPr>
      <w:bookmarkStart w:id="109" w:name="_Toc167181035"/>
      <w:bookmarkStart w:id="110" w:name="_Toc261276578"/>
      <w:bookmarkStart w:id="111" w:name="_Toc324863415"/>
      <w:r w:rsidRPr="00F725E9">
        <w:t>Отчетът на приходите по КФП за периода 2010 г. – 2013 г. по основни групи, представени и като процент от БВП, е както следва:</w:t>
      </w:r>
    </w:p>
    <w:p w:rsidR="000938C1" w:rsidRPr="00F725E9" w:rsidRDefault="000938C1" w:rsidP="00F30F79">
      <w:pPr>
        <w:ind w:firstLine="540"/>
        <w:jc w:val="both"/>
        <w:rPr>
          <w:sz w:val="8"/>
          <w:szCs w:val="8"/>
        </w:rPr>
      </w:pPr>
    </w:p>
    <w:p w:rsidR="000938C1" w:rsidRPr="00F725E9" w:rsidRDefault="000938C1" w:rsidP="00F30F79">
      <w:pPr>
        <w:ind w:firstLine="540"/>
        <w:jc w:val="both"/>
        <w:rPr>
          <w:sz w:val="4"/>
          <w:szCs w:val="4"/>
        </w:rPr>
      </w:pPr>
    </w:p>
    <w:p w:rsidR="000938C1" w:rsidRPr="00F725E9" w:rsidRDefault="000938C1" w:rsidP="00F30F79">
      <w:pPr>
        <w:jc w:val="center"/>
        <w:rPr>
          <w:b/>
          <w:i/>
        </w:rPr>
      </w:pPr>
    </w:p>
    <w:p w:rsidR="000938C1" w:rsidRPr="00F725E9" w:rsidRDefault="000938C1" w:rsidP="00F30F79">
      <w:pPr>
        <w:jc w:val="center"/>
        <w:rPr>
          <w:b/>
          <w:i/>
        </w:rPr>
      </w:pPr>
      <w:r w:rsidRPr="00F725E9">
        <w:rPr>
          <w:b/>
          <w:i/>
        </w:rPr>
        <w:t>Приходи по консолидираната фискална програма за периода 2010 г. – 2013 г.</w:t>
      </w:r>
    </w:p>
    <w:p w:rsidR="000938C1" w:rsidRPr="00F725E9" w:rsidRDefault="000938C1" w:rsidP="00F30F79">
      <w:pPr>
        <w:jc w:val="center"/>
        <w:rPr>
          <w:b/>
          <w:i/>
          <w:color w:val="0070C0"/>
          <w:sz w:val="8"/>
          <w:szCs w:val="8"/>
        </w:rPr>
      </w:pPr>
    </w:p>
    <w:tbl>
      <w:tblPr>
        <w:tblW w:w="10065" w:type="dxa"/>
        <w:tblInd w:w="-72" w:type="dxa"/>
        <w:tblLayout w:type="fixed"/>
        <w:tblCellMar>
          <w:left w:w="70" w:type="dxa"/>
          <w:right w:w="70" w:type="dxa"/>
        </w:tblCellMar>
        <w:tblLook w:val="0000"/>
      </w:tblPr>
      <w:tblGrid>
        <w:gridCol w:w="2835"/>
        <w:gridCol w:w="851"/>
        <w:gridCol w:w="709"/>
        <w:gridCol w:w="850"/>
        <w:gridCol w:w="709"/>
        <w:gridCol w:w="992"/>
        <w:gridCol w:w="709"/>
        <w:gridCol w:w="851"/>
        <w:gridCol w:w="708"/>
        <w:gridCol w:w="851"/>
      </w:tblGrid>
      <w:tr w:rsidR="000938C1" w:rsidRPr="00F725E9" w:rsidTr="00B37CFE">
        <w:trPr>
          <w:trHeight w:val="127"/>
        </w:trPr>
        <w:tc>
          <w:tcPr>
            <w:tcW w:w="2835" w:type="dxa"/>
            <w:vMerge w:val="restart"/>
            <w:tcBorders>
              <w:top w:val="double" w:sz="6" w:space="0" w:color="800000"/>
              <w:left w:val="double" w:sz="6" w:space="0" w:color="800000"/>
              <w:bottom w:val="double" w:sz="6" w:space="0" w:color="800000"/>
              <w:right w:val="single" w:sz="4" w:space="0" w:color="FFFFFF"/>
            </w:tcBorders>
            <w:shd w:val="clear" w:color="auto" w:fill="800000"/>
          </w:tcPr>
          <w:p w:rsidR="000938C1" w:rsidRPr="00F725E9" w:rsidRDefault="000938C1" w:rsidP="00DC30BE">
            <w:pPr>
              <w:rPr>
                <w:b/>
                <w:bCs/>
                <w:color w:val="FFFFFF"/>
              </w:rPr>
            </w:pPr>
          </w:p>
          <w:p w:rsidR="000938C1" w:rsidRPr="00F725E9" w:rsidRDefault="000938C1" w:rsidP="00DC30BE">
            <w:pPr>
              <w:rPr>
                <w:b/>
                <w:bCs/>
                <w:color w:val="FFFFFF"/>
              </w:rPr>
            </w:pPr>
          </w:p>
          <w:p w:rsidR="000938C1" w:rsidRPr="00F725E9" w:rsidRDefault="000938C1" w:rsidP="00DC30BE">
            <w:pPr>
              <w:jc w:val="right"/>
              <w:rPr>
                <w:b/>
                <w:bCs/>
                <w:color w:val="FFFFFF"/>
              </w:rPr>
            </w:pPr>
            <w:r w:rsidRPr="00F725E9">
              <w:rPr>
                <w:b/>
                <w:bCs/>
                <w:color w:val="FFFFFF"/>
                <w:sz w:val="22"/>
                <w:szCs w:val="22"/>
              </w:rPr>
              <w:t>(млн. лв.)</w:t>
            </w:r>
          </w:p>
        </w:tc>
        <w:tc>
          <w:tcPr>
            <w:tcW w:w="1560" w:type="dxa"/>
            <w:gridSpan w:val="2"/>
            <w:tcBorders>
              <w:top w:val="double" w:sz="6" w:space="0" w:color="800000"/>
              <w:left w:val="nil"/>
              <w:bottom w:val="single" w:sz="4" w:space="0" w:color="FFFFFF"/>
              <w:right w:val="single" w:sz="4" w:space="0" w:color="FFFFFF"/>
            </w:tcBorders>
            <w:shd w:val="clear" w:color="auto" w:fill="800000"/>
          </w:tcPr>
          <w:p w:rsidR="000938C1" w:rsidRPr="00F725E9" w:rsidRDefault="000938C1" w:rsidP="00DC30BE">
            <w:pPr>
              <w:jc w:val="center"/>
              <w:rPr>
                <w:b/>
                <w:bCs/>
                <w:color w:val="FFFFFF"/>
                <w:sz w:val="20"/>
                <w:szCs w:val="20"/>
              </w:rPr>
            </w:pPr>
            <w:r w:rsidRPr="00F725E9">
              <w:rPr>
                <w:b/>
                <w:bCs/>
                <w:color w:val="FFFFFF"/>
                <w:sz w:val="20"/>
                <w:szCs w:val="20"/>
              </w:rPr>
              <w:t>2010 г.</w:t>
            </w:r>
          </w:p>
        </w:tc>
        <w:tc>
          <w:tcPr>
            <w:tcW w:w="1559" w:type="dxa"/>
            <w:gridSpan w:val="2"/>
            <w:tcBorders>
              <w:top w:val="double" w:sz="6" w:space="0" w:color="800000"/>
              <w:left w:val="nil"/>
              <w:bottom w:val="single" w:sz="4" w:space="0" w:color="FFFFFF"/>
              <w:right w:val="single" w:sz="4" w:space="0" w:color="FFFFFF"/>
            </w:tcBorders>
            <w:shd w:val="clear" w:color="auto" w:fill="800000"/>
            <w:noWrap/>
          </w:tcPr>
          <w:p w:rsidR="000938C1" w:rsidRPr="00F725E9" w:rsidRDefault="000938C1" w:rsidP="00DC30BE">
            <w:pPr>
              <w:jc w:val="center"/>
              <w:rPr>
                <w:b/>
                <w:bCs/>
                <w:color w:val="FFFFFF"/>
                <w:sz w:val="20"/>
                <w:szCs w:val="20"/>
              </w:rPr>
            </w:pPr>
            <w:r w:rsidRPr="00F725E9">
              <w:rPr>
                <w:b/>
                <w:bCs/>
                <w:color w:val="FFFFFF"/>
                <w:sz w:val="20"/>
                <w:szCs w:val="20"/>
              </w:rPr>
              <w:t>2011 г.</w:t>
            </w:r>
          </w:p>
        </w:tc>
        <w:tc>
          <w:tcPr>
            <w:tcW w:w="1701" w:type="dxa"/>
            <w:gridSpan w:val="2"/>
            <w:tcBorders>
              <w:top w:val="double" w:sz="6" w:space="0" w:color="800000"/>
              <w:left w:val="single" w:sz="4" w:space="0" w:color="FFFFFF"/>
              <w:bottom w:val="single" w:sz="4" w:space="0" w:color="FFFFFF"/>
              <w:right w:val="single" w:sz="4" w:space="0" w:color="FFFFFF"/>
            </w:tcBorders>
            <w:shd w:val="clear" w:color="auto" w:fill="800000"/>
          </w:tcPr>
          <w:p w:rsidR="000938C1" w:rsidRPr="00F725E9" w:rsidRDefault="000938C1" w:rsidP="00DC30BE">
            <w:pPr>
              <w:jc w:val="center"/>
              <w:rPr>
                <w:b/>
                <w:bCs/>
                <w:color w:val="FFFFFF"/>
                <w:sz w:val="20"/>
                <w:szCs w:val="20"/>
              </w:rPr>
            </w:pPr>
            <w:r w:rsidRPr="00F725E9">
              <w:rPr>
                <w:b/>
                <w:bCs/>
                <w:color w:val="FFFFFF"/>
                <w:sz w:val="20"/>
                <w:szCs w:val="20"/>
              </w:rPr>
              <w:t>2012 г.</w:t>
            </w:r>
          </w:p>
        </w:tc>
        <w:tc>
          <w:tcPr>
            <w:tcW w:w="2410" w:type="dxa"/>
            <w:gridSpan w:val="3"/>
            <w:tcBorders>
              <w:top w:val="double" w:sz="6" w:space="0" w:color="800000"/>
              <w:left w:val="nil"/>
              <w:bottom w:val="single" w:sz="4" w:space="0" w:color="FFFFFF"/>
              <w:right w:val="double" w:sz="6" w:space="0" w:color="800000"/>
            </w:tcBorders>
            <w:shd w:val="clear" w:color="auto" w:fill="800000"/>
          </w:tcPr>
          <w:p w:rsidR="000938C1" w:rsidRPr="00F725E9" w:rsidRDefault="000938C1" w:rsidP="00DC30BE">
            <w:pPr>
              <w:jc w:val="center"/>
              <w:rPr>
                <w:b/>
                <w:bCs/>
                <w:color w:val="FFFFFF"/>
                <w:sz w:val="20"/>
                <w:szCs w:val="20"/>
              </w:rPr>
            </w:pPr>
            <w:r w:rsidRPr="00F725E9">
              <w:rPr>
                <w:b/>
                <w:bCs/>
                <w:color w:val="FFFFFF"/>
                <w:sz w:val="20"/>
                <w:szCs w:val="20"/>
              </w:rPr>
              <w:t>2013 г.</w:t>
            </w:r>
          </w:p>
        </w:tc>
      </w:tr>
      <w:tr w:rsidR="000938C1" w:rsidRPr="00F725E9" w:rsidTr="00B37CFE">
        <w:trPr>
          <w:trHeight w:val="465"/>
        </w:trPr>
        <w:tc>
          <w:tcPr>
            <w:tcW w:w="2835" w:type="dxa"/>
            <w:vMerge/>
            <w:tcBorders>
              <w:top w:val="double" w:sz="6" w:space="0" w:color="FFFFFF"/>
              <w:left w:val="double" w:sz="6" w:space="0" w:color="800000"/>
              <w:bottom w:val="double" w:sz="6" w:space="0" w:color="800000"/>
              <w:right w:val="single" w:sz="4" w:space="0" w:color="FFFFFF"/>
            </w:tcBorders>
            <w:vAlign w:val="center"/>
          </w:tcPr>
          <w:p w:rsidR="000938C1" w:rsidRPr="00F725E9" w:rsidRDefault="000938C1" w:rsidP="00DC30BE">
            <w:pPr>
              <w:rPr>
                <w:b/>
                <w:bCs/>
                <w:color w:val="FFFFFF"/>
              </w:rPr>
            </w:pPr>
          </w:p>
        </w:tc>
        <w:tc>
          <w:tcPr>
            <w:tcW w:w="851" w:type="dxa"/>
            <w:tcBorders>
              <w:top w:val="nil"/>
              <w:left w:val="nil"/>
              <w:bottom w:val="double" w:sz="6" w:space="0" w:color="800000"/>
              <w:right w:val="single" w:sz="4" w:space="0" w:color="FFFFFF"/>
            </w:tcBorders>
            <w:shd w:val="clear" w:color="auto" w:fill="800000"/>
          </w:tcPr>
          <w:p w:rsidR="000938C1" w:rsidRPr="00F725E9" w:rsidRDefault="000938C1" w:rsidP="00DC30BE">
            <w:pPr>
              <w:spacing w:before="100" w:beforeAutospacing="1" w:after="100" w:afterAutospacing="1"/>
              <w:ind w:left="-430" w:firstLine="430"/>
              <w:jc w:val="center"/>
              <w:rPr>
                <w:b/>
                <w:bCs/>
                <w:color w:val="FFFFFF"/>
                <w:sz w:val="16"/>
                <w:szCs w:val="16"/>
              </w:rPr>
            </w:pPr>
            <w:r w:rsidRPr="00F725E9">
              <w:rPr>
                <w:b/>
                <w:bCs/>
                <w:color w:val="FFFFFF"/>
                <w:sz w:val="16"/>
                <w:szCs w:val="16"/>
              </w:rPr>
              <w:t>Отчет</w:t>
            </w:r>
          </w:p>
        </w:tc>
        <w:tc>
          <w:tcPr>
            <w:tcW w:w="709" w:type="dxa"/>
            <w:tcBorders>
              <w:top w:val="nil"/>
              <w:left w:val="nil"/>
              <w:bottom w:val="double" w:sz="6" w:space="0" w:color="800000"/>
              <w:right w:val="single" w:sz="4" w:space="0" w:color="FFFFFF"/>
            </w:tcBorders>
            <w:shd w:val="clear" w:color="auto" w:fill="800000"/>
          </w:tcPr>
          <w:p w:rsidR="000938C1" w:rsidRPr="00F725E9" w:rsidRDefault="000938C1" w:rsidP="00DC30BE">
            <w:pPr>
              <w:spacing w:before="100" w:beforeAutospacing="1" w:after="100" w:afterAutospacing="1"/>
              <w:jc w:val="center"/>
              <w:rPr>
                <w:b/>
                <w:bCs/>
                <w:color w:val="FFFFFF"/>
                <w:sz w:val="16"/>
                <w:szCs w:val="16"/>
              </w:rPr>
            </w:pPr>
            <w:r w:rsidRPr="00F725E9">
              <w:rPr>
                <w:b/>
                <w:bCs/>
                <w:color w:val="FFFFFF"/>
                <w:sz w:val="16"/>
                <w:szCs w:val="16"/>
              </w:rPr>
              <w:t>%БВП</w:t>
            </w:r>
          </w:p>
        </w:tc>
        <w:tc>
          <w:tcPr>
            <w:tcW w:w="850" w:type="dxa"/>
            <w:tcBorders>
              <w:top w:val="nil"/>
              <w:left w:val="nil"/>
              <w:bottom w:val="double" w:sz="6" w:space="0" w:color="800000"/>
              <w:right w:val="single" w:sz="4" w:space="0" w:color="FFFFFF"/>
            </w:tcBorders>
            <w:shd w:val="clear" w:color="auto" w:fill="800000"/>
          </w:tcPr>
          <w:p w:rsidR="000938C1" w:rsidRPr="00F725E9" w:rsidRDefault="000938C1" w:rsidP="00DC30BE">
            <w:pPr>
              <w:spacing w:before="100" w:beforeAutospacing="1" w:after="100" w:afterAutospacing="1"/>
              <w:jc w:val="center"/>
              <w:rPr>
                <w:b/>
                <w:bCs/>
                <w:color w:val="FFFFFF"/>
                <w:sz w:val="16"/>
                <w:szCs w:val="16"/>
              </w:rPr>
            </w:pPr>
            <w:r w:rsidRPr="00F725E9">
              <w:rPr>
                <w:b/>
                <w:bCs/>
                <w:color w:val="FFFFFF"/>
                <w:sz w:val="16"/>
                <w:szCs w:val="16"/>
              </w:rPr>
              <w:t>Отчет</w:t>
            </w:r>
          </w:p>
        </w:tc>
        <w:tc>
          <w:tcPr>
            <w:tcW w:w="709" w:type="dxa"/>
            <w:tcBorders>
              <w:top w:val="nil"/>
              <w:left w:val="nil"/>
              <w:bottom w:val="double" w:sz="6" w:space="0" w:color="800000"/>
              <w:right w:val="single" w:sz="4" w:space="0" w:color="FFFFFF"/>
            </w:tcBorders>
            <w:shd w:val="clear" w:color="auto" w:fill="800000"/>
          </w:tcPr>
          <w:p w:rsidR="000938C1" w:rsidRPr="00F725E9" w:rsidRDefault="000938C1" w:rsidP="00DC30BE">
            <w:pPr>
              <w:spacing w:before="100" w:beforeAutospacing="1" w:after="100" w:afterAutospacing="1"/>
              <w:jc w:val="center"/>
              <w:rPr>
                <w:b/>
                <w:bCs/>
                <w:color w:val="FFFFFF"/>
                <w:sz w:val="16"/>
                <w:szCs w:val="16"/>
              </w:rPr>
            </w:pPr>
            <w:r w:rsidRPr="00F725E9">
              <w:rPr>
                <w:b/>
                <w:bCs/>
                <w:color w:val="FFFFFF"/>
                <w:sz w:val="16"/>
                <w:szCs w:val="16"/>
              </w:rPr>
              <w:t>%БВП</w:t>
            </w:r>
          </w:p>
        </w:tc>
        <w:tc>
          <w:tcPr>
            <w:tcW w:w="992" w:type="dxa"/>
            <w:tcBorders>
              <w:top w:val="nil"/>
              <w:left w:val="nil"/>
              <w:bottom w:val="double" w:sz="6" w:space="0" w:color="800000"/>
              <w:right w:val="single" w:sz="4" w:space="0" w:color="FFFFFF"/>
            </w:tcBorders>
            <w:shd w:val="clear" w:color="auto" w:fill="800000"/>
          </w:tcPr>
          <w:p w:rsidR="000938C1" w:rsidRPr="00F725E9" w:rsidRDefault="000938C1" w:rsidP="00DC30BE">
            <w:pPr>
              <w:spacing w:before="100" w:beforeAutospacing="1" w:after="100" w:afterAutospacing="1"/>
              <w:jc w:val="center"/>
              <w:rPr>
                <w:b/>
                <w:bCs/>
                <w:color w:val="FFFFFF"/>
                <w:sz w:val="16"/>
                <w:szCs w:val="16"/>
              </w:rPr>
            </w:pPr>
            <w:r w:rsidRPr="00F725E9">
              <w:rPr>
                <w:b/>
                <w:bCs/>
                <w:color w:val="FFFFFF"/>
                <w:sz w:val="16"/>
                <w:szCs w:val="16"/>
              </w:rPr>
              <w:t>Отчет</w:t>
            </w:r>
          </w:p>
        </w:tc>
        <w:tc>
          <w:tcPr>
            <w:tcW w:w="709" w:type="dxa"/>
            <w:tcBorders>
              <w:top w:val="nil"/>
              <w:left w:val="nil"/>
              <w:bottom w:val="double" w:sz="6" w:space="0" w:color="800000"/>
              <w:right w:val="single" w:sz="4" w:space="0" w:color="FFFFFF"/>
            </w:tcBorders>
            <w:shd w:val="clear" w:color="auto" w:fill="800000"/>
          </w:tcPr>
          <w:p w:rsidR="000938C1" w:rsidRPr="00F725E9" w:rsidRDefault="000938C1" w:rsidP="00DC30BE">
            <w:pPr>
              <w:jc w:val="center"/>
              <w:rPr>
                <w:b/>
                <w:bCs/>
                <w:color w:val="FFFFFF"/>
                <w:sz w:val="16"/>
                <w:szCs w:val="16"/>
              </w:rPr>
            </w:pPr>
            <w:r w:rsidRPr="00F725E9">
              <w:rPr>
                <w:b/>
                <w:bCs/>
                <w:color w:val="FFFFFF"/>
                <w:sz w:val="16"/>
                <w:szCs w:val="16"/>
              </w:rPr>
              <w:t>%БВП</w:t>
            </w:r>
          </w:p>
        </w:tc>
        <w:tc>
          <w:tcPr>
            <w:tcW w:w="851" w:type="dxa"/>
            <w:tcBorders>
              <w:top w:val="nil"/>
              <w:left w:val="nil"/>
              <w:bottom w:val="double" w:sz="6" w:space="0" w:color="800000"/>
              <w:right w:val="single" w:sz="4" w:space="0" w:color="FFFFFF"/>
            </w:tcBorders>
            <w:shd w:val="clear" w:color="auto" w:fill="800000"/>
          </w:tcPr>
          <w:p w:rsidR="000938C1" w:rsidRPr="00F725E9" w:rsidRDefault="000938C1" w:rsidP="00DC30BE">
            <w:pPr>
              <w:jc w:val="center"/>
              <w:rPr>
                <w:b/>
                <w:bCs/>
                <w:color w:val="FFFFFF"/>
                <w:sz w:val="16"/>
                <w:szCs w:val="16"/>
              </w:rPr>
            </w:pPr>
            <w:r w:rsidRPr="00F725E9">
              <w:rPr>
                <w:b/>
                <w:bCs/>
                <w:color w:val="FFFFFF"/>
                <w:sz w:val="16"/>
                <w:szCs w:val="16"/>
              </w:rPr>
              <w:t>Отчет</w:t>
            </w:r>
          </w:p>
        </w:tc>
        <w:tc>
          <w:tcPr>
            <w:tcW w:w="708" w:type="dxa"/>
            <w:tcBorders>
              <w:top w:val="nil"/>
              <w:left w:val="nil"/>
              <w:bottom w:val="double" w:sz="6" w:space="0" w:color="800000"/>
              <w:right w:val="single" w:sz="4" w:space="0" w:color="FFFFFF"/>
            </w:tcBorders>
            <w:shd w:val="clear" w:color="auto" w:fill="800000"/>
          </w:tcPr>
          <w:p w:rsidR="000938C1" w:rsidRPr="00F725E9" w:rsidRDefault="000938C1" w:rsidP="00DC30BE">
            <w:pPr>
              <w:jc w:val="center"/>
              <w:rPr>
                <w:b/>
                <w:bCs/>
                <w:color w:val="FFFFFF"/>
                <w:sz w:val="16"/>
                <w:szCs w:val="16"/>
              </w:rPr>
            </w:pPr>
            <w:r w:rsidRPr="00F725E9">
              <w:rPr>
                <w:b/>
                <w:bCs/>
                <w:color w:val="FFFFFF"/>
                <w:sz w:val="16"/>
                <w:szCs w:val="16"/>
              </w:rPr>
              <w:t>%БВП</w:t>
            </w:r>
          </w:p>
        </w:tc>
        <w:tc>
          <w:tcPr>
            <w:tcW w:w="851" w:type="dxa"/>
            <w:tcBorders>
              <w:top w:val="nil"/>
              <w:left w:val="nil"/>
              <w:bottom w:val="double" w:sz="6" w:space="0" w:color="800000"/>
              <w:right w:val="double" w:sz="6" w:space="0" w:color="800000"/>
            </w:tcBorders>
            <w:shd w:val="clear" w:color="auto" w:fill="800000"/>
          </w:tcPr>
          <w:p w:rsidR="000938C1" w:rsidRPr="00F725E9" w:rsidRDefault="000938C1" w:rsidP="00DC30BE">
            <w:pPr>
              <w:jc w:val="center"/>
              <w:rPr>
                <w:b/>
                <w:bCs/>
                <w:color w:val="FFFFFF"/>
                <w:sz w:val="16"/>
                <w:szCs w:val="16"/>
              </w:rPr>
            </w:pPr>
            <w:r w:rsidRPr="00F725E9">
              <w:rPr>
                <w:b/>
                <w:bCs/>
                <w:color w:val="FFFFFF"/>
                <w:sz w:val="15"/>
                <w:szCs w:val="15"/>
              </w:rPr>
              <w:t xml:space="preserve">Изпълнение </w:t>
            </w:r>
            <w:r w:rsidRPr="00F725E9">
              <w:rPr>
                <w:b/>
                <w:bCs/>
                <w:color w:val="FFFFFF"/>
                <w:sz w:val="16"/>
                <w:szCs w:val="16"/>
              </w:rPr>
              <w:t xml:space="preserve">спрямо ЗДБРБ </w:t>
            </w:r>
          </w:p>
        </w:tc>
      </w:tr>
      <w:tr w:rsidR="000938C1" w:rsidRPr="00F725E9" w:rsidTr="00B37CFE">
        <w:trPr>
          <w:trHeight w:val="130"/>
        </w:trPr>
        <w:tc>
          <w:tcPr>
            <w:tcW w:w="2835" w:type="dxa"/>
            <w:tcBorders>
              <w:top w:val="double" w:sz="6" w:space="0" w:color="800000"/>
              <w:left w:val="double" w:sz="6" w:space="0" w:color="800000"/>
              <w:bottom w:val="nil"/>
              <w:right w:val="single" w:sz="4" w:space="0" w:color="800000"/>
            </w:tcBorders>
            <w:shd w:val="clear" w:color="auto" w:fill="FFFFCC"/>
            <w:vAlign w:val="bottom"/>
          </w:tcPr>
          <w:p w:rsidR="000938C1" w:rsidRPr="00F725E9" w:rsidRDefault="000938C1" w:rsidP="00DC30BE">
            <w:pPr>
              <w:rPr>
                <w:b/>
                <w:bCs/>
              </w:rPr>
            </w:pPr>
            <w:r w:rsidRPr="00F725E9">
              <w:rPr>
                <w:b/>
                <w:bCs/>
                <w:sz w:val="22"/>
                <w:szCs w:val="22"/>
              </w:rPr>
              <w:t>ОБЩО ПРИХОДИ</w:t>
            </w:r>
          </w:p>
        </w:tc>
        <w:tc>
          <w:tcPr>
            <w:tcW w:w="851" w:type="dxa"/>
            <w:tcBorders>
              <w:top w:val="double" w:sz="6" w:space="0" w:color="800000"/>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23 932,6</w:t>
            </w:r>
          </w:p>
        </w:tc>
        <w:tc>
          <w:tcPr>
            <w:tcW w:w="709" w:type="dxa"/>
            <w:tcBorders>
              <w:top w:val="double" w:sz="6" w:space="0" w:color="800000"/>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33,9%</w:t>
            </w:r>
          </w:p>
        </w:tc>
        <w:tc>
          <w:tcPr>
            <w:tcW w:w="850" w:type="dxa"/>
            <w:tcBorders>
              <w:top w:val="double" w:sz="6" w:space="0" w:color="800000"/>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25 378,1</w:t>
            </w:r>
          </w:p>
        </w:tc>
        <w:tc>
          <w:tcPr>
            <w:tcW w:w="709" w:type="dxa"/>
            <w:tcBorders>
              <w:top w:val="double" w:sz="6" w:space="0" w:color="800000"/>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33,7%</w:t>
            </w:r>
          </w:p>
        </w:tc>
        <w:tc>
          <w:tcPr>
            <w:tcW w:w="992" w:type="dxa"/>
            <w:tcBorders>
              <w:top w:val="double" w:sz="6" w:space="0" w:color="800000"/>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27 469,4</w:t>
            </w:r>
          </w:p>
        </w:tc>
        <w:tc>
          <w:tcPr>
            <w:tcW w:w="709" w:type="dxa"/>
            <w:tcBorders>
              <w:top w:val="double" w:sz="6" w:space="0" w:color="800000"/>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35,2%</w:t>
            </w:r>
          </w:p>
        </w:tc>
        <w:tc>
          <w:tcPr>
            <w:tcW w:w="851" w:type="dxa"/>
            <w:tcBorders>
              <w:top w:val="double" w:sz="6" w:space="0" w:color="800000"/>
              <w:left w:val="nil"/>
              <w:bottom w:val="nil"/>
              <w:right w:val="single" w:sz="4" w:space="0" w:color="800000"/>
            </w:tcBorders>
            <w:shd w:val="clear" w:color="auto" w:fill="FFFFCC"/>
            <w:vAlign w:val="bottom"/>
          </w:tcPr>
          <w:p w:rsidR="000938C1" w:rsidRPr="00F725E9" w:rsidRDefault="000938C1" w:rsidP="00CC607C">
            <w:pPr>
              <w:spacing w:before="100" w:beforeAutospacing="1" w:after="100" w:afterAutospacing="1"/>
              <w:jc w:val="right"/>
              <w:rPr>
                <w:b/>
                <w:bCs/>
                <w:sz w:val="20"/>
                <w:szCs w:val="20"/>
              </w:rPr>
            </w:pPr>
            <w:r w:rsidRPr="00F725E9">
              <w:rPr>
                <w:b/>
                <w:bCs/>
                <w:sz w:val="20"/>
                <w:szCs w:val="20"/>
              </w:rPr>
              <w:t>28 977,</w:t>
            </w:r>
            <w:r>
              <w:rPr>
                <w:b/>
                <w:bCs/>
                <w:sz w:val="20"/>
                <w:szCs w:val="20"/>
              </w:rPr>
              <w:t>2</w:t>
            </w:r>
          </w:p>
        </w:tc>
        <w:tc>
          <w:tcPr>
            <w:tcW w:w="708" w:type="dxa"/>
            <w:tcBorders>
              <w:top w:val="double" w:sz="6" w:space="0" w:color="800000"/>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37,1%</w:t>
            </w:r>
          </w:p>
        </w:tc>
        <w:tc>
          <w:tcPr>
            <w:tcW w:w="851" w:type="dxa"/>
            <w:tcBorders>
              <w:top w:val="double" w:sz="6" w:space="0" w:color="800000"/>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95,4%</w:t>
            </w:r>
          </w:p>
        </w:tc>
      </w:tr>
      <w:tr w:rsidR="000938C1" w:rsidRPr="00F725E9"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F725E9" w:rsidRDefault="000938C1" w:rsidP="00DC30BE">
            <w:pPr>
              <w:spacing w:before="100" w:beforeAutospacing="1" w:after="100" w:afterAutospacing="1"/>
              <w:rPr>
                <w:b/>
                <w:bCs/>
                <w:sz w:val="4"/>
                <w:szCs w:val="4"/>
              </w:rPr>
            </w:pPr>
            <w:r w:rsidRPr="00F725E9">
              <w:rPr>
                <w:b/>
                <w:bCs/>
                <w:sz w:val="4"/>
                <w:szCs w:val="4"/>
              </w:rPr>
              <w:t> </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4"/>
                <w:szCs w:val="4"/>
              </w:rPr>
            </w:pPr>
            <w:r w:rsidRPr="00F725E9">
              <w:rPr>
                <w:sz w:val="4"/>
                <w:szCs w:val="4"/>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4"/>
                <w:szCs w:val="4"/>
              </w:rPr>
            </w:pPr>
            <w:r w:rsidRPr="00F725E9">
              <w:rPr>
                <w:sz w:val="4"/>
                <w:szCs w:val="4"/>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4"/>
                <w:szCs w:val="4"/>
              </w:rPr>
            </w:pPr>
            <w:r w:rsidRPr="00F725E9">
              <w:rPr>
                <w:sz w:val="4"/>
                <w:szCs w:val="4"/>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4"/>
                <w:szCs w:val="4"/>
              </w:rPr>
            </w:pPr>
            <w:r w:rsidRPr="00F725E9">
              <w:rPr>
                <w:sz w:val="4"/>
                <w:szCs w:val="4"/>
              </w:rPr>
              <w:t> </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r>
      <w:tr w:rsidR="000938C1" w:rsidRPr="00F725E9" w:rsidTr="00B37CFE">
        <w:trPr>
          <w:trHeight w:val="114"/>
        </w:trPr>
        <w:tc>
          <w:tcPr>
            <w:tcW w:w="2835" w:type="dxa"/>
            <w:tcBorders>
              <w:top w:val="nil"/>
              <w:left w:val="double" w:sz="6" w:space="0" w:color="800000"/>
              <w:bottom w:val="nil"/>
              <w:right w:val="single" w:sz="4" w:space="0" w:color="800000"/>
            </w:tcBorders>
            <w:shd w:val="clear" w:color="auto" w:fill="FFFFCC"/>
          </w:tcPr>
          <w:p w:rsidR="000938C1" w:rsidRPr="00F725E9" w:rsidRDefault="000938C1" w:rsidP="00DC30BE">
            <w:pPr>
              <w:spacing w:before="100" w:beforeAutospacing="1" w:after="100" w:afterAutospacing="1"/>
              <w:rPr>
                <w:b/>
                <w:bCs/>
                <w:sz w:val="20"/>
                <w:szCs w:val="20"/>
              </w:rPr>
            </w:pPr>
            <w:r w:rsidRPr="00F725E9">
              <w:rPr>
                <w:b/>
                <w:bCs/>
                <w:sz w:val="20"/>
                <w:szCs w:val="20"/>
              </w:rPr>
              <w:t xml:space="preserve">  Данъчни приходи</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19 014,4</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27,0%</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20 594,2</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27,3%</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21 529,0</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27,6%</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22 370,3</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28,6%</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97,9%</w:t>
            </w:r>
          </w:p>
        </w:tc>
      </w:tr>
      <w:tr w:rsidR="000938C1" w:rsidRPr="00F725E9"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F725E9" w:rsidRDefault="000938C1" w:rsidP="00DC30BE">
            <w:pPr>
              <w:rPr>
                <w:b/>
                <w:bCs/>
                <w:sz w:val="4"/>
                <w:szCs w:val="4"/>
              </w:rPr>
            </w:pP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4"/>
                <w:szCs w:val="4"/>
              </w:rPr>
            </w:pPr>
            <w:r w:rsidRPr="00F725E9">
              <w:rPr>
                <w:sz w:val="4"/>
                <w:szCs w:val="4"/>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4"/>
                <w:szCs w:val="4"/>
              </w:rPr>
            </w:pPr>
            <w:r w:rsidRPr="00F725E9">
              <w:rPr>
                <w:sz w:val="4"/>
                <w:szCs w:val="4"/>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4"/>
                <w:szCs w:val="4"/>
              </w:rPr>
            </w:pPr>
            <w:r w:rsidRPr="00F725E9">
              <w:rPr>
                <w:sz w:val="4"/>
                <w:szCs w:val="4"/>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4"/>
                <w:szCs w:val="4"/>
              </w:rPr>
            </w:pPr>
            <w:r w:rsidRPr="00F725E9">
              <w:rPr>
                <w:sz w:val="4"/>
                <w:szCs w:val="4"/>
              </w:rPr>
              <w:t> </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w:t>
            </w:r>
          </w:p>
        </w:tc>
      </w:tr>
      <w:tr w:rsidR="000938C1" w:rsidRPr="00F725E9" w:rsidTr="00B37CFE">
        <w:trPr>
          <w:trHeight w:val="125"/>
        </w:trPr>
        <w:tc>
          <w:tcPr>
            <w:tcW w:w="2835" w:type="dxa"/>
            <w:tcBorders>
              <w:top w:val="nil"/>
              <w:left w:val="double" w:sz="6" w:space="0" w:color="800000"/>
              <w:bottom w:val="nil"/>
              <w:right w:val="single" w:sz="4" w:space="0" w:color="800000"/>
            </w:tcBorders>
            <w:shd w:val="clear" w:color="auto" w:fill="FFFFCC"/>
          </w:tcPr>
          <w:p w:rsidR="000938C1" w:rsidRPr="00F725E9" w:rsidRDefault="000938C1" w:rsidP="00DC30BE">
            <w:pPr>
              <w:spacing w:before="100" w:beforeAutospacing="1" w:after="100" w:afterAutospacing="1"/>
              <w:rPr>
                <w:b/>
                <w:bCs/>
                <w:iCs/>
                <w:sz w:val="20"/>
                <w:szCs w:val="20"/>
              </w:rPr>
            </w:pPr>
            <w:r w:rsidRPr="00F725E9">
              <w:rPr>
                <w:b/>
                <w:bCs/>
                <w:iCs/>
                <w:sz w:val="20"/>
                <w:szCs w:val="20"/>
              </w:rPr>
              <w:t xml:space="preserve">Преки данъци </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18"/>
                <w:szCs w:val="18"/>
              </w:rPr>
            </w:pPr>
            <w:r w:rsidRPr="00F725E9">
              <w:rPr>
                <w:b/>
                <w:bCs/>
                <w:sz w:val="18"/>
                <w:szCs w:val="18"/>
              </w:rPr>
              <w:t>3 384,5</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4,8%</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18"/>
                <w:szCs w:val="18"/>
              </w:rPr>
            </w:pPr>
            <w:r w:rsidRPr="00F725E9">
              <w:rPr>
                <w:b/>
                <w:bCs/>
                <w:sz w:val="18"/>
                <w:szCs w:val="18"/>
              </w:rPr>
              <w:t>3 675,5</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4,9%</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18"/>
                <w:szCs w:val="18"/>
              </w:rPr>
            </w:pPr>
            <w:r w:rsidRPr="00F725E9">
              <w:rPr>
                <w:b/>
                <w:bCs/>
                <w:sz w:val="18"/>
                <w:szCs w:val="18"/>
              </w:rPr>
              <w:t>3 775,7</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4,8%</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18"/>
                <w:szCs w:val="18"/>
              </w:rPr>
            </w:pPr>
            <w:r w:rsidRPr="00F725E9">
              <w:rPr>
                <w:b/>
                <w:bCs/>
                <w:sz w:val="18"/>
                <w:szCs w:val="18"/>
              </w:rPr>
              <w:t>3 901,5</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5,0%</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96,3%</w:t>
            </w:r>
          </w:p>
        </w:tc>
      </w:tr>
      <w:tr w:rsidR="000938C1" w:rsidRPr="00F725E9"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F725E9" w:rsidRDefault="000938C1" w:rsidP="00DC30BE">
            <w:pPr>
              <w:spacing w:before="100" w:beforeAutospacing="1" w:after="100" w:afterAutospacing="1"/>
              <w:ind w:firstLine="442"/>
              <w:rPr>
                <w:sz w:val="20"/>
                <w:szCs w:val="20"/>
              </w:rPr>
            </w:pPr>
            <w:r w:rsidRPr="00F725E9">
              <w:rPr>
                <w:sz w:val="20"/>
                <w:szCs w:val="20"/>
              </w:rPr>
              <w:t xml:space="preserve">Корпоративни данъци </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1 353,3</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1,9%</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1 495,9</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2,0%</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1 478,1</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1,9%</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1 553,0</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2,0%</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99,1%</w:t>
            </w:r>
          </w:p>
        </w:tc>
      </w:tr>
      <w:tr w:rsidR="000938C1" w:rsidRPr="00F725E9" w:rsidTr="00B37CFE">
        <w:trPr>
          <w:trHeight w:val="133"/>
        </w:trPr>
        <w:tc>
          <w:tcPr>
            <w:tcW w:w="2835" w:type="dxa"/>
            <w:tcBorders>
              <w:top w:val="nil"/>
              <w:left w:val="double" w:sz="6" w:space="0" w:color="800000"/>
              <w:bottom w:val="nil"/>
              <w:right w:val="single" w:sz="4" w:space="0" w:color="800000"/>
            </w:tcBorders>
            <w:shd w:val="clear" w:color="auto" w:fill="FFFFCC"/>
          </w:tcPr>
          <w:p w:rsidR="000938C1" w:rsidRPr="006F26BE" w:rsidRDefault="000938C1" w:rsidP="00DC30BE">
            <w:pPr>
              <w:spacing w:before="100" w:beforeAutospacing="1" w:after="100" w:afterAutospacing="1"/>
              <w:rPr>
                <w:b/>
                <w:bCs/>
                <w:sz w:val="18"/>
                <w:szCs w:val="18"/>
              </w:rPr>
            </w:pPr>
            <w:r>
              <w:rPr>
                <w:b/>
                <w:bCs/>
                <w:sz w:val="18"/>
                <w:szCs w:val="18"/>
              </w:rPr>
              <w:t xml:space="preserve">          </w:t>
            </w:r>
            <w:r w:rsidRPr="006F26BE">
              <w:rPr>
                <w:b/>
                <w:bCs/>
                <w:sz w:val="18"/>
                <w:szCs w:val="18"/>
              </w:rPr>
              <w:t xml:space="preserve">- </w:t>
            </w:r>
            <w:r w:rsidRPr="006F26BE">
              <w:rPr>
                <w:sz w:val="20"/>
                <w:szCs w:val="20"/>
              </w:rPr>
              <w:t xml:space="preserve">от нефин. предприятия </w:t>
            </w:r>
            <w:r w:rsidRPr="006F26BE">
              <w:rPr>
                <w:sz w:val="18"/>
                <w:szCs w:val="18"/>
              </w:rPr>
              <w:t>*</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1 211,1</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1,7%</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1 390,0</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1,8%</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1 339,1</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1,7%</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1 415,8</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1,8%</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99,9%</w:t>
            </w:r>
          </w:p>
        </w:tc>
      </w:tr>
      <w:tr w:rsidR="000938C1" w:rsidRPr="00F725E9"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F725E9" w:rsidRDefault="000938C1" w:rsidP="00DC30BE">
            <w:pPr>
              <w:spacing w:before="100" w:beforeAutospacing="1" w:after="100" w:afterAutospacing="1"/>
              <w:rPr>
                <w:sz w:val="20"/>
                <w:szCs w:val="20"/>
              </w:rPr>
            </w:pPr>
            <w:r>
              <w:rPr>
                <w:sz w:val="20"/>
                <w:szCs w:val="20"/>
              </w:rPr>
              <w:t xml:space="preserve">         </w:t>
            </w:r>
            <w:r w:rsidRPr="00F725E9">
              <w:rPr>
                <w:sz w:val="20"/>
                <w:szCs w:val="20"/>
              </w:rPr>
              <w:t>- финансов сектор</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142,2</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0,2%</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105,9</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0,1%</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139,0</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0,2%</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137,2</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0,2%</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91,4%</w:t>
            </w:r>
          </w:p>
        </w:tc>
      </w:tr>
      <w:tr w:rsidR="000938C1" w:rsidRPr="00F725E9" w:rsidTr="00B37CFE">
        <w:trPr>
          <w:trHeight w:val="168"/>
        </w:trPr>
        <w:tc>
          <w:tcPr>
            <w:tcW w:w="2835" w:type="dxa"/>
            <w:tcBorders>
              <w:top w:val="nil"/>
              <w:left w:val="double" w:sz="6" w:space="0" w:color="800000"/>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ind w:left="442"/>
            </w:pPr>
            <w:r w:rsidRPr="00F725E9">
              <w:rPr>
                <w:sz w:val="20"/>
                <w:szCs w:val="20"/>
              </w:rPr>
              <w:t>ДДФЛ</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2 031,2</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2,9%</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2 179,6</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2,9%</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2 297,7</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2,9%</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18"/>
                <w:szCs w:val="18"/>
              </w:rPr>
            </w:pPr>
            <w:r w:rsidRPr="00F725E9">
              <w:rPr>
                <w:sz w:val="18"/>
                <w:szCs w:val="18"/>
              </w:rPr>
              <w:t>2 348,5</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3,0%</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jc w:val="right"/>
              <w:rPr>
                <w:sz w:val="20"/>
                <w:szCs w:val="20"/>
              </w:rPr>
            </w:pPr>
            <w:r w:rsidRPr="00F725E9">
              <w:rPr>
                <w:sz w:val="20"/>
                <w:szCs w:val="20"/>
              </w:rPr>
              <w:t>94,6%</w:t>
            </w:r>
          </w:p>
        </w:tc>
      </w:tr>
      <w:tr w:rsidR="000938C1" w:rsidRPr="00F725E9"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F725E9" w:rsidRDefault="000938C1" w:rsidP="00DC30BE">
            <w:pPr>
              <w:spacing w:before="100" w:beforeAutospacing="1" w:after="100" w:afterAutospacing="1"/>
              <w:ind w:left="442"/>
              <w:rPr>
                <w:sz w:val="4"/>
                <w:szCs w:val="4"/>
              </w:rPr>
            </w:pPr>
            <w:r w:rsidRPr="00F725E9">
              <w:rPr>
                <w:sz w:val="4"/>
                <w:szCs w:val="4"/>
              </w:rPr>
              <w:t> </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18"/>
                <w:szCs w:val="18"/>
              </w:rPr>
            </w:pPr>
            <w:r w:rsidRPr="00F725E9">
              <w:rPr>
                <w:sz w:val="18"/>
                <w:szCs w:val="18"/>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20"/>
                <w:szCs w:val="20"/>
              </w:rPr>
            </w:pPr>
            <w:r w:rsidRPr="00F725E9">
              <w:rPr>
                <w:sz w:val="20"/>
                <w:szCs w:val="20"/>
              </w:rPr>
              <w:t> </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18"/>
                <w:szCs w:val="18"/>
              </w:rPr>
            </w:pPr>
            <w:r w:rsidRPr="00F725E9">
              <w:rPr>
                <w:sz w:val="18"/>
                <w:szCs w:val="18"/>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20"/>
                <w:szCs w:val="20"/>
              </w:rPr>
            </w:pPr>
            <w:r w:rsidRPr="00F725E9">
              <w:rPr>
                <w:sz w:val="20"/>
                <w:szCs w:val="20"/>
              </w:rPr>
              <w:t> </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18"/>
                <w:szCs w:val="18"/>
              </w:rPr>
            </w:pPr>
            <w:r w:rsidRPr="00F725E9">
              <w:rPr>
                <w:sz w:val="18"/>
                <w:szCs w:val="18"/>
              </w:rPr>
              <w:t> </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20"/>
                <w:szCs w:val="20"/>
              </w:rPr>
            </w:pPr>
            <w:r w:rsidRPr="00F725E9">
              <w:rPr>
                <w:sz w:val="20"/>
                <w:szCs w:val="20"/>
              </w:rPr>
              <w:t> </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18"/>
                <w:szCs w:val="18"/>
              </w:rPr>
            </w:pPr>
            <w:r w:rsidRPr="00F725E9">
              <w:rPr>
                <w:sz w:val="18"/>
                <w:szCs w:val="18"/>
              </w:rPr>
              <w:t> </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sz w:val="20"/>
                <w:szCs w:val="20"/>
              </w:rPr>
            </w:pPr>
            <w:r w:rsidRPr="00F725E9">
              <w:rPr>
                <w:sz w:val="20"/>
                <w:szCs w:val="20"/>
              </w:rPr>
              <w:t> </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rPr>
                <w:sz w:val="20"/>
                <w:szCs w:val="20"/>
              </w:rPr>
            </w:pPr>
            <w:r w:rsidRPr="00F725E9">
              <w:rPr>
                <w:sz w:val="20"/>
                <w:szCs w:val="20"/>
              </w:rPr>
              <w:t> </w:t>
            </w:r>
          </w:p>
        </w:tc>
      </w:tr>
      <w:tr w:rsidR="000938C1" w:rsidRPr="00F725E9" w:rsidTr="00B37CFE">
        <w:trPr>
          <w:trHeight w:val="80"/>
        </w:trPr>
        <w:tc>
          <w:tcPr>
            <w:tcW w:w="2835" w:type="dxa"/>
            <w:tcBorders>
              <w:top w:val="nil"/>
              <w:left w:val="double" w:sz="6" w:space="0" w:color="800000"/>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rPr>
                <w:b/>
                <w:bCs/>
                <w:sz w:val="20"/>
                <w:szCs w:val="20"/>
              </w:rPr>
            </w:pPr>
            <w:r w:rsidRPr="00F725E9">
              <w:rPr>
                <w:b/>
                <w:bCs/>
                <w:sz w:val="20"/>
                <w:szCs w:val="20"/>
              </w:rPr>
              <w:t xml:space="preserve">     Приходи на социалноосигур. фондове</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18"/>
                <w:szCs w:val="18"/>
              </w:rPr>
            </w:pPr>
            <w:r w:rsidRPr="00F725E9">
              <w:rPr>
                <w:b/>
                <w:bCs/>
                <w:sz w:val="18"/>
                <w:szCs w:val="18"/>
              </w:rPr>
              <w:t>4 969,8</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7,0%</w:t>
            </w:r>
          </w:p>
        </w:tc>
        <w:tc>
          <w:tcPr>
            <w:tcW w:w="850"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18"/>
                <w:szCs w:val="18"/>
              </w:rPr>
            </w:pPr>
            <w:r w:rsidRPr="00F725E9">
              <w:rPr>
                <w:b/>
                <w:bCs/>
                <w:sz w:val="18"/>
                <w:szCs w:val="18"/>
              </w:rPr>
              <w:t>5 509,6</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7,3%</w:t>
            </w:r>
          </w:p>
        </w:tc>
        <w:tc>
          <w:tcPr>
            <w:tcW w:w="992"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18"/>
                <w:szCs w:val="18"/>
              </w:rPr>
            </w:pPr>
            <w:r w:rsidRPr="00F725E9">
              <w:rPr>
                <w:b/>
                <w:bCs/>
                <w:sz w:val="18"/>
                <w:szCs w:val="18"/>
              </w:rPr>
              <w:t>5 596,0</w:t>
            </w:r>
          </w:p>
        </w:tc>
        <w:tc>
          <w:tcPr>
            <w:tcW w:w="709"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7,2%</w:t>
            </w:r>
          </w:p>
        </w:tc>
        <w:tc>
          <w:tcPr>
            <w:tcW w:w="851"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18"/>
                <w:szCs w:val="18"/>
              </w:rPr>
            </w:pPr>
            <w:r w:rsidRPr="00F725E9">
              <w:rPr>
                <w:b/>
                <w:bCs/>
                <w:sz w:val="18"/>
                <w:szCs w:val="18"/>
              </w:rPr>
              <w:t>6 060,2</w:t>
            </w:r>
          </w:p>
        </w:tc>
        <w:tc>
          <w:tcPr>
            <w:tcW w:w="708" w:type="dxa"/>
            <w:tcBorders>
              <w:top w:val="nil"/>
              <w:left w:val="nil"/>
              <w:bottom w:val="nil"/>
              <w:right w:val="single" w:sz="4"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7,8%</w:t>
            </w:r>
          </w:p>
        </w:tc>
        <w:tc>
          <w:tcPr>
            <w:tcW w:w="851" w:type="dxa"/>
            <w:tcBorders>
              <w:top w:val="nil"/>
              <w:left w:val="nil"/>
              <w:bottom w:val="nil"/>
              <w:right w:val="double" w:sz="6" w:space="0" w:color="800000"/>
            </w:tcBorders>
            <w:shd w:val="clear" w:color="auto" w:fill="FFFFCC"/>
            <w:vAlign w:val="bottom"/>
          </w:tcPr>
          <w:p w:rsidR="000938C1" w:rsidRPr="00F725E9" w:rsidRDefault="000938C1" w:rsidP="00DC30BE">
            <w:pPr>
              <w:spacing w:before="100" w:beforeAutospacing="1" w:after="100" w:afterAutospacing="1"/>
              <w:jc w:val="right"/>
              <w:rPr>
                <w:b/>
                <w:bCs/>
                <w:sz w:val="20"/>
                <w:szCs w:val="20"/>
              </w:rPr>
            </w:pPr>
            <w:r w:rsidRPr="00F725E9">
              <w:rPr>
                <w:b/>
                <w:bCs/>
                <w:sz w:val="20"/>
                <w:szCs w:val="20"/>
              </w:rPr>
              <w:t>99,8%</w:t>
            </w:r>
          </w:p>
        </w:tc>
      </w:tr>
      <w:tr w:rsidR="000938C1" w:rsidRPr="00CF1A14"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4"/>
                <w:szCs w:val="4"/>
              </w:rPr>
            </w:pPr>
          </w:p>
        </w:tc>
        <w:tc>
          <w:tcPr>
            <w:tcW w:w="851"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992"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851"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8"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851" w:type="dxa"/>
            <w:tcBorders>
              <w:top w:val="nil"/>
              <w:left w:val="nil"/>
              <w:bottom w:val="nil"/>
              <w:right w:val="double" w:sz="6" w:space="0" w:color="800000"/>
            </w:tcBorders>
            <w:shd w:val="clear" w:color="auto" w:fill="FFFFCC"/>
            <w:vAlign w:val="bottom"/>
          </w:tcPr>
          <w:p w:rsidR="000938C1" w:rsidRDefault="000938C1" w:rsidP="00DC30BE">
            <w:pPr>
              <w:rPr>
                <w:b/>
                <w:bCs/>
                <w:sz w:val="20"/>
                <w:szCs w:val="20"/>
              </w:rPr>
            </w:pPr>
            <w:r>
              <w:rPr>
                <w:b/>
                <w:bCs/>
                <w:sz w:val="20"/>
                <w:szCs w:val="20"/>
              </w:rPr>
              <w:t> </w:t>
            </w:r>
          </w:p>
        </w:tc>
      </w:tr>
      <w:tr w:rsidR="000938C1" w:rsidRPr="00CF1A14" w:rsidTr="00B37CFE">
        <w:trPr>
          <w:trHeight w:val="189"/>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i/>
                <w:iCs/>
                <w:sz w:val="20"/>
                <w:szCs w:val="20"/>
              </w:rPr>
            </w:pPr>
            <w:r w:rsidRPr="009F0B41">
              <w:rPr>
                <w:b/>
                <w:bCs/>
                <w:sz w:val="20"/>
                <w:szCs w:val="20"/>
              </w:rPr>
              <w:t>Косвени данъци</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9 954,1</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14,1%</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10 624,6</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14,1%</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11 342,8</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14,5%</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11 590,7</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14,8%</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b/>
                <w:bCs/>
                <w:sz w:val="20"/>
                <w:szCs w:val="20"/>
              </w:rPr>
            </w:pPr>
            <w:r>
              <w:rPr>
                <w:b/>
                <w:bCs/>
                <w:sz w:val="20"/>
                <w:szCs w:val="20"/>
              </w:rPr>
              <w:t>97,3%</w:t>
            </w:r>
          </w:p>
        </w:tc>
      </w:tr>
      <w:tr w:rsidR="000938C1" w:rsidRPr="00CF1A14" w:rsidTr="00B37CFE">
        <w:trPr>
          <w:trHeight w:val="102"/>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20"/>
                <w:szCs w:val="20"/>
              </w:rPr>
            </w:pPr>
            <w:r w:rsidRPr="009F0B41">
              <w:rPr>
                <w:sz w:val="20"/>
                <w:szCs w:val="20"/>
              </w:rPr>
              <w:t>ДДС</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6 267,1</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8,9%</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6 611,7</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8,8%</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7 151,9</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9,2%</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7 366,5</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9,4%</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sz w:val="20"/>
                <w:szCs w:val="20"/>
              </w:rPr>
            </w:pPr>
            <w:r>
              <w:rPr>
                <w:sz w:val="20"/>
                <w:szCs w:val="20"/>
              </w:rPr>
              <w:t>96,2%</w:t>
            </w:r>
          </w:p>
        </w:tc>
      </w:tr>
      <w:tr w:rsidR="000938C1" w:rsidRPr="00CF1A14" w:rsidTr="00B37CFE">
        <w:trPr>
          <w:trHeight w:val="211"/>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20"/>
                <w:szCs w:val="20"/>
              </w:rPr>
            </w:pPr>
            <w:r w:rsidRPr="009F0B41">
              <w:rPr>
                <w:sz w:val="20"/>
                <w:szCs w:val="20"/>
              </w:rPr>
              <w:t xml:space="preserve">Акцизи   </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3 567,9</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5,1%</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3 860,1</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5,1%</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4 047,8</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5,2%</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4 055,8</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5,2%</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sz w:val="20"/>
                <w:szCs w:val="20"/>
              </w:rPr>
            </w:pPr>
            <w:r>
              <w:rPr>
                <w:sz w:val="20"/>
                <w:szCs w:val="20"/>
              </w:rPr>
              <w:t>98,6%</w:t>
            </w:r>
          </w:p>
        </w:tc>
      </w:tr>
      <w:tr w:rsidR="000938C1" w:rsidRPr="00CF1A14" w:rsidTr="00B37CFE">
        <w:trPr>
          <w:trHeight w:val="138"/>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20"/>
                <w:szCs w:val="20"/>
              </w:rPr>
            </w:pPr>
            <w:r w:rsidRPr="009F0B41">
              <w:rPr>
                <w:sz w:val="20"/>
                <w:szCs w:val="20"/>
              </w:rPr>
              <w:t>Мита и митнически такси</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119,2</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0,2%</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131,3</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0,2%</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117,7</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0,2%</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146,2</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0,2%</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sz w:val="20"/>
                <w:szCs w:val="20"/>
              </w:rPr>
            </w:pPr>
            <w:r>
              <w:rPr>
                <w:sz w:val="20"/>
                <w:szCs w:val="20"/>
              </w:rPr>
              <w:t>121,8%</w:t>
            </w:r>
          </w:p>
        </w:tc>
      </w:tr>
      <w:tr w:rsidR="000938C1" w:rsidRPr="00CF1A14" w:rsidTr="00B37CFE">
        <w:trPr>
          <w:trHeight w:val="138"/>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20"/>
                <w:szCs w:val="20"/>
              </w:rPr>
            </w:pPr>
            <w:r w:rsidRPr="009F0B41">
              <w:rPr>
                <w:sz w:val="20"/>
                <w:szCs w:val="20"/>
              </w:rPr>
              <w:t>Данък върху застр. премии</w:t>
            </w:r>
          </w:p>
        </w:tc>
        <w:tc>
          <w:tcPr>
            <w:tcW w:w="851"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21,6</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0,0%</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25,4</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0,0%</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22,3</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0,0%</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sz w:val="20"/>
                <w:szCs w:val="20"/>
              </w:rPr>
            </w:pPr>
            <w:r>
              <w:rPr>
                <w:sz w:val="20"/>
                <w:szCs w:val="20"/>
              </w:rPr>
              <w:t>79,5%</w:t>
            </w:r>
          </w:p>
        </w:tc>
      </w:tr>
      <w:tr w:rsidR="000938C1" w:rsidRPr="00CF1A14"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4"/>
                <w:szCs w:val="4"/>
              </w:rPr>
            </w:pPr>
            <w:r w:rsidRPr="009F0B41">
              <w:rPr>
                <w:b/>
                <w:bCs/>
                <w:sz w:val="4"/>
                <w:szCs w:val="4"/>
              </w:rPr>
              <w:t> </w:t>
            </w:r>
          </w:p>
        </w:tc>
        <w:tc>
          <w:tcPr>
            <w:tcW w:w="851"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0938C1" w:rsidRDefault="000938C1" w:rsidP="00DC30BE">
            <w:pPr>
              <w:rPr>
                <w:sz w:val="18"/>
                <w:szCs w:val="18"/>
              </w:rPr>
            </w:pPr>
            <w:r>
              <w:rPr>
                <w:sz w:val="18"/>
                <w:szCs w:val="18"/>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sz w:val="20"/>
                <w:szCs w:val="20"/>
              </w:rPr>
            </w:pPr>
            <w:r>
              <w:rPr>
                <w:sz w:val="20"/>
                <w:szCs w:val="20"/>
              </w:rPr>
              <w:t> </w:t>
            </w:r>
          </w:p>
        </w:tc>
        <w:tc>
          <w:tcPr>
            <w:tcW w:w="992" w:type="dxa"/>
            <w:tcBorders>
              <w:top w:val="nil"/>
              <w:left w:val="nil"/>
              <w:bottom w:val="nil"/>
              <w:right w:val="single" w:sz="4" w:space="0" w:color="800000"/>
            </w:tcBorders>
            <w:shd w:val="clear" w:color="auto" w:fill="FFFFCC"/>
            <w:vAlign w:val="bottom"/>
          </w:tcPr>
          <w:p w:rsidR="000938C1" w:rsidRDefault="000938C1" w:rsidP="00DC30BE">
            <w:pPr>
              <w:rPr>
                <w:sz w:val="18"/>
                <w:szCs w:val="18"/>
              </w:rPr>
            </w:pPr>
            <w:r>
              <w:rPr>
                <w:sz w:val="18"/>
                <w:szCs w:val="18"/>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sz w:val="20"/>
                <w:szCs w:val="20"/>
              </w:rPr>
            </w:pPr>
            <w:r>
              <w:rPr>
                <w:sz w:val="20"/>
                <w:szCs w:val="20"/>
              </w:rPr>
              <w:t> </w:t>
            </w:r>
          </w:p>
        </w:tc>
        <w:tc>
          <w:tcPr>
            <w:tcW w:w="851" w:type="dxa"/>
            <w:tcBorders>
              <w:top w:val="nil"/>
              <w:left w:val="nil"/>
              <w:bottom w:val="nil"/>
              <w:right w:val="single" w:sz="4" w:space="0" w:color="800000"/>
            </w:tcBorders>
            <w:shd w:val="clear" w:color="auto" w:fill="FFFFCC"/>
            <w:vAlign w:val="bottom"/>
          </w:tcPr>
          <w:p w:rsidR="000938C1" w:rsidRDefault="000938C1" w:rsidP="00DC30BE">
            <w:pPr>
              <w:rPr>
                <w:sz w:val="18"/>
                <w:szCs w:val="18"/>
              </w:rPr>
            </w:pPr>
            <w:r>
              <w:rPr>
                <w:sz w:val="18"/>
                <w:szCs w:val="18"/>
              </w:rPr>
              <w:t> </w:t>
            </w:r>
          </w:p>
        </w:tc>
        <w:tc>
          <w:tcPr>
            <w:tcW w:w="708" w:type="dxa"/>
            <w:tcBorders>
              <w:top w:val="nil"/>
              <w:left w:val="nil"/>
              <w:bottom w:val="nil"/>
              <w:right w:val="single" w:sz="4" w:space="0" w:color="800000"/>
            </w:tcBorders>
            <w:shd w:val="clear" w:color="auto" w:fill="FFFFCC"/>
            <w:vAlign w:val="bottom"/>
          </w:tcPr>
          <w:p w:rsidR="000938C1" w:rsidRDefault="000938C1" w:rsidP="00DC30BE">
            <w:pPr>
              <w:rPr>
                <w:sz w:val="20"/>
                <w:szCs w:val="20"/>
              </w:rPr>
            </w:pPr>
            <w:r>
              <w:rPr>
                <w:sz w:val="20"/>
                <w:szCs w:val="20"/>
              </w:rPr>
              <w:t> </w:t>
            </w:r>
          </w:p>
        </w:tc>
        <w:tc>
          <w:tcPr>
            <w:tcW w:w="851" w:type="dxa"/>
            <w:tcBorders>
              <w:top w:val="nil"/>
              <w:left w:val="nil"/>
              <w:bottom w:val="nil"/>
              <w:right w:val="double" w:sz="6" w:space="0" w:color="800000"/>
            </w:tcBorders>
            <w:shd w:val="clear" w:color="auto" w:fill="FFFFCC"/>
            <w:vAlign w:val="bottom"/>
          </w:tcPr>
          <w:p w:rsidR="000938C1" w:rsidRDefault="000938C1" w:rsidP="00DC30BE">
            <w:pPr>
              <w:rPr>
                <w:sz w:val="20"/>
                <w:szCs w:val="20"/>
              </w:rPr>
            </w:pPr>
            <w:r>
              <w:rPr>
                <w:sz w:val="20"/>
                <w:szCs w:val="20"/>
              </w:rPr>
              <w:t> </w:t>
            </w:r>
          </w:p>
        </w:tc>
      </w:tr>
      <w:tr w:rsidR="000938C1" w:rsidRPr="00CF1A14" w:rsidTr="00B37CFE">
        <w:trPr>
          <w:trHeight w:val="149"/>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sz w:val="20"/>
                <w:szCs w:val="20"/>
              </w:rPr>
            </w:pPr>
            <w:r w:rsidRPr="009F0B41">
              <w:rPr>
                <w:b/>
                <w:sz w:val="20"/>
                <w:szCs w:val="20"/>
              </w:rPr>
              <w:t xml:space="preserve">      Други данъци</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706,0</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1,0%</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784,5</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1,0%</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814,4</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1,0%</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817,9</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1,0%</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b/>
                <w:bCs/>
                <w:sz w:val="20"/>
                <w:szCs w:val="20"/>
              </w:rPr>
            </w:pPr>
            <w:r>
              <w:rPr>
                <w:b/>
                <w:bCs/>
                <w:sz w:val="20"/>
                <w:szCs w:val="20"/>
              </w:rPr>
              <w:t>101,0%</w:t>
            </w:r>
          </w:p>
        </w:tc>
      </w:tr>
      <w:tr w:rsidR="000938C1" w:rsidRPr="00CF1A14"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4"/>
                <w:szCs w:val="4"/>
              </w:rPr>
            </w:pPr>
            <w:r w:rsidRPr="009F0B41">
              <w:rPr>
                <w:b/>
                <w:bCs/>
                <w:sz w:val="4"/>
                <w:szCs w:val="4"/>
              </w:rPr>
              <w:t> </w:t>
            </w:r>
          </w:p>
        </w:tc>
        <w:tc>
          <w:tcPr>
            <w:tcW w:w="851" w:type="dxa"/>
            <w:tcBorders>
              <w:top w:val="nil"/>
              <w:left w:val="nil"/>
              <w:bottom w:val="nil"/>
              <w:right w:val="single" w:sz="4" w:space="0" w:color="800000"/>
            </w:tcBorders>
            <w:shd w:val="clear" w:color="auto" w:fill="FFFFCC"/>
            <w:vAlign w:val="bottom"/>
          </w:tcPr>
          <w:p w:rsidR="000938C1" w:rsidRDefault="000938C1" w:rsidP="00DC30BE">
            <w:pPr>
              <w:rPr>
                <w:b/>
                <w:bCs/>
                <w:sz w:val="18"/>
                <w:szCs w:val="18"/>
              </w:rPr>
            </w:pPr>
            <w:r>
              <w:rPr>
                <w:b/>
                <w:bCs/>
                <w:sz w:val="18"/>
                <w:szCs w:val="18"/>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0938C1" w:rsidRDefault="000938C1" w:rsidP="00DC30BE">
            <w:pPr>
              <w:rPr>
                <w:b/>
                <w:bCs/>
                <w:sz w:val="18"/>
                <w:szCs w:val="18"/>
              </w:rPr>
            </w:pPr>
            <w:r>
              <w:rPr>
                <w:b/>
                <w:bCs/>
                <w:sz w:val="18"/>
                <w:szCs w:val="18"/>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992" w:type="dxa"/>
            <w:tcBorders>
              <w:top w:val="nil"/>
              <w:left w:val="nil"/>
              <w:bottom w:val="nil"/>
              <w:right w:val="single" w:sz="4" w:space="0" w:color="800000"/>
            </w:tcBorders>
            <w:shd w:val="clear" w:color="auto" w:fill="FFFFCC"/>
            <w:vAlign w:val="bottom"/>
          </w:tcPr>
          <w:p w:rsidR="000938C1" w:rsidRDefault="000938C1" w:rsidP="00DC30BE">
            <w:pPr>
              <w:rPr>
                <w:b/>
                <w:bCs/>
                <w:sz w:val="18"/>
                <w:szCs w:val="18"/>
              </w:rPr>
            </w:pPr>
            <w:r>
              <w:rPr>
                <w:b/>
                <w:bCs/>
                <w:sz w:val="18"/>
                <w:szCs w:val="18"/>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851" w:type="dxa"/>
            <w:tcBorders>
              <w:top w:val="nil"/>
              <w:left w:val="nil"/>
              <w:bottom w:val="nil"/>
              <w:right w:val="single" w:sz="4" w:space="0" w:color="800000"/>
            </w:tcBorders>
            <w:shd w:val="clear" w:color="auto" w:fill="FFFFCC"/>
            <w:vAlign w:val="bottom"/>
          </w:tcPr>
          <w:p w:rsidR="000938C1" w:rsidRDefault="000938C1" w:rsidP="00DC30BE">
            <w:pPr>
              <w:rPr>
                <w:b/>
                <w:bCs/>
                <w:sz w:val="18"/>
                <w:szCs w:val="18"/>
              </w:rPr>
            </w:pPr>
            <w:r>
              <w:rPr>
                <w:b/>
                <w:bCs/>
                <w:sz w:val="18"/>
                <w:szCs w:val="18"/>
              </w:rPr>
              <w:t> </w:t>
            </w:r>
          </w:p>
        </w:tc>
        <w:tc>
          <w:tcPr>
            <w:tcW w:w="708" w:type="dxa"/>
            <w:tcBorders>
              <w:top w:val="nil"/>
              <w:left w:val="nil"/>
              <w:bottom w:val="nil"/>
              <w:right w:val="single" w:sz="4" w:space="0" w:color="800000"/>
            </w:tcBorders>
            <w:shd w:val="clear" w:color="auto" w:fill="FFFFCC"/>
            <w:vAlign w:val="bottom"/>
          </w:tcPr>
          <w:p w:rsidR="000938C1" w:rsidRDefault="000938C1" w:rsidP="00DC30BE">
            <w:pPr>
              <w:rPr>
                <w:b/>
                <w:bCs/>
                <w:sz w:val="20"/>
                <w:szCs w:val="20"/>
              </w:rPr>
            </w:pPr>
            <w:r>
              <w:rPr>
                <w:b/>
                <w:bCs/>
                <w:sz w:val="20"/>
                <w:szCs w:val="20"/>
              </w:rPr>
              <w:t> </w:t>
            </w:r>
          </w:p>
        </w:tc>
        <w:tc>
          <w:tcPr>
            <w:tcW w:w="851" w:type="dxa"/>
            <w:tcBorders>
              <w:top w:val="nil"/>
              <w:left w:val="nil"/>
              <w:bottom w:val="nil"/>
              <w:right w:val="double" w:sz="6" w:space="0" w:color="800000"/>
            </w:tcBorders>
            <w:shd w:val="clear" w:color="auto" w:fill="FFFFCC"/>
            <w:vAlign w:val="bottom"/>
          </w:tcPr>
          <w:p w:rsidR="000938C1" w:rsidRDefault="000938C1" w:rsidP="00DC30BE">
            <w:pPr>
              <w:rPr>
                <w:b/>
                <w:bCs/>
                <w:sz w:val="20"/>
                <w:szCs w:val="20"/>
              </w:rPr>
            </w:pPr>
            <w:r>
              <w:rPr>
                <w:b/>
                <w:bCs/>
                <w:sz w:val="20"/>
                <w:szCs w:val="20"/>
              </w:rPr>
              <w:t> </w:t>
            </w:r>
          </w:p>
        </w:tc>
      </w:tr>
      <w:tr w:rsidR="000938C1" w:rsidRPr="00CF1A14" w:rsidTr="00B37CFE">
        <w:trPr>
          <w:trHeight w:val="172"/>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20"/>
                <w:szCs w:val="20"/>
              </w:rPr>
            </w:pPr>
            <w:r w:rsidRPr="009F0B41">
              <w:rPr>
                <w:b/>
                <w:bCs/>
                <w:sz w:val="20"/>
                <w:szCs w:val="20"/>
              </w:rPr>
              <w:t xml:space="preserve">  Неданъчни приходи</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3 315,4</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4,7%</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3 320,7</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4,4%</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b/>
                <w:bCs/>
                <w:sz w:val="18"/>
                <w:szCs w:val="18"/>
              </w:rPr>
            </w:pPr>
            <w:r>
              <w:rPr>
                <w:b/>
                <w:bCs/>
                <w:sz w:val="18"/>
                <w:szCs w:val="18"/>
              </w:rPr>
              <w:t>3 573,0</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4,6%</w:t>
            </w:r>
          </w:p>
        </w:tc>
        <w:tc>
          <w:tcPr>
            <w:tcW w:w="851" w:type="dxa"/>
            <w:tcBorders>
              <w:top w:val="nil"/>
              <w:left w:val="nil"/>
              <w:bottom w:val="nil"/>
              <w:right w:val="single" w:sz="4" w:space="0" w:color="800000"/>
            </w:tcBorders>
            <w:shd w:val="clear" w:color="auto" w:fill="FFFFCC"/>
            <w:vAlign w:val="bottom"/>
          </w:tcPr>
          <w:p w:rsidR="000938C1" w:rsidRDefault="000938C1" w:rsidP="00CC607C">
            <w:pPr>
              <w:jc w:val="right"/>
              <w:rPr>
                <w:b/>
                <w:bCs/>
                <w:sz w:val="18"/>
                <w:szCs w:val="18"/>
              </w:rPr>
            </w:pPr>
            <w:r>
              <w:rPr>
                <w:b/>
                <w:bCs/>
                <w:sz w:val="18"/>
                <w:szCs w:val="18"/>
              </w:rPr>
              <w:t>3 950,5</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b/>
                <w:bCs/>
                <w:sz w:val="20"/>
                <w:szCs w:val="20"/>
              </w:rPr>
            </w:pPr>
            <w:r>
              <w:rPr>
                <w:b/>
                <w:bCs/>
                <w:sz w:val="20"/>
                <w:szCs w:val="20"/>
              </w:rPr>
              <w:t>5,1%</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b/>
                <w:bCs/>
                <w:sz w:val="20"/>
                <w:szCs w:val="20"/>
              </w:rPr>
            </w:pPr>
            <w:r>
              <w:rPr>
                <w:b/>
                <w:bCs/>
                <w:sz w:val="20"/>
                <w:szCs w:val="20"/>
              </w:rPr>
              <w:t>104,1%</w:t>
            </w:r>
          </w:p>
        </w:tc>
      </w:tr>
      <w:tr w:rsidR="000938C1" w:rsidRPr="00CF1A14" w:rsidTr="00B37CFE">
        <w:trPr>
          <w:trHeight w:val="101"/>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sz w:val="20"/>
                <w:szCs w:val="20"/>
              </w:rPr>
            </w:pPr>
            <w:r w:rsidRPr="009F0B41">
              <w:rPr>
                <w:i/>
                <w:iCs/>
                <w:sz w:val="20"/>
                <w:szCs w:val="20"/>
              </w:rPr>
              <w:t>Трансфери от БНБ</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354,7</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0,5%</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200,9</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0,3%</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180,5</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0,2%</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105,8</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0,1%</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sz w:val="20"/>
                <w:szCs w:val="20"/>
              </w:rPr>
            </w:pPr>
            <w:r>
              <w:rPr>
                <w:sz w:val="20"/>
                <w:szCs w:val="20"/>
              </w:rPr>
              <w:t>100,0%</w:t>
            </w:r>
          </w:p>
        </w:tc>
      </w:tr>
      <w:tr w:rsidR="000938C1" w:rsidRPr="00CF1A14" w:rsidTr="00B37CFE">
        <w:trPr>
          <w:trHeight w:val="208"/>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sz w:val="20"/>
                <w:szCs w:val="20"/>
              </w:rPr>
            </w:pPr>
            <w:r w:rsidRPr="009F0B41">
              <w:rPr>
                <w:sz w:val="20"/>
                <w:szCs w:val="20"/>
              </w:rPr>
              <w:t xml:space="preserve">      Други</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2 960,6</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4,2%</w:t>
            </w:r>
          </w:p>
        </w:tc>
        <w:tc>
          <w:tcPr>
            <w:tcW w:w="850"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3 119,8</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4,1%</w:t>
            </w:r>
          </w:p>
        </w:tc>
        <w:tc>
          <w:tcPr>
            <w:tcW w:w="992"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3 392,4</w:t>
            </w:r>
          </w:p>
        </w:tc>
        <w:tc>
          <w:tcPr>
            <w:tcW w:w="709"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4,3%</w:t>
            </w:r>
          </w:p>
        </w:tc>
        <w:tc>
          <w:tcPr>
            <w:tcW w:w="851" w:type="dxa"/>
            <w:tcBorders>
              <w:top w:val="nil"/>
              <w:left w:val="nil"/>
              <w:bottom w:val="nil"/>
              <w:right w:val="single" w:sz="4" w:space="0" w:color="800000"/>
            </w:tcBorders>
            <w:shd w:val="clear" w:color="auto" w:fill="FFFFCC"/>
            <w:vAlign w:val="bottom"/>
          </w:tcPr>
          <w:p w:rsidR="000938C1" w:rsidRDefault="000938C1" w:rsidP="00DC30BE">
            <w:pPr>
              <w:jc w:val="right"/>
              <w:rPr>
                <w:sz w:val="18"/>
                <w:szCs w:val="18"/>
              </w:rPr>
            </w:pPr>
            <w:r>
              <w:rPr>
                <w:sz w:val="18"/>
                <w:szCs w:val="18"/>
              </w:rPr>
              <w:t>3 844,7</w:t>
            </w:r>
          </w:p>
        </w:tc>
        <w:tc>
          <w:tcPr>
            <w:tcW w:w="708" w:type="dxa"/>
            <w:tcBorders>
              <w:top w:val="nil"/>
              <w:left w:val="nil"/>
              <w:bottom w:val="nil"/>
              <w:right w:val="single" w:sz="4" w:space="0" w:color="800000"/>
            </w:tcBorders>
            <w:shd w:val="clear" w:color="auto" w:fill="FFFFCC"/>
            <w:vAlign w:val="bottom"/>
          </w:tcPr>
          <w:p w:rsidR="000938C1" w:rsidRDefault="000938C1" w:rsidP="00DC30BE">
            <w:pPr>
              <w:jc w:val="right"/>
              <w:rPr>
                <w:sz w:val="20"/>
                <w:szCs w:val="20"/>
              </w:rPr>
            </w:pPr>
            <w:r>
              <w:rPr>
                <w:sz w:val="20"/>
                <w:szCs w:val="20"/>
              </w:rPr>
              <w:t>4,9%</w:t>
            </w:r>
          </w:p>
        </w:tc>
        <w:tc>
          <w:tcPr>
            <w:tcW w:w="851" w:type="dxa"/>
            <w:tcBorders>
              <w:top w:val="nil"/>
              <w:left w:val="nil"/>
              <w:bottom w:val="nil"/>
              <w:right w:val="double" w:sz="6" w:space="0" w:color="800000"/>
            </w:tcBorders>
            <w:shd w:val="clear" w:color="auto" w:fill="FFFFCC"/>
            <w:vAlign w:val="bottom"/>
          </w:tcPr>
          <w:p w:rsidR="000938C1" w:rsidRDefault="000938C1" w:rsidP="00DC30BE">
            <w:pPr>
              <w:jc w:val="right"/>
              <w:rPr>
                <w:sz w:val="20"/>
                <w:szCs w:val="20"/>
              </w:rPr>
            </w:pPr>
            <w:r>
              <w:rPr>
                <w:sz w:val="20"/>
                <w:szCs w:val="20"/>
              </w:rPr>
              <w:t>104,2%</w:t>
            </w:r>
          </w:p>
        </w:tc>
      </w:tr>
      <w:tr w:rsidR="000938C1" w:rsidRPr="00CF1A14" w:rsidTr="00B37CFE">
        <w:trPr>
          <w:trHeight w:val="80"/>
        </w:trPr>
        <w:tc>
          <w:tcPr>
            <w:tcW w:w="2835" w:type="dxa"/>
            <w:tcBorders>
              <w:top w:val="nil"/>
              <w:left w:val="double" w:sz="6" w:space="0" w:color="800000"/>
              <w:bottom w:val="nil"/>
              <w:right w:val="single" w:sz="4" w:space="0" w:color="800000"/>
            </w:tcBorders>
            <w:shd w:val="clear" w:color="auto" w:fill="FFFFCC"/>
          </w:tcPr>
          <w:p w:rsidR="000938C1" w:rsidRPr="009F0B41" w:rsidRDefault="000938C1" w:rsidP="00DC30BE">
            <w:pPr>
              <w:rPr>
                <w:b/>
                <w:bCs/>
                <w:sz w:val="4"/>
                <w:szCs w:val="4"/>
              </w:rPr>
            </w:pPr>
            <w:r w:rsidRPr="009F0B41">
              <w:rPr>
                <w:b/>
                <w:bCs/>
                <w:sz w:val="4"/>
                <w:szCs w:val="4"/>
              </w:rPr>
              <w:t> </w:t>
            </w:r>
          </w:p>
        </w:tc>
        <w:tc>
          <w:tcPr>
            <w:tcW w:w="851"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sz w:val="20"/>
                <w:szCs w:val="20"/>
              </w:rPr>
            </w:pPr>
            <w:r>
              <w:rPr>
                <w:sz w:val="20"/>
                <w:szCs w:val="20"/>
              </w:rPr>
              <w:t> </w:t>
            </w:r>
          </w:p>
        </w:tc>
        <w:tc>
          <w:tcPr>
            <w:tcW w:w="850"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sz w:val="20"/>
                <w:szCs w:val="20"/>
              </w:rPr>
            </w:pPr>
            <w:r>
              <w:rPr>
                <w:sz w:val="20"/>
                <w:szCs w:val="20"/>
              </w:rPr>
              <w:t> </w:t>
            </w:r>
          </w:p>
        </w:tc>
        <w:tc>
          <w:tcPr>
            <w:tcW w:w="992"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0938C1" w:rsidRDefault="000938C1" w:rsidP="00DC30BE">
            <w:pPr>
              <w:rPr>
                <w:sz w:val="20"/>
                <w:szCs w:val="20"/>
              </w:rPr>
            </w:pPr>
            <w:r>
              <w:rPr>
                <w:sz w:val="20"/>
                <w:szCs w:val="20"/>
              </w:rPr>
              <w:t> </w:t>
            </w:r>
          </w:p>
        </w:tc>
        <w:tc>
          <w:tcPr>
            <w:tcW w:w="851" w:type="dxa"/>
            <w:tcBorders>
              <w:top w:val="nil"/>
              <w:left w:val="nil"/>
              <w:bottom w:val="nil"/>
              <w:right w:val="single" w:sz="4" w:space="0" w:color="800000"/>
            </w:tcBorders>
            <w:shd w:val="clear" w:color="auto" w:fill="FFFFCC"/>
            <w:vAlign w:val="bottom"/>
          </w:tcPr>
          <w:p w:rsidR="000938C1" w:rsidRDefault="000938C1" w:rsidP="00DC30BE">
            <w:pPr>
              <w:rPr>
                <w:sz w:val="4"/>
                <w:szCs w:val="4"/>
              </w:rPr>
            </w:pPr>
            <w:r>
              <w:rPr>
                <w:sz w:val="4"/>
                <w:szCs w:val="4"/>
              </w:rPr>
              <w:t> </w:t>
            </w:r>
          </w:p>
        </w:tc>
        <w:tc>
          <w:tcPr>
            <w:tcW w:w="708" w:type="dxa"/>
            <w:tcBorders>
              <w:top w:val="nil"/>
              <w:left w:val="nil"/>
              <w:bottom w:val="nil"/>
              <w:right w:val="single" w:sz="4" w:space="0" w:color="800000"/>
            </w:tcBorders>
            <w:shd w:val="clear" w:color="auto" w:fill="FFFFCC"/>
            <w:vAlign w:val="bottom"/>
          </w:tcPr>
          <w:p w:rsidR="000938C1" w:rsidRDefault="000938C1" w:rsidP="00DC30BE">
            <w:pPr>
              <w:rPr>
                <w:sz w:val="20"/>
                <w:szCs w:val="20"/>
              </w:rPr>
            </w:pPr>
            <w:r>
              <w:rPr>
                <w:sz w:val="20"/>
                <w:szCs w:val="20"/>
              </w:rPr>
              <w:t> </w:t>
            </w:r>
          </w:p>
        </w:tc>
        <w:tc>
          <w:tcPr>
            <w:tcW w:w="851" w:type="dxa"/>
            <w:tcBorders>
              <w:top w:val="nil"/>
              <w:left w:val="nil"/>
              <w:bottom w:val="nil"/>
              <w:right w:val="double" w:sz="6" w:space="0" w:color="800000"/>
            </w:tcBorders>
            <w:shd w:val="clear" w:color="auto" w:fill="FFFFCC"/>
            <w:vAlign w:val="bottom"/>
          </w:tcPr>
          <w:p w:rsidR="000938C1" w:rsidRDefault="000938C1" w:rsidP="00DC30BE">
            <w:pPr>
              <w:rPr>
                <w:sz w:val="20"/>
                <w:szCs w:val="20"/>
              </w:rPr>
            </w:pPr>
            <w:r>
              <w:rPr>
                <w:sz w:val="20"/>
                <w:szCs w:val="20"/>
              </w:rPr>
              <w:t> </w:t>
            </w:r>
          </w:p>
        </w:tc>
      </w:tr>
      <w:tr w:rsidR="000938C1" w:rsidRPr="00CF1A14" w:rsidTr="00B37CFE">
        <w:trPr>
          <w:trHeight w:val="80"/>
        </w:trPr>
        <w:tc>
          <w:tcPr>
            <w:tcW w:w="2835" w:type="dxa"/>
            <w:tcBorders>
              <w:top w:val="nil"/>
              <w:left w:val="double" w:sz="6" w:space="0" w:color="800000"/>
              <w:bottom w:val="double" w:sz="6" w:space="0" w:color="800000"/>
              <w:right w:val="single" w:sz="4" w:space="0" w:color="800000"/>
            </w:tcBorders>
            <w:shd w:val="clear" w:color="auto" w:fill="FFFFCC"/>
          </w:tcPr>
          <w:p w:rsidR="000938C1" w:rsidRPr="009F0B41" w:rsidRDefault="000938C1" w:rsidP="00DC30BE">
            <w:pPr>
              <w:rPr>
                <w:b/>
                <w:bCs/>
                <w:sz w:val="20"/>
                <w:szCs w:val="20"/>
              </w:rPr>
            </w:pPr>
            <w:r w:rsidRPr="009F0B41">
              <w:rPr>
                <w:b/>
                <w:bCs/>
                <w:sz w:val="20"/>
                <w:szCs w:val="20"/>
              </w:rPr>
              <w:t xml:space="preserve">  Помощи</w:t>
            </w:r>
          </w:p>
        </w:tc>
        <w:tc>
          <w:tcPr>
            <w:tcW w:w="851" w:type="dxa"/>
            <w:tcBorders>
              <w:top w:val="nil"/>
              <w:left w:val="nil"/>
              <w:bottom w:val="double" w:sz="6" w:space="0" w:color="800000"/>
              <w:right w:val="single" w:sz="4" w:space="0" w:color="800000"/>
            </w:tcBorders>
            <w:shd w:val="clear" w:color="auto" w:fill="FFFFCC"/>
            <w:vAlign w:val="bottom"/>
          </w:tcPr>
          <w:p w:rsidR="000938C1" w:rsidRDefault="000938C1" w:rsidP="00DC30BE">
            <w:pPr>
              <w:jc w:val="right"/>
              <w:rPr>
                <w:sz w:val="18"/>
                <w:szCs w:val="18"/>
              </w:rPr>
            </w:pPr>
            <w:r>
              <w:rPr>
                <w:sz w:val="18"/>
                <w:szCs w:val="18"/>
              </w:rPr>
              <w:t>1 602,9</w:t>
            </w:r>
          </w:p>
        </w:tc>
        <w:tc>
          <w:tcPr>
            <w:tcW w:w="709" w:type="dxa"/>
            <w:tcBorders>
              <w:top w:val="nil"/>
              <w:left w:val="nil"/>
              <w:bottom w:val="double" w:sz="6" w:space="0" w:color="800000"/>
              <w:right w:val="single" w:sz="4" w:space="0" w:color="800000"/>
            </w:tcBorders>
            <w:shd w:val="clear" w:color="auto" w:fill="FFFFCC"/>
            <w:vAlign w:val="bottom"/>
          </w:tcPr>
          <w:p w:rsidR="000938C1" w:rsidRDefault="000938C1" w:rsidP="00DC30BE">
            <w:pPr>
              <w:jc w:val="right"/>
              <w:rPr>
                <w:sz w:val="20"/>
                <w:szCs w:val="20"/>
              </w:rPr>
            </w:pPr>
            <w:r>
              <w:rPr>
                <w:sz w:val="20"/>
                <w:szCs w:val="20"/>
              </w:rPr>
              <w:t>2,3%</w:t>
            </w:r>
          </w:p>
        </w:tc>
        <w:tc>
          <w:tcPr>
            <w:tcW w:w="850" w:type="dxa"/>
            <w:tcBorders>
              <w:top w:val="nil"/>
              <w:left w:val="nil"/>
              <w:bottom w:val="double" w:sz="6" w:space="0" w:color="800000"/>
              <w:right w:val="single" w:sz="4" w:space="0" w:color="800000"/>
            </w:tcBorders>
            <w:shd w:val="clear" w:color="auto" w:fill="FFFFCC"/>
            <w:vAlign w:val="bottom"/>
          </w:tcPr>
          <w:p w:rsidR="000938C1" w:rsidRDefault="000938C1" w:rsidP="00DC30BE">
            <w:pPr>
              <w:jc w:val="right"/>
              <w:rPr>
                <w:sz w:val="18"/>
                <w:szCs w:val="18"/>
              </w:rPr>
            </w:pPr>
            <w:r>
              <w:rPr>
                <w:sz w:val="18"/>
                <w:szCs w:val="18"/>
              </w:rPr>
              <w:t>1 463,2</w:t>
            </w:r>
          </w:p>
        </w:tc>
        <w:tc>
          <w:tcPr>
            <w:tcW w:w="709" w:type="dxa"/>
            <w:tcBorders>
              <w:top w:val="nil"/>
              <w:left w:val="nil"/>
              <w:bottom w:val="double" w:sz="6" w:space="0" w:color="800000"/>
              <w:right w:val="single" w:sz="4" w:space="0" w:color="800000"/>
            </w:tcBorders>
            <w:shd w:val="clear" w:color="auto" w:fill="FFFFCC"/>
            <w:vAlign w:val="bottom"/>
          </w:tcPr>
          <w:p w:rsidR="000938C1" w:rsidRDefault="000938C1" w:rsidP="00DC30BE">
            <w:pPr>
              <w:jc w:val="right"/>
              <w:rPr>
                <w:sz w:val="20"/>
                <w:szCs w:val="20"/>
              </w:rPr>
            </w:pPr>
            <w:r>
              <w:rPr>
                <w:sz w:val="20"/>
                <w:szCs w:val="20"/>
              </w:rPr>
              <w:t>1,9%</w:t>
            </w:r>
          </w:p>
        </w:tc>
        <w:tc>
          <w:tcPr>
            <w:tcW w:w="992" w:type="dxa"/>
            <w:tcBorders>
              <w:top w:val="nil"/>
              <w:left w:val="nil"/>
              <w:bottom w:val="double" w:sz="6" w:space="0" w:color="800000"/>
              <w:right w:val="single" w:sz="4" w:space="0" w:color="800000"/>
            </w:tcBorders>
            <w:shd w:val="clear" w:color="auto" w:fill="FFFFCC"/>
            <w:vAlign w:val="bottom"/>
          </w:tcPr>
          <w:p w:rsidR="000938C1" w:rsidRDefault="000938C1" w:rsidP="00DC30BE">
            <w:pPr>
              <w:jc w:val="right"/>
              <w:rPr>
                <w:sz w:val="18"/>
                <w:szCs w:val="18"/>
              </w:rPr>
            </w:pPr>
            <w:r>
              <w:rPr>
                <w:sz w:val="18"/>
                <w:szCs w:val="18"/>
              </w:rPr>
              <w:t>2 367,5</w:t>
            </w:r>
          </w:p>
        </w:tc>
        <w:tc>
          <w:tcPr>
            <w:tcW w:w="709" w:type="dxa"/>
            <w:tcBorders>
              <w:top w:val="nil"/>
              <w:left w:val="nil"/>
              <w:bottom w:val="double" w:sz="6" w:space="0" w:color="800000"/>
              <w:right w:val="single" w:sz="4" w:space="0" w:color="800000"/>
            </w:tcBorders>
            <w:shd w:val="clear" w:color="auto" w:fill="FFFFCC"/>
            <w:vAlign w:val="bottom"/>
          </w:tcPr>
          <w:p w:rsidR="000938C1" w:rsidRDefault="000938C1" w:rsidP="00DC30BE">
            <w:pPr>
              <w:jc w:val="right"/>
              <w:rPr>
                <w:sz w:val="20"/>
                <w:szCs w:val="20"/>
              </w:rPr>
            </w:pPr>
            <w:r>
              <w:rPr>
                <w:sz w:val="20"/>
                <w:szCs w:val="20"/>
              </w:rPr>
              <w:t>3,0%</w:t>
            </w:r>
          </w:p>
        </w:tc>
        <w:tc>
          <w:tcPr>
            <w:tcW w:w="851" w:type="dxa"/>
            <w:tcBorders>
              <w:top w:val="nil"/>
              <w:left w:val="nil"/>
              <w:bottom w:val="double" w:sz="6" w:space="0" w:color="800000"/>
              <w:right w:val="single" w:sz="4" w:space="0" w:color="800000"/>
            </w:tcBorders>
            <w:shd w:val="clear" w:color="auto" w:fill="FFFFCC"/>
            <w:vAlign w:val="bottom"/>
          </w:tcPr>
          <w:p w:rsidR="000938C1" w:rsidRDefault="000938C1" w:rsidP="00DC30BE">
            <w:pPr>
              <w:jc w:val="right"/>
              <w:rPr>
                <w:sz w:val="18"/>
                <w:szCs w:val="18"/>
              </w:rPr>
            </w:pPr>
            <w:r>
              <w:rPr>
                <w:sz w:val="18"/>
                <w:szCs w:val="18"/>
              </w:rPr>
              <w:t>2 656,3</w:t>
            </w:r>
          </w:p>
        </w:tc>
        <w:tc>
          <w:tcPr>
            <w:tcW w:w="708" w:type="dxa"/>
            <w:tcBorders>
              <w:top w:val="nil"/>
              <w:left w:val="nil"/>
              <w:bottom w:val="double" w:sz="6" w:space="0" w:color="800000"/>
              <w:right w:val="single" w:sz="4" w:space="0" w:color="800000"/>
            </w:tcBorders>
            <w:shd w:val="clear" w:color="auto" w:fill="FFFFCC"/>
            <w:vAlign w:val="bottom"/>
          </w:tcPr>
          <w:p w:rsidR="000938C1" w:rsidRDefault="000938C1" w:rsidP="00DC30BE">
            <w:pPr>
              <w:jc w:val="right"/>
              <w:rPr>
                <w:sz w:val="20"/>
                <w:szCs w:val="20"/>
              </w:rPr>
            </w:pPr>
            <w:r>
              <w:rPr>
                <w:sz w:val="20"/>
                <w:szCs w:val="20"/>
              </w:rPr>
              <w:t>3,4%</w:t>
            </w:r>
          </w:p>
        </w:tc>
        <w:tc>
          <w:tcPr>
            <w:tcW w:w="851" w:type="dxa"/>
            <w:tcBorders>
              <w:top w:val="nil"/>
              <w:left w:val="nil"/>
              <w:bottom w:val="double" w:sz="6" w:space="0" w:color="800000"/>
              <w:right w:val="double" w:sz="6" w:space="0" w:color="800000"/>
            </w:tcBorders>
            <w:shd w:val="clear" w:color="auto" w:fill="FFFFCC"/>
            <w:vAlign w:val="bottom"/>
          </w:tcPr>
          <w:p w:rsidR="000938C1" w:rsidRDefault="000938C1" w:rsidP="00DC30BE">
            <w:pPr>
              <w:jc w:val="right"/>
              <w:rPr>
                <w:sz w:val="20"/>
                <w:szCs w:val="20"/>
              </w:rPr>
            </w:pPr>
            <w:r>
              <w:rPr>
                <w:sz w:val="20"/>
                <w:szCs w:val="20"/>
              </w:rPr>
              <w:t>71,0%</w:t>
            </w:r>
          </w:p>
        </w:tc>
      </w:tr>
    </w:tbl>
    <w:p w:rsidR="000938C1" w:rsidRPr="009F0B41" w:rsidRDefault="000938C1" w:rsidP="00F30F79">
      <w:pPr>
        <w:ind w:left="1080" w:hanging="540"/>
        <w:jc w:val="both"/>
        <w:rPr>
          <w:sz w:val="16"/>
          <w:szCs w:val="16"/>
        </w:rPr>
      </w:pPr>
      <w:r w:rsidRPr="009F0B41">
        <w:rPr>
          <w:sz w:val="16"/>
          <w:szCs w:val="16"/>
        </w:rPr>
        <w:t>*вкл. постъпленията от данък върху дивидентите и доходите</w:t>
      </w:r>
    </w:p>
    <w:p w:rsidR="000938C1" w:rsidRPr="00CF1A14" w:rsidRDefault="000938C1" w:rsidP="00F30F79">
      <w:pPr>
        <w:ind w:firstLine="720"/>
        <w:jc w:val="both"/>
        <w:rPr>
          <w:color w:val="0070C0"/>
        </w:rPr>
      </w:pPr>
    </w:p>
    <w:p w:rsidR="000938C1" w:rsidRPr="004654F7" w:rsidRDefault="000938C1" w:rsidP="00F30F79">
      <w:pPr>
        <w:ind w:firstLine="720"/>
        <w:jc w:val="both"/>
      </w:pPr>
      <w:r w:rsidRPr="004654F7">
        <w:t xml:space="preserve">Общият размер на </w:t>
      </w:r>
      <w:r w:rsidRPr="004654F7">
        <w:rPr>
          <w:b/>
        </w:rPr>
        <w:t>приходите и помощите</w:t>
      </w:r>
      <w:r w:rsidRPr="004654F7">
        <w:t xml:space="preserve"> по </w:t>
      </w:r>
      <w:r>
        <w:t>консолидираната фискална програма</w:t>
      </w:r>
      <w:r w:rsidRPr="004654F7">
        <w:t xml:space="preserve"> за 2013 г. е </w:t>
      </w:r>
      <w:r w:rsidRPr="004654F7">
        <w:rPr>
          <w:b/>
        </w:rPr>
        <w:t>28 977,</w:t>
      </w:r>
      <w:r>
        <w:rPr>
          <w:b/>
        </w:rPr>
        <w:t>2</w:t>
      </w:r>
      <w:r w:rsidRPr="004654F7">
        <w:rPr>
          <w:b/>
        </w:rPr>
        <w:t xml:space="preserve"> млн. лв.,</w:t>
      </w:r>
      <w:r w:rsidRPr="004654F7">
        <w:t xml:space="preserve"> което представлява 37,1 % от БВП при 35,</w:t>
      </w:r>
      <w:r>
        <w:t>2</w:t>
      </w:r>
      <w:r w:rsidRPr="004654F7">
        <w:t xml:space="preserve"> % от БВП за 2012 г. Постъпилите приходи по КФП за 2013 г. представляват 95,4 % от годишния разчет. </w:t>
      </w:r>
    </w:p>
    <w:p w:rsidR="000938C1" w:rsidRPr="00A83805" w:rsidRDefault="000938C1" w:rsidP="00F30F79">
      <w:pPr>
        <w:ind w:firstLine="720"/>
        <w:jc w:val="both"/>
      </w:pPr>
      <w:r w:rsidRPr="00A83805">
        <w:t>В номинален размер данъчните приходи възлизат на 22 370,3 млн. лв. (28,6 % от БВП), а неданъчните приходи са в размер на 3 950,</w:t>
      </w:r>
      <w:r>
        <w:t>5</w:t>
      </w:r>
      <w:r w:rsidRPr="00A83805">
        <w:t xml:space="preserve"> млн. лв. (5,1 % от БВП). Приходите от помощи са в размер на 2 656,3 млн. лв. (3,4 % от БВП). </w:t>
      </w:r>
    </w:p>
    <w:p w:rsidR="000938C1" w:rsidRPr="00CF1A14" w:rsidRDefault="000938C1" w:rsidP="00F30F79">
      <w:pPr>
        <w:ind w:firstLine="720"/>
        <w:jc w:val="both"/>
        <w:rPr>
          <w:color w:val="0070C0"/>
          <w:sz w:val="12"/>
          <w:szCs w:val="12"/>
        </w:rPr>
      </w:pPr>
    </w:p>
    <w:p w:rsidR="000938C1" w:rsidRPr="00987536" w:rsidRDefault="000938C1" w:rsidP="00F30F79">
      <w:pPr>
        <w:ind w:left="720"/>
        <w:jc w:val="both"/>
        <w:rPr>
          <w:b/>
          <w:u w:val="single"/>
        </w:rPr>
      </w:pPr>
      <w:r w:rsidRPr="00987536">
        <w:rPr>
          <w:b/>
          <w:u w:val="single"/>
        </w:rPr>
        <w:t>Данъчни приходи</w:t>
      </w:r>
    </w:p>
    <w:p w:rsidR="000938C1" w:rsidRPr="00CF1A14" w:rsidRDefault="000938C1" w:rsidP="00F30F79">
      <w:pPr>
        <w:ind w:firstLine="720"/>
        <w:jc w:val="both"/>
        <w:rPr>
          <w:color w:val="0070C0"/>
          <w:sz w:val="4"/>
          <w:szCs w:val="4"/>
        </w:rPr>
      </w:pPr>
    </w:p>
    <w:p w:rsidR="000938C1" w:rsidRPr="00CF1A14" w:rsidRDefault="000938C1" w:rsidP="00F30F79">
      <w:pPr>
        <w:ind w:firstLine="720"/>
        <w:jc w:val="both"/>
        <w:rPr>
          <w:color w:val="0070C0"/>
          <w:sz w:val="4"/>
          <w:szCs w:val="4"/>
        </w:rPr>
      </w:pPr>
    </w:p>
    <w:p w:rsidR="000938C1" w:rsidRPr="0000124A" w:rsidRDefault="000938C1" w:rsidP="00F30F79">
      <w:pPr>
        <w:pStyle w:val="BodyTextIndent"/>
        <w:spacing w:after="0"/>
        <w:ind w:left="0" w:firstLine="540"/>
        <w:jc w:val="both"/>
        <w:rPr>
          <w:lang w:val="bg-BG"/>
        </w:rPr>
      </w:pPr>
      <w:r w:rsidRPr="00987536">
        <w:rPr>
          <w:lang w:val="bg-BG"/>
        </w:rPr>
        <w:t xml:space="preserve">Постъпленията от </w:t>
      </w:r>
      <w:r w:rsidRPr="00987536">
        <w:rPr>
          <w:b/>
          <w:lang w:val="bg-BG"/>
        </w:rPr>
        <w:t>данъци</w:t>
      </w:r>
      <w:r w:rsidRPr="00987536">
        <w:rPr>
          <w:lang w:val="bg-BG"/>
        </w:rPr>
        <w:t xml:space="preserve"> по </w:t>
      </w:r>
      <w:r>
        <w:rPr>
          <w:lang w:val="bg-BG"/>
        </w:rPr>
        <w:t>КФП</w:t>
      </w:r>
      <w:r w:rsidRPr="00987536">
        <w:rPr>
          <w:lang w:val="bg-BG"/>
        </w:rPr>
        <w:t xml:space="preserve"> за 2013 г. са в размер на </w:t>
      </w:r>
      <w:r w:rsidRPr="00987536">
        <w:rPr>
          <w:b/>
          <w:lang w:val="bg-BG"/>
        </w:rPr>
        <w:t>22 370,3 млн. лв.</w:t>
      </w:r>
      <w:r w:rsidRPr="00987536">
        <w:rPr>
          <w:lang w:val="bg-BG"/>
        </w:rPr>
        <w:t xml:space="preserve">, което представлява изпълнение от 97,9 % на разчетите за годината. </w:t>
      </w:r>
      <w:r w:rsidRPr="00514B37">
        <w:rPr>
          <w:lang w:val="bg-BG"/>
        </w:rPr>
        <w:t>Данъчните постъпления за 2013 г. представляват 28,6 % от БВП за годината, при 27,6 % от БВП за 2012 г. В номинално изражение неизпълнението на разчетите към ЗДБРБ за 2013 г. на данъчните постъпления възлиза на 480,8 млн. лв</w:t>
      </w:r>
      <w:r>
        <w:rPr>
          <w:lang w:val="bg-BG"/>
        </w:rPr>
        <w:t>.</w:t>
      </w:r>
      <w:r w:rsidRPr="00514B37">
        <w:rPr>
          <w:lang w:val="bg-BG"/>
        </w:rPr>
        <w:t xml:space="preserve"> При съпоставката на изпълнението на данъчните приходи с плана за годината е важно да се отбележи, че върху изпълнението на данъците влияние оказва по-високия размер на възстановения ДДС през последния месец на 2013 г. Освен това наказателните лихви върху невнесени в срок данъчни задължения, които са в размер около 90 млн. лв. са отчетени в съответната позиция в неданъчните приходи, а са планирани като данъчни приходи – по видове данъци. В този смисъл, с оглед съпоставимост на данните с плана сумата в размер на 90 млн. лв. следва да се добави към </w:t>
      </w:r>
      <w:r w:rsidRPr="0000124A">
        <w:rPr>
          <w:lang w:val="bg-BG"/>
        </w:rPr>
        <w:t>размер</w:t>
      </w:r>
      <w:r>
        <w:rPr>
          <w:lang w:val="bg-BG"/>
        </w:rPr>
        <w:t>а</w:t>
      </w:r>
      <w:r w:rsidRPr="0000124A">
        <w:rPr>
          <w:lang w:val="bg-BG"/>
        </w:rPr>
        <w:t xml:space="preserve"> на данъчните постъпления за 2013 г. При други равни условия и елиминиране на посоченото различие в наказателните лихви и в случай, че беше запазено нивото на невъзстановения данъчен кредит по ЗДДС на нивото от 2012 г.</w:t>
      </w:r>
      <w:r>
        <w:rPr>
          <w:lang w:val="bg-BG"/>
        </w:rPr>
        <w:t>,</w:t>
      </w:r>
      <w:r w:rsidRPr="0000124A">
        <w:rPr>
          <w:lang w:val="bg-BG"/>
        </w:rPr>
        <w:t xml:space="preserve"> неизпълнението на разчетите при данъчните приходи по КФП би било 273 млн. лв.</w:t>
      </w:r>
    </w:p>
    <w:p w:rsidR="000938C1" w:rsidRPr="00206232" w:rsidRDefault="000938C1" w:rsidP="00F30F79">
      <w:pPr>
        <w:pStyle w:val="BodyTextIndent"/>
        <w:spacing w:after="0"/>
        <w:ind w:left="0" w:firstLine="540"/>
        <w:jc w:val="both"/>
        <w:rPr>
          <w:bCs/>
          <w:lang w:val="ru-RU"/>
        </w:rPr>
      </w:pPr>
      <w:r w:rsidRPr="0000124A">
        <w:rPr>
          <w:lang w:val="bg-BG"/>
        </w:rPr>
        <w:t>Неизпълнение на данъчните приходи се отчита главно при постъпленията,</w:t>
      </w:r>
      <w:r w:rsidRPr="00514B37">
        <w:rPr>
          <w:lang w:val="bg-BG"/>
        </w:rPr>
        <w:t xml:space="preserve"> администрирани от Агенция „Митници“ – ДДС от внос и акцизи. Разчетът при ДДС от внос не е изпълнен с около 290 млн. лв., за което влияние оказва основно свиването на вноса при инвестиционните стоки и отчетения спад на цените на голяма част от тях (средно с 5</w:t>
      </w:r>
      <w:r>
        <w:rPr>
          <w:lang w:val="bg-BG"/>
        </w:rPr>
        <w:t>,</w:t>
      </w:r>
      <w:r w:rsidRPr="00514B37">
        <w:rPr>
          <w:lang w:val="bg-BG"/>
        </w:rPr>
        <w:t>8 % спрямо предходната година</w:t>
      </w:r>
      <w:r w:rsidRPr="00206232">
        <w:rPr>
          <w:lang w:val="bg-BG"/>
        </w:rPr>
        <w:t xml:space="preserve">). </w:t>
      </w:r>
      <w:r w:rsidRPr="00206232">
        <w:rPr>
          <w:bCs/>
          <w:lang w:val="bg-BG"/>
        </w:rPr>
        <w:t xml:space="preserve">Относителният дял на данъчните приходи в общата сума на приходите по КФП е 77,2 %. </w:t>
      </w:r>
    </w:p>
    <w:p w:rsidR="000938C1" w:rsidRPr="00CF1A14" w:rsidRDefault="000938C1" w:rsidP="00F30F79">
      <w:pPr>
        <w:pStyle w:val="BodyTextIndent"/>
        <w:spacing w:after="0"/>
        <w:ind w:left="0" w:firstLine="540"/>
        <w:jc w:val="both"/>
        <w:rPr>
          <w:bCs/>
          <w:color w:val="0070C0"/>
          <w:sz w:val="12"/>
          <w:szCs w:val="12"/>
          <w:lang w:val="bg-BG"/>
        </w:rPr>
      </w:pPr>
    </w:p>
    <w:p w:rsidR="000938C1" w:rsidRPr="00206232" w:rsidRDefault="000938C1" w:rsidP="00F30F79">
      <w:pPr>
        <w:jc w:val="center"/>
        <w:rPr>
          <w:b/>
          <w:u w:val="single"/>
        </w:rPr>
      </w:pPr>
      <w:r w:rsidRPr="00206232">
        <w:rPr>
          <w:b/>
          <w:u w:val="single"/>
        </w:rPr>
        <w:t xml:space="preserve">Структура на данъчните приходи по </w:t>
      </w:r>
      <w:r>
        <w:rPr>
          <w:b/>
          <w:u w:val="single"/>
        </w:rPr>
        <w:t>КФП</w:t>
      </w:r>
      <w:r w:rsidRPr="00206232">
        <w:rPr>
          <w:b/>
          <w:u w:val="single"/>
        </w:rPr>
        <w:t xml:space="preserve"> </w:t>
      </w:r>
    </w:p>
    <w:p w:rsidR="000938C1" w:rsidRPr="00CF1A14" w:rsidRDefault="000938C1" w:rsidP="00F30F79">
      <w:pPr>
        <w:jc w:val="center"/>
        <w:rPr>
          <w:b/>
          <w:color w:val="0070C0"/>
          <w:sz w:val="10"/>
          <w:szCs w:val="10"/>
        </w:rPr>
      </w:pPr>
    </w:p>
    <w:p w:rsidR="000938C1" w:rsidRPr="00CF1A14" w:rsidRDefault="000938C1" w:rsidP="00F30F79">
      <w:pPr>
        <w:rPr>
          <w:color w:val="0070C0"/>
          <w:sz w:val="8"/>
          <w:szCs w:val="8"/>
        </w:rPr>
      </w:pPr>
    </w:p>
    <w:p w:rsidR="000938C1" w:rsidRPr="00206232" w:rsidRDefault="000938C1" w:rsidP="00F30F79">
      <w:pPr>
        <w:rPr>
          <w:b/>
          <w:sz w:val="22"/>
          <w:szCs w:val="22"/>
        </w:rPr>
      </w:pPr>
      <w:r w:rsidRPr="00206232">
        <w:rPr>
          <w:b/>
          <w:sz w:val="22"/>
          <w:szCs w:val="22"/>
        </w:rPr>
        <w:t xml:space="preserve">                                   2012 г.                                                                      2013 г.</w:t>
      </w:r>
    </w:p>
    <w:p w:rsidR="000938C1" w:rsidRPr="00CF1A14" w:rsidRDefault="000938C1" w:rsidP="00F30F79">
      <w:pPr>
        <w:rPr>
          <w:b/>
          <w:color w:val="0070C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4641"/>
      </w:tblGrid>
      <w:tr w:rsidR="000938C1" w:rsidRPr="00CF1A14" w:rsidTr="00DC30BE">
        <w:trPr>
          <w:trHeight w:val="2740"/>
          <w:jc w:val="center"/>
        </w:trPr>
        <w:tc>
          <w:tcPr>
            <w:tcW w:w="4606" w:type="dxa"/>
          </w:tcPr>
          <w:p w:rsidR="000938C1" w:rsidRPr="00CF1A14" w:rsidRDefault="000938C1" w:rsidP="00DC30BE">
            <w:pPr>
              <w:rPr>
                <w:b/>
                <w:color w:val="0070C0"/>
              </w:rPr>
            </w:pPr>
            <w:r w:rsidRPr="00BC4ACD">
              <w:rPr>
                <w:b/>
                <w:noProof/>
                <w:color w:val="0070C0"/>
              </w:rPr>
              <w:object w:dxaOrig="4426" w:dyaOrig="2631">
                <v:shape id="Object 12" o:spid="_x0000_i1036" type="#_x0000_t75" style="width:221.25pt;height:132pt;visibility:visible" o:ole="">
                  <v:imagedata r:id="rId28" o:title="" cropbottom="-249f"/>
                  <o:lock v:ext="edit" aspectratio="f"/>
                </v:shape>
                <o:OLEObject Type="Embed" ProgID="Excel.Chart.8" ShapeID="Object 12" DrawAspect="Content" ObjectID="_1467645787" r:id="rId29"/>
              </w:object>
            </w:r>
          </w:p>
        </w:tc>
        <w:tc>
          <w:tcPr>
            <w:tcW w:w="4641" w:type="dxa"/>
          </w:tcPr>
          <w:p w:rsidR="000938C1" w:rsidRPr="00CF1A14" w:rsidRDefault="000938C1" w:rsidP="00DC30BE">
            <w:pPr>
              <w:rPr>
                <w:b/>
                <w:color w:val="0070C0"/>
              </w:rPr>
            </w:pPr>
            <w:r w:rsidRPr="00BC4ACD">
              <w:rPr>
                <w:b/>
                <w:noProof/>
                <w:color w:val="0070C0"/>
              </w:rPr>
              <w:object w:dxaOrig="4061" w:dyaOrig="2477">
                <v:shape id="Object 13" o:spid="_x0000_i1037" type="#_x0000_t75" style="width:3in;height:131.25pt;visibility:visible" o:ole="">
                  <v:imagedata r:id="rId30" o:title="" croptop="-503f" cropbottom="-3492f" cropleft="-468f" cropright="-4486f"/>
                  <o:lock v:ext="edit" aspectratio="f"/>
                </v:shape>
                <o:OLEObject Type="Embed" ProgID="Excel.Chart.8" ShapeID="Object 13" DrawAspect="Content" ObjectID="_1467645788" r:id="rId31"/>
              </w:object>
            </w:r>
          </w:p>
        </w:tc>
      </w:tr>
    </w:tbl>
    <w:p w:rsidR="000938C1" w:rsidRPr="00CF1A14" w:rsidRDefault="000938C1" w:rsidP="00F30F79">
      <w:pPr>
        <w:tabs>
          <w:tab w:val="left" w:pos="900"/>
        </w:tabs>
        <w:ind w:firstLine="900"/>
        <w:jc w:val="both"/>
        <w:rPr>
          <w:color w:val="0070C0"/>
          <w:sz w:val="8"/>
          <w:szCs w:val="8"/>
        </w:rPr>
      </w:pPr>
    </w:p>
    <w:p w:rsidR="000938C1" w:rsidRPr="000E0D3C" w:rsidRDefault="000938C1" w:rsidP="007D5E67">
      <w:pPr>
        <w:pStyle w:val="Heading3"/>
        <w:numPr>
          <w:ilvl w:val="2"/>
          <w:numId w:val="72"/>
        </w:numPr>
        <w:rPr>
          <w:rFonts w:ascii="Times New Roman" w:hAnsi="Times New Roman"/>
          <w:sz w:val="24"/>
          <w:lang w:val="bg-BG"/>
        </w:rPr>
      </w:pPr>
      <w:bookmarkStart w:id="112" w:name="_Toc261276569"/>
      <w:bookmarkStart w:id="113" w:name="_Toc324863404"/>
      <w:bookmarkStart w:id="114" w:name="_Toc326315897"/>
      <w:bookmarkStart w:id="115" w:name="_Toc357527082"/>
      <w:bookmarkStart w:id="116" w:name="_Toc393728056"/>
      <w:r w:rsidRPr="005D7F23">
        <w:rPr>
          <w:rFonts w:ascii="Times New Roman" w:hAnsi="Times New Roman"/>
          <w:sz w:val="24"/>
          <w:lang w:val="bg-BG"/>
        </w:rPr>
        <w:t>Корпоративни данъци</w:t>
      </w:r>
      <w:bookmarkEnd w:id="112"/>
      <w:bookmarkEnd w:id="113"/>
      <w:bookmarkEnd w:id="114"/>
      <w:bookmarkEnd w:id="115"/>
      <w:bookmarkEnd w:id="116"/>
    </w:p>
    <w:p w:rsidR="000938C1" w:rsidRPr="000E0D3C" w:rsidRDefault="000938C1" w:rsidP="00F30F79">
      <w:pPr>
        <w:pStyle w:val="BodyTextIndent"/>
        <w:ind w:left="0" w:right="113"/>
        <w:jc w:val="both"/>
        <w:rPr>
          <w:color w:val="0070C0"/>
          <w:lang w:val="bg-BG"/>
        </w:rPr>
      </w:pPr>
      <w:r w:rsidRPr="005D7F23">
        <w:rPr>
          <w:color w:val="0070C0"/>
          <w:lang w:val="bg-BG"/>
        </w:rPr>
        <w:tab/>
      </w:r>
      <w:r w:rsidRPr="005D7F23">
        <w:rPr>
          <w:lang w:val="bg-BG"/>
        </w:rPr>
        <w:t>Постъпленията от корпоративни данъци в консолидираната фискална програма (вкл. данъците върху дивидентите, доходите и ликвидационните дялове на местни и чуждестранни юридически лица) за 2013 г. са в размер на 1 553,0 млн. лв. (2,0 % от БВП) или 99,1 % от плана за годината. Отнесени към общо постъпилите данъчни приходи по КФП, корпоративните данъци заемат дял от 7,0 %. В сравнение с предходната година, събраните приходи през 2013 г. са със 7</w:t>
      </w:r>
      <w:r w:rsidRPr="00673D4D">
        <w:rPr>
          <w:lang w:val="bg-BG"/>
        </w:rPr>
        <w:t>4</w:t>
      </w:r>
      <w:r w:rsidRPr="005D7F23">
        <w:rPr>
          <w:lang w:val="bg-BG"/>
        </w:rPr>
        <w:t>,9 млн. лв. повече (5,1 %)</w:t>
      </w:r>
      <w:r w:rsidRPr="000E0D3C">
        <w:rPr>
          <w:color w:val="0070C0"/>
          <w:lang w:val="bg-BG"/>
        </w:rPr>
        <w:t>.</w:t>
      </w:r>
    </w:p>
    <w:p w:rsidR="000938C1" w:rsidRPr="000E0D3C" w:rsidRDefault="000938C1" w:rsidP="00F30F79">
      <w:pPr>
        <w:ind w:right="113" w:firstLine="540"/>
        <w:jc w:val="both"/>
      </w:pPr>
      <w:r w:rsidRPr="00673D4D">
        <w:t xml:space="preserve">Приходите от корпоративен  данък през бюджетната година  зависят от отчетените финансови резултати на задължените по ЗКПО лица през предходната година и са отражение на икономическата среда в страната като цяло, като същевременно </w:t>
      </w:r>
      <w:r w:rsidRPr="005D7F23">
        <w:t xml:space="preserve">се </w:t>
      </w:r>
      <w:r w:rsidRPr="00673D4D">
        <w:t>влияят и от състоянието на външните пазари.</w:t>
      </w:r>
      <w:r w:rsidRPr="005D7F23">
        <w:t xml:space="preserve"> Вноските по годишна данъчна декларация (ГДД) са на база декларираната печалба на к</w:t>
      </w:r>
      <w:r w:rsidRPr="000E0D3C">
        <w:t xml:space="preserve">омпаниите за предходната година. </w:t>
      </w:r>
    </w:p>
    <w:p w:rsidR="000938C1" w:rsidRPr="005D7F23" w:rsidRDefault="000938C1" w:rsidP="00F30F79">
      <w:pPr>
        <w:ind w:right="113" w:firstLine="540"/>
        <w:jc w:val="both"/>
        <w:rPr>
          <w:sz w:val="12"/>
          <w:szCs w:val="12"/>
        </w:rPr>
      </w:pPr>
    </w:p>
    <w:p w:rsidR="000938C1" w:rsidRDefault="000938C1" w:rsidP="00F30F79">
      <w:pPr>
        <w:ind w:right="113" w:firstLine="540"/>
        <w:jc w:val="both"/>
      </w:pPr>
      <w:r w:rsidRPr="005D7F23">
        <w:t xml:space="preserve">Друг фактор за размера на приходите са законодателните промени през 2013 г., по силата на които има промяна както в обхвата и в сроковете </w:t>
      </w:r>
      <w:r w:rsidRPr="000E0D3C">
        <w:t>за внасяне на авансовите</w:t>
      </w:r>
      <w:r w:rsidRPr="00DD4D70">
        <w:t xml:space="preserve"> вноски за данъчно задължени лица по ЗКПО, така и в базата за определяне на техния размер. </w:t>
      </w:r>
      <w:r w:rsidRPr="00076272">
        <w:rPr>
          <w:lang w:val="ru-RU"/>
        </w:rPr>
        <w:t>Освободени от задължението за авансови вноски са лицата с приходи от продажби през предходната година до 300 хил.</w:t>
      </w:r>
      <w:r>
        <w:rPr>
          <w:lang w:val="ru-RU"/>
        </w:rPr>
        <w:t xml:space="preserve"> </w:t>
      </w:r>
      <w:r w:rsidRPr="00076272">
        <w:rPr>
          <w:lang w:val="ru-RU"/>
        </w:rPr>
        <w:t>лв.; лицата</w:t>
      </w:r>
      <w:r w:rsidRPr="00076272">
        <w:t xml:space="preserve"> с </w:t>
      </w:r>
      <w:r w:rsidRPr="00076272">
        <w:rPr>
          <w:color w:val="000000"/>
        </w:rPr>
        <w:t xml:space="preserve"> нетни приходи между 300 хил.</w:t>
      </w:r>
      <w:r>
        <w:rPr>
          <w:color w:val="000000"/>
        </w:rPr>
        <w:t xml:space="preserve"> </w:t>
      </w:r>
      <w:r w:rsidRPr="00076272">
        <w:rPr>
          <w:color w:val="000000"/>
        </w:rPr>
        <w:t>лв. и 3 млн.</w:t>
      </w:r>
      <w:r>
        <w:rPr>
          <w:color w:val="000000"/>
        </w:rPr>
        <w:t xml:space="preserve"> </w:t>
      </w:r>
      <w:r w:rsidRPr="00076272">
        <w:rPr>
          <w:color w:val="000000"/>
        </w:rPr>
        <w:t>лв. дължат тримесечни авансови вноски; при нетни приходи над 3 млн.</w:t>
      </w:r>
      <w:r>
        <w:rPr>
          <w:color w:val="000000"/>
        </w:rPr>
        <w:t xml:space="preserve"> </w:t>
      </w:r>
      <w:r w:rsidRPr="00076272">
        <w:rPr>
          <w:color w:val="000000"/>
        </w:rPr>
        <w:t xml:space="preserve">лв. се правят месечни авансови вноски. </w:t>
      </w:r>
      <w:r w:rsidRPr="00076272">
        <w:t>Освен това, размерът на авансовите вноски се определя от самите предприятия на база на прогнозния размер на данъчната печалба за текущата година, деклариран пред НАП с годишната данъчна декларация за корпоративния данък за предходната година.</w:t>
      </w:r>
    </w:p>
    <w:p w:rsidR="000938C1" w:rsidRDefault="000938C1" w:rsidP="002255D3">
      <w:pPr>
        <w:ind w:firstLine="709"/>
        <w:jc w:val="both"/>
      </w:pPr>
      <w:r w:rsidRPr="00DD4D70">
        <w:t xml:space="preserve">Отменен </w:t>
      </w:r>
      <w:r>
        <w:t xml:space="preserve">е </w:t>
      </w:r>
      <w:r w:rsidRPr="00DD4D70">
        <w:t>чл.</w:t>
      </w:r>
      <w:r>
        <w:t xml:space="preserve"> </w:t>
      </w:r>
      <w:r w:rsidRPr="00DD4D70">
        <w:t xml:space="preserve">94 от ЗКПО, в резултат на което надвнесеният корпоративен данък не може да се прихваща </w:t>
      </w:r>
      <w:r>
        <w:t>от</w:t>
      </w:r>
      <w:r w:rsidRPr="00DD4D70">
        <w:t xml:space="preserve"> следващи авансови и годишни вноски, а се възстановява ефективно или се прихваща след ревизия</w:t>
      </w:r>
      <w:r>
        <w:t>.</w:t>
      </w:r>
    </w:p>
    <w:p w:rsidR="000938C1" w:rsidRDefault="000938C1" w:rsidP="00F30F79">
      <w:pPr>
        <w:pStyle w:val="BodyText"/>
        <w:tabs>
          <w:tab w:val="left" w:pos="360"/>
        </w:tabs>
        <w:ind w:right="-110"/>
        <w:jc w:val="center"/>
        <w:rPr>
          <w:b/>
          <w:i/>
          <w:color w:val="0070C0"/>
          <w:u w:val="single"/>
        </w:rPr>
      </w:pPr>
    </w:p>
    <w:p w:rsidR="000938C1" w:rsidRPr="00F30F79" w:rsidRDefault="000938C1" w:rsidP="00F30F79">
      <w:pPr>
        <w:pStyle w:val="BodyText"/>
        <w:tabs>
          <w:tab w:val="left" w:pos="360"/>
        </w:tabs>
        <w:ind w:right="-110"/>
        <w:jc w:val="center"/>
        <w:rPr>
          <w:b/>
          <w:i/>
          <w:color w:val="000000"/>
          <w:u w:val="single"/>
        </w:rPr>
      </w:pPr>
      <w:r w:rsidRPr="00F30F79">
        <w:rPr>
          <w:b/>
          <w:i/>
          <w:color w:val="000000"/>
          <w:u w:val="single"/>
        </w:rPr>
        <w:t>Приходи от корпоративни данъци за периода 2004 – 2013 г.</w:t>
      </w:r>
    </w:p>
    <w:p w:rsidR="000938C1" w:rsidRPr="00CF1A14" w:rsidRDefault="000938C1" w:rsidP="00F30F79">
      <w:pPr>
        <w:pStyle w:val="BodyText"/>
        <w:tabs>
          <w:tab w:val="left" w:pos="360"/>
        </w:tabs>
        <w:ind w:right="-110"/>
        <w:jc w:val="center"/>
        <w:rPr>
          <w:color w:val="0070C0"/>
          <w:szCs w:val="12"/>
        </w:rPr>
      </w:pPr>
      <w:r w:rsidRPr="00656AB5">
        <w:rPr>
          <w:noProof/>
        </w:rPr>
        <w:object w:dxaOrig="8535" w:dyaOrig="5060">
          <v:shape id="Chart 11" o:spid="_x0000_i1038" type="#_x0000_t75" style="width:426.75pt;height:253.5pt;visibility:visible" o:ole="">
            <v:imagedata r:id="rId32" o:title="" cropbottom="-65f"/>
            <o:lock v:ext="edit" aspectratio="f"/>
          </v:shape>
          <o:OLEObject Type="Embed" ProgID="Excel.Chart.8" ShapeID="Chart 11" DrawAspect="Content" ObjectID="_1467645789" r:id="rId33"/>
        </w:object>
      </w:r>
    </w:p>
    <w:p w:rsidR="000938C1" w:rsidRPr="00CF1A14" w:rsidRDefault="000938C1" w:rsidP="00F30F79">
      <w:pPr>
        <w:pStyle w:val="BodyTextIndent"/>
        <w:spacing w:after="0"/>
        <w:ind w:left="0" w:right="113"/>
        <w:jc w:val="both"/>
        <w:rPr>
          <w:color w:val="0070C0"/>
          <w:sz w:val="12"/>
          <w:szCs w:val="12"/>
          <w:lang w:val="bg-BG"/>
        </w:rPr>
      </w:pPr>
      <w:r w:rsidRPr="00CF1A14">
        <w:rPr>
          <w:color w:val="0070C0"/>
          <w:lang w:val="bg-BG"/>
        </w:rPr>
        <w:tab/>
      </w:r>
    </w:p>
    <w:p w:rsidR="000938C1" w:rsidRPr="00F30F79" w:rsidRDefault="000938C1" w:rsidP="00F30F79">
      <w:pPr>
        <w:pStyle w:val="BodyText"/>
        <w:tabs>
          <w:tab w:val="left" w:pos="360"/>
        </w:tabs>
        <w:ind w:right="-110" w:firstLine="900"/>
        <w:jc w:val="both"/>
        <w:rPr>
          <w:b/>
          <w:i/>
          <w:color w:val="000000"/>
          <w:u w:val="single"/>
        </w:rPr>
      </w:pPr>
      <w:r w:rsidRPr="00F30F79">
        <w:rPr>
          <w:b/>
          <w:i/>
          <w:color w:val="000000"/>
          <w:u w:val="single"/>
        </w:rPr>
        <w:t>Корпоративен данък</w:t>
      </w:r>
    </w:p>
    <w:p w:rsidR="000938C1" w:rsidRPr="00F30F79" w:rsidRDefault="000938C1" w:rsidP="00F30F79">
      <w:pPr>
        <w:pStyle w:val="BodyTextIndent"/>
        <w:spacing w:after="0"/>
        <w:ind w:left="0" w:firstLine="540"/>
        <w:jc w:val="both"/>
        <w:rPr>
          <w:color w:val="000000"/>
          <w:lang w:val="bg-BG"/>
        </w:rPr>
      </w:pPr>
      <w:r w:rsidRPr="00F30F79">
        <w:rPr>
          <w:color w:val="000000"/>
          <w:lang w:val="bg-BG"/>
        </w:rPr>
        <w:t>Постъпленията от корпоративен данък за 2013 г. възлизат на 1 496,8 млн. лв., или 101,0 % спрямо годишния разчет и заемат 6,7 % в общия размер на данъчните приходи. Спрямо 2012 г. са постъпили със 7,3 %  (101,5 млн. лв.) повече. През годината е отчетен ръст на приходите и преизпълнение на заложения план при нефинансовите предприятия, докато при постъпленията от финансовите институции и застрахователните дружества се отчита неизпълнение на планираните приходи.</w:t>
      </w:r>
    </w:p>
    <w:p w:rsidR="000938C1" w:rsidRPr="000C51E2" w:rsidRDefault="000938C1" w:rsidP="00F30F79">
      <w:pPr>
        <w:pStyle w:val="BodyTextIndent"/>
        <w:spacing w:after="0"/>
        <w:ind w:left="0"/>
        <w:jc w:val="both"/>
        <w:rPr>
          <w:lang w:val="bg-BG"/>
        </w:rPr>
      </w:pPr>
      <w:r w:rsidRPr="000C51E2">
        <w:rPr>
          <w:lang w:val="bg-BG"/>
        </w:rPr>
        <w:t xml:space="preserve">Приходите от корпоративен данък за 2013 г. се формират от постъпленията по: </w:t>
      </w:r>
    </w:p>
    <w:p w:rsidR="000938C1" w:rsidRPr="000C51E2" w:rsidRDefault="000938C1" w:rsidP="00F30F79">
      <w:pPr>
        <w:pStyle w:val="BodyTextIndent"/>
        <w:numPr>
          <w:ilvl w:val="0"/>
          <w:numId w:val="82"/>
        </w:numPr>
        <w:ind w:left="0" w:firstLine="540"/>
        <w:jc w:val="both"/>
        <w:rPr>
          <w:lang w:val="bg-BG"/>
        </w:rPr>
      </w:pPr>
      <w:r w:rsidRPr="000C51E2">
        <w:rPr>
          <w:lang w:val="bg-BG"/>
        </w:rPr>
        <w:t>годишните изравнителни вноски по годишни данъчни декларации</w:t>
      </w:r>
      <w:r>
        <w:rPr>
          <w:lang w:val="bg-BG"/>
        </w:rPr>
        <w:t xml:space="preserve"> – 633,6 млн. лв., при 538,6 млн. лв. за 2012 г.</w:t>
      </w:r>
      <w:r w:rsidRPr="000C51E2">
        <w:rPr>
          <w:lang w:val="bg-BG"/>
        </w:rPr>
        <w:t>;</w:t>
      </w:r>
    </w:p>
    <w:p w:rsidR="000938C1" w:rsidRPr="000C51E2" w:rsidRDefault="000938C1" w:rsidP="00F30F79">
      <w:pPr>
        <w:pStyle w:val="BodyTextIndent"/>
        <w:numPr>
          <w:ilvl w:val="0"/>
          <w:numId w:val="82"/>
        </w:numPr>
        <w:ind w:left="0" w:firstLine="540"/>
        <w:jc w:val="both"/>
        <w:rPr>
          <w:lang w:val="bg-BG"/>
        </w:rPr>
      </w:pPr>
      <w:r w:rsidRPr="000C51E2">
        <w:rPr>
          <w:lang w:val="bg-BG"/>
        </w:rPr>
        <w:t xml:space="preserve">авансовите вноски, които правят данъчно задължени лица, формирали данъчна печалба за предходната година </w:t>
      </w:r>
      <w:r>
        <w:rPr>
          <w:lang w:val="bg-BG"/>
        </w:rPr>
        <w:t xml:space="preserve">- 883,3 млн. лв., при 835,0 млн. лв. за 2012 г. </w:t>
      </w:r>
      <w:r w:rsidRPr="000C51E2">
        <w:rPr>
          <w:lang w:val="bg-BG"/>
        </w:rPr>
        <w:t xml:space="preserve">Отчитайки факта, че авансовите вноски се правят на база прогнозна печалба, то в случай, че в течение на годината се окаже, че действителната печалба се отклонява от прогнозната, предприятието има право да коригира авансовите си вноски; </w:t>
      </w:r>
    </w:p>
    <w:p w:rsidR="000938C1" w:rsidRPr="000C51E2" w:rsidRDefault="000938C1" w:rsidP="00F30F79">
      <w:pPr>
        <w:pStyle w:val="BodyTextIndent"/>
        <w:numPr>
          <w:ilvl w:val="0"/>
          <w:numId w:val="82"/>
        </w:numPr>
        <w:ind w:left="0" w:firstLine="540"/>
        <w:jc w:val="both"/>
        <w:rPr>
          <w:lang w:val="bg-BG"/>
        </w:rPr>
      </w:pPr>
      <w:r w:rsidRPr="000C51E2">
        <w:rPr>
          <w:lang w:val="bg-BG"/>
        </w:rPr>
        <w:t>възстановените суми за надвнесен корпоративен данък по годишни данъчни декларации</w:t>
      </w:r>
      <w:r>
        <w:rPr>
          <w:lang w:val="bg-BG"/>
        </w:rPr>
        <w:t xml:space="preserve"> – 183,3 млн. лв., при 50,6 млн. лв. за предходната година</w:t>
      </w:r>
      <w:r w:rsidRPr="000C51E2">
        <w:rPr>
          <w:lang w:val="bg-BG"/>
        </w:rPr>
        <w:t>;</w:t>
      </w:r>
    </w:p>
    <w:p w:rsidR="000938C1" w:rsidRDefault="000938C1" w:rsidP="00F30F79">
      <w:pPr>
        <w:pStyle w:val="BodyTextIndent"/>
        <w:numPr>
          <w:ilvl w:val="0"/>
          <w:numId w:val="82"/>
        </w:numPr>
        <w:ind w:left="0" w:firstLine="540"/>
        <w:jc w:val="both"/>
        <w:rPr>
          <w:lang w:val="bg-BG"/>
        </w:rPr>
      </w:pPr>
      <w:r w:rsidRPr="000C51E2">
        <w:rPr>
          <w:lang w:val="bg-BG"/>
        </w:rPr>
        <w:t>вноски</w:t>
      </w:r>
      <w:r>
        <w:rPr>
          <w:lang w:val="bg-BG"/>
        </w:rPr>
        <w:t>те</w:t>
      </w:r>
      <w:r w:rsidRPr="000C51E2">
        <w:rPr>
          <w:lang w:val="bg-BG"/>
        </w:rPr>
        <w:t xml:space="preserve"> по ревизионни актове</w:t>
      </w:r>
      <w:r>
        <w:rPr>
          <w:lang w:val="bg-BG"/>
        </w:rPr>
        <w:t xml:space="preserve"> – 17,9 млн. лв., при 26,8 млн. лв. за 2012 г.;</w:t>
      </w:r>
    </w:p>
    <w:p w:rsidR="000938C1" w:rsidRDefault="000938C1" w:rsidP="00F30F79">
      <w:pPr>
        <w:pStyle w:val="BodyTextIndent"/>
        <w:numPr>
          <w:ilvl w:val="0"/>
          <w:numId w:val="82"/>
        </w:numPr>
        <w:ind w:left="0" w:firstLine="540"/>
        <w:jc w:val="both"/>
        <w:rPr>
          <w:lang w:val="bg-BG"/>
        </w:rPr>
      </w:pPr>
      <w:r>
        <w:rPr>
          <w:lang w:val="bg-BG"/>
        </w:rPr>
        <w:t>плащанията на корпоративен данък за минали години – 77,9 млн. лв., при 41,4 млн. лв. за 2012 г.;</w:t>
      </w:r>
    </w:p>
    <w:p w:rsidR="000938C1" w:rsidRPr="000C51E2" w:rsidRDefault="000938C1" w:rsidP="00F30F79">
      <w:pPr>
        <w:pStyle w:val="BodyTextIndent"/>
        <w:numPr>
          <w:ilvl w:val="0"/>
          <w:numId w:val="82"/>
        </w:numPr>
        <w:ind w:left="0" w:firstLine="540"/>
        <w:jc w:val="both"/>
        <w:rPr>
          <w:lang w:val="bg-BG"/>
        </w:rPr>
      </w:pPr>
      <w:r>
        <w:rPr>
          <w:lang w:val="bg-BG"/>
        </w:rPr>
        <w:t>вноски за лихви – 14,8 млн. лв., при 4,2 млн. лв. за 2012 г.</w:t>
      </w:r>
    </w:p>
    <w:p w:rsidR="000938C1" w:rsidRPr="000C51E2" w:rsidRDefault="000938C1" w:rsidP="00F30F79">
      <w:pPr>
        <w:ind w:firstLine="540"/>
        <w:jc w:val="both"/>
        <w:rPr>
          <w:lang w:eastAsia="en-US"/>
        </w:rPr>
      </w:pPr>
      <w:r w:rsidRPr="000C51E2">
        <w:rPr>
          <w:bCs/>
        </w:rPr>
        <w:t xml:space="preserve">Постъпилите суми по единната сметка на НАП, обвързани със задължения за корпоративен данък, към 31.12.2013 г. </w:t>
      </w:r>
      <w:r w:rsidRPr="00ED406C">
        <w:rPr>
          <w:bCs/>
        </w:rPr>
        <w:t>са 1 444,2 млн. лв.</w:t>
      </w:r>
      <w:r w:rsidRPr="000C51E2">
        <w:rPr>
          <w:bCs/>
        </w:rPr>
        <w:t xml:space="preserve"> (съгласно ДДС №10/18.12.2013 г. към тях са добавени </w:t>
      </w:r>
      <w:r w:rsidRPr="000C51E2">
        <w:t>52</w:t>
      </w:r>
      <w:r>
        <w:t>,</w:t>
      </w:r>
      <w:r w:rsidRPr="000C51E2">
        <w:t>6 млн.</w:t>
      </w:r>
      <w:r>
        <w:t xml:space="preserve"> </w:t>
      </w:r>
      <w:r w:rsidRPr="000C51E2">
        <w:t>лв.</w:t>
      </w:r>
      <w:r>
        <w:t xml:space="preserve"> </w:t>
      </w:r>
      <w:r w:rsidRPr="000C51E2">
        <w:rPr>
          <w:bCs/>
        </w:rPr>
        <w:t>от необвързаните към края на годината суми, постъпили по единната сметка на НАП</w:t>
      </w:r>
      <w:r w:rsidRPr="000C51E2">
        <w:t>)</w:t>
      </w:r>
      <w:r>
        <w:t>.</w:t>
      </w:r>
    </w:p>
    <w:p w:rsidR="000938C1" w:rsidRPr="00F30F79" w:rsidRDefault="000938C1" w:rsidP="00F30F79">
      <w:pPr>
        <w:pStyle w:val="BodyTextIndent"/>
        <w:spacing w:after="0"/>
        <w:ind w:left="0" w:firstLine="540"/>
        <w:jc w:val="both"/>
        <w:rPr>
          <w:color w:val="000000"/>
          <w:lang w:val="bg-BG"/>
        </w:rPr>
      </w:pPr>
      <w:r w:rsidRPr="000C51E2">
        <w:rPr>
          <w:lang w:val="bg-BG"/>
        </w:rPr>
        <w:t>Начисления</w:t>
      </w:r>
      <w:r>
        <w:rPr>
          <w:lang w:val="bg-BG"/>
        </w:rPr>
        <w:t>т</w:t>
      </w:r>
      <w:r w:rsidRPr="000C51E2">
        <w:rPr>
          <w:lang w:val="bg-BG"/>
        </w:rPr>
        <w:t xml:space="preserve"> за внасяне </w:t>
      </w:r>
      <w:r>
        <w:rPr>
          <w:lang w:val="bg-BG"/>
        </w:rPr>
        <w:t>к</w:t>
      </w:r>
      <w:r w:rsidRPr="000C51E2">
        <w:rPr>
          <w:lang w:val="bg-BG"/>
        </w:rPr>
        <w:t xml:space="preserve">орпоративен данък по </w:t>
      </w:r>
      <w:r w:rsidRPr="00ED406C">
        <w:rPr>
          <w:lang w:val="bg-BG"/>
        </w:rPr>
        <w:t>ГДД</w:t>
      </w:r>
      <w:r w:rsidRPr="000C51E2">
        <w:rPr>
          <w:lang w:val="bg-BG"/>
        </w:rPr>
        <w:t xml:space="preserve"> през 2013 година е събран на 91,8</w:t>
      </w:r>
      <w:r>
        <w:rPr>
          <w:lang w:val="bg-BG"/>
        </w:rPr>
        <w:t xml:space="preserve"> </w:t>
      </w:r>
      <w:r w:rsidRPr="000C51E2">
        <w:rPr>
          <w:lang w:val="bg-BG"/>
        </w:rPr>
        <w:t>%, като този показател през предходната година е бил 90,6</w:t>
      </w:r>
      <w:r>
        <w:rPr>
          <w:lang w:val="bg-BG"/>
        </w:rPr>
        <w:t xml:space="preserve"> </w:t>
      </w:r>
      <w:r w:rsidRPr="000C51E2">
        <w:rPr>
          <w:lang w:val="bg-BG"/>
        </w:rPr>
        <w:t xml:space="preserve">%. Начислените за внасяне авансови вноски за </w:t>
      </w:r>
      <w:r>
        <w:rPr>
          <w:lang w:val="bg-BG"/>
        </w:rPr>
        <w:t>к</w:t>
      </w:r>
      <w:r w:rsidRPr="000C51E2">
        <w:rPr>
          <w:lang w:val="bg-BG"/>
        </w:rPr>
        <w:t>орпоративен данък през 2013 година са събрани на 95,9</w:t>
      </w:r>
      <w:r>
        <w:rPr>
          <w:lang w:val="bg-BG"/>
        </w:rPr>
        <w:t xml:space="preserve"> </w:t>
      </w:r>
      <w:r w:rsidRPr="000C51E2">
        <w:rPr>
          <w:lang w:val="bg-BG"/>
        </w:rPr>
        <w:t xml:space="preserve">%. </w:t>
      </w:r>
      <w:r w:rsidRPr="000C51E2">
        <w:rPr>
          <w:bCs/>
          <w:lang w:val="bg-BG"/>
        </w:rPr>
        <w:t xml:space="preserve">Предвид спецификата на погасяване на задължения след въвеждане на единната сметка (приоритетно се плаща по старото задължение) е обясним ръстът на вноските за </w:t>
      </w:r>
      <w:r w:rsidRPr="00ED406C">
        <w:rPr>
          <w:bCs/>
          <w:lang w:val="bg-BG"/>
        </w:rPr>
        <w:t xml:space="preserve">лихви </w:t>
      </w:r>
      <w:r w:rsidRPr="000C51E2">
        <w:rPr>
          <w:bCs/>
          <w:lang w:val="bg-BG"/>
        </w:rPr>
        <w:t xml:space="preserve">и плащане на корпоративен данък за предходни година. </w:t>
      </w:r>
      <w:r w:rsidRPr="000C51E2">
        <w:rPr>
          <w:lang w:val="bg-BG"/>
        </w:rPr>
        <w:t>Отмяната на чл.</w:t>
      </w:r>
      <w:r>
        <w:rPr>
          <w:lang w:val="bg-BG"/>
        </w:rPr>
        <w:t xml:space="preserve"> </w:t>
      </w:r>
      <w:r w:rsidRPr="000C51E2">
        <w:rPr>
          <w:lang w:val="bg-BG"/>
        </w:rPr>
        <w:t>94 от ЗКПО</w:t>
      </w:r>
      <w:r>
        <w:rPr>
          <w:lang w:val="bg-BG"/>
        </w:rPr>
        <w:t>,</w:t>
      </w:r>
      <w:r w:rsidRPr="000C51E2">
        <w:rPr>
          <w:lang w:val="bg-BG"/>
        </w:rPr>
        <w:t xml:space="preserve"> в резултат на което </w:t>
      </w:r>
      <w:r w:rsidRPr="00ED406C">
        <w:rPr>
          <w:lang w:val="bg-BG"/>
        </w:rPr>
        <w:t>надвнесеният корпоративен данък</w:t>
      </w:r>
      <w:r w:rsidRPr="000C51E2">
        <w:rPr>
          <w:lang w:val="bg-BG"/>
        </w:rPr>
        <w:t xml:space="preserve"> не може да се прихваща за следващи авансови и годишни вноски, а се възстановява ефективно или се прихваща след ревизия, e основна причина за увеличаването с над три пъти на възстановения корпоративен данък.</w:t>
      </w:r>
    </w:p>
    <w:p w:rsidR="000938C1" w:rsidRPr="000C51E2" w:rsidRDefault="000938C1" w:rsidP="00F30F79">
      <w:pPr>
        <w:pStyle w:val="BodyText"/>
        <w:tabs>
          <w:tab w:val="num" w:pos="900"/>
        </w:tabs>
        <w:spacing w:after="0"/>
        <w:ind w:left="180"/>
        <w:jc w:val="both"/>
        <w:rPr>
          <w:color w:val="0070C0"/>
          <w:sz w:val="8"/>
          <w:szCs w:val="8"/>
        </w:rPr>
      </w:pPr>
    </w:p>
    <w:p w:rsidR="000938C1" w:rsidRPr="00F30F79" w:rsidRDefault="000938C1" w:rsidP="00F30F79">
      <w:pPr>
        <w:tabs>
          <w:tab w:val="left" w:pos="426"/>
        </w:tabs>
        <w:jc w:val="both"/>
        <w:rPr>
          <w:color w:val="000000"/>
        </w:rPr>
      </w:pPr>
      <w:r w:rsidRPr="00656AB5">
        <w:rPr>
          <w:noProof/>
        </w:rPr>
        <w:object w:dxaOrig="7661" w:dyaOrig="4378">
          <v:shape id="Chart 26" o:spid="_x0000_i1039" type="#_x0000_t75" style="width:383.25pt;height:219.75pt;visibility:visible" o:ole="">
            <v:imagedata r:id="rId34" o:title="" cropbottom="-210f" cropright="-43f"/>
            <o:lock v:ext="edit" aspectratio="f"/>
          </v:shape>
          <o:OLEObject Type="Embed" ProgID="Excel.Chart.8" ShapeID="Chart 26" DrawAspect="Content" ObjectID="_1467645790" r:id="rId35"/>
        </w:object>
      </w:r>
    </w:p>
    <w:p w:rsidR="000938C1" w:rsidRPr="00F30F79" w:rsidRDefault="000938C1" w:rsidP="00F30F79">
      <w:pPr>
        <w:tabs>
          <w:tab w:val="left" w:pos="426"/>
        </w:tabs>
        <w:jc w:val="both"/>
        <w:rPr>
          <w:color w:val="000000"/>
        </w:rPr>
      </w:pPr>
    </w:p>
    <w:p w:rsidR="000938C1" w:rsidRPr="00F30F79" w:rsidRDefault="000938C1" w:rsidP="00F30F79">
      <w:pPr>
        <w:tabs>
          <w:tab w:val="left" w:pos="426"/>
        </w:tabs>
        <w:jc w:val="both"/>
        <w:rPr>
          <w:color w:val="000000"/>
        </w:rPr>
      </w:pPr>
      <w:r w:rsidRPr="00F30F79">
        <w:rPr>
          <w:color w:val="000000"/>
        </w:rPr>
        <w:t xml:space="preserve">Приходите от </w:t>
      </w:r>
      <w:r w:rsidRPr="00F30F79">
        <w:rPr>
          <w:i/>
          <w:color w:val="000000"/>
        </w:rPr>
        <w:t>корпоративен данък от нефинансови предприятия (вкл. организации с идеална цел)</w:t>
      </w:r>
      <w:r w:rsidRPr="00F30F79">
        <w:rPr>
          <w:color w:val="000000"/>
        </w:rPr>
        <w:t xml:space="preserve"> са в размер на 1 359,5 млн. лв., 102,1 % изпълнение на плана за годината и са със 103,2 млн. лв. (8,2 %) повече в сравнение със събраните през 2012 г. </w:t>
      </w:r>
      <w:r w:rsidRPr="001B52F4">
        <w:t>Възстановеният и прихванат корпоративен данък на нефинансови институции през 2013 г. е 144</w:t>
      </w:r>
      <w:r>
        <w:t>,</w:t>
      </w:r>
      <w:r w:rsidRPr="001B52F4">
        <w:t>4 млн.</w:t>
      </w:r>
      <w:r>
        <w:t xml:space="preserve"> </w:t>
      </w:r>
      <w:r w:rsidRPr="001B52F4">
        <w:t>лв., в т.ч. ефективно възстановен – 123</w:t>
      </w:r>
      <w:r>
        <w:t>,</w:t>
      </w:r>
      <w:r w:rsidRPr="001B52F4">
        <w:t>4 млн.</w:t>
      </w:r>
      <w:r>
        <w:t xml:space="preserve"> </w:t>
      </w:r>
      <w:r w:rsidRPr="001B52F4">
        <w:t>лв</w:t>
      </w:r>
      <w:r>
        <w:t>.</w:t>
      </w:r>
      <w:r w:rsidRPr="001B52F4">
        <w:t>, предвид отмяната на чл.</w:t>
      </w:r>
      <w:r>
        <w:t xml:space="preserve"> </w:t>
      </w:r>
      <w:r w:rsidRPr="001B52F4">
        <w:t>94 от ЗКПО.</w:t>
      </w:r>
    </w:p>
    <w:p w:rsidR="000938C1" w:rsidRPr="00AA11FE" w:rsidRDefault="000938C1" w:rsidP="00F30F79">
      <w:pPr>
        <w:tabs>
          <w:tab w:val="left" w:pos="426"/>
        </w:tabs>
        <w:jc w:val="both"/>
        <w:rPr>
          <w:color w:val="0070C0"/>
          <w:sz w:val="8"/>
          <w:szCs w:val="8"/>
        </w:rPr>
      </w:pPr>
    </w:p>
    <w:p w:rsidR="000938C1" w:rsidRPr="00F30F79" w:rsidRDefault="000938C1" w:rsidP="00F30F79">
      <w:pPr>
        <w:tabs>
          <w:tab w:val="left" w:pos="426"/>
        </w:tabs>
        <w:jc w:val="both"/>
        <w:rPr>
          <w:color w:val="000000"/>
        </w:rPr>
      </w:pPr>
      <w:r w:rsidRPr="00F30F79">
        <w:rPr>
          <w:color w:val="000000"/>
        </w:rPr>
        <w:t xml:space="preserve">Постъпленията от </w:t>
      </w:r>
      <w:r w:rsidRPr="00F30F79">
        <w:rPr>
          <w:i/>
          <w:color w:val="000000"/>
        </w:rPr>
        <w:t>корпоративен данък от финансови институции (вкл. застрахователни дружества)</w:t>
      </w:r>
      <w:r w:rsidRPr="00F30F79">
        <w:rPr>
          <w:color w:val="000000"/>
        </w:rPr>
        <w:t xml:space="preserve"> са 137,2 млн. лв., или 91,4 % от планираните за годината. Съпоставени с  2012 г. е отчетено намаление от 1,8 млн. лв. (1,3 %), в т.ч. 5,2 млн. лв. намаление на приходите от финансови институции и 3,4 млн. лв. ръст на приходите от застрахователни дружества.</w:t>
      </w:r>
    </w:p>
    <w:p w:rsidR="000938C1" w:rsidRPr="00F30F79" w:rsidRDefault="000938C1" w:rsidP="00F30F79">
      <w:pPr>
        <w:spacing w:after="120"/>
        <w:jc w:val="both"/>
        <w:rPr>
          <w:color w:val="000000"/>
        </w:rPr>
      </w:pPr>
      <w:r w:rsidRPr="00AA11FE">
        <w:t>Печалбата на банковия сектор за 2012 г. е 529,7 млн. лв., което е с 11,8 % повече в сравнение с предходната година. Финансовият резултат е повлиян от намалените приходи от лихви и повишените лихвени разходи поради растежа на привлечените средства. На годишна база намаляват и обезценките за покриване на разходи за лоши кредити. Близо  70 % от печалбата е формирана от двете най-големи по размер на активите банки. Отчетените приходи от корпоративен данък са в размер 92,5 млн. лв. и са с 5</w:t>
      </w:r>
      <w:r>
        <w:t>,</w:t>
      </w:r>
      <w:r w:rsidRPr="00AA11FE">
        <w:t>2 % по-малко в сравнение със събраните през предходната година. Изпълнението на плана е 8</w:t>
      </w:r>
      <w:r>
        <w:t>9,3</w:t>
      </w:r>
      <w:r w:rsidRPr="00AA11FE">
        <w:t xml:space="preserve"> %. Възстановеният и прихванат корпоративен данък на финансови институции към 31.12.2013 г. е 27,5 млн. лв., в т.ч. ефективно възстановен - 27,1 млн. лева.</w:t>
      </w:r>
      <w:r>
        <w:t xml:space="preserve"> </w:t>
      </w:r>
      <w:r w:rsidRPr="00AA11FE">
        <w:t>Застрахователният сектор остава под влиянието на неблагоприятната икономическа ситуация в страната, като силно ограниченото потребление на населението представлява основна пречка за възстановяването му. Въпреки намаляването на обема на пазара, състоянието на сектора се запазва стабилно, като стойността и на техническия резултат, и на дохода от инвестиционна дейност са положителни, което рефлектира в положителен нетен финансов резултат. През 2012 година брутния премиен приход, реализиран от застрахователите възлиза на 1</w:t>
      </w:r>
      <w:r>
        <w:t>,</w:t>
      </w:r>
      <w:r w:rsidRPr="00AA11FE">
        <w:t>598 млрд. лева, като се отчита спад от 0</w:t>
      </w:r>
      <w:r>
        <w:t>,</w:t>
      </w:r>
      <w:r w:rsidRPr="00AA11FE">
        <w:t>7% на годишна база. Дружествата в сектора по общо застраховане отчитат положителен технически резултат в размер на 38</w:t>
      </w:r>
      <w:r>
        <w:t>,0</w:t>
      </w:r>
      <w:r w:rsidRPr="00AA11FE">
        <w:t xml:space="preserve"> млн. лв</w:t>
      </w:r>
      <w:r>
        <w:t>.</w:t>
      </w:r>
      <w:r w:rsidRPr="00AA11FE">
        <w:t>, при 23</w:t>
      </w:r>
      <w:r>
        <w:t>,0</w:t>
      </w:r>
      <w:r w:rsidRPr="00AA11FE">
        <w:t xml:space="preserve"> млн. лв</w:t>
      </w:r>
      <w:r>
        <w:t>.</w:t>
      </w:r>
      <w:r w:rsidRPr="00AA11FE">
        <w:t xml:space="preserve"> година по-рано и положителен финансов резултат в размер на 48</w:t>
      </w:r>
      <w:r>
        <w:t>,</w:t>
      </w:r>
      <w:r w:rsidRPr="00AA11FE">
        <w:t>7 млн. лв</w:t>
      </w:r>
      <w:r>
        <w:t>.</w:t>
      </w:r>
      <w:r w:rsidRPr="00AA11FE">
        <w:t xml:space="preserve"> при 51</w:t>
      </w:r>
      <w:r>
        <w:t>,</w:t>
      </w:r>
      <w:r w:rsidRPr="00AA11FE">
        <w:t>5 млн. лв</w:t>
      </w:r>
      <w:r>
        <w:t>.</w:t>
      </w:r>
      <w:r w:rsidRPr="00AA11FE">
        <w:t xml:space="preserve"> година по-рано. Автомобилните застраховки остават водещи за застрахователните дружества. Отчетените приходи от корпоративен данък от застрахователни дружества към 31.12.2013 г. са в размер 44</w:t>
      </w:r>
      <w:r>
        <w:t>,</w:t>
      </w:r>
      <w:r w:rsidRPr="00AA11FE">
        <w:t>9 млн. лв</w:t>
      </w:r>
      <w:r>
        <w:t>.</w:t>
      </w:r>
      <w:r w:rsidRPr="00AA11FE">
        <w:t xml:space="preserve"> и са с 8</w:t>
      </w:r>
      <w:r>
        <w:t>,</w:t>
      </w:r>
      <w:r w:rsidRPr="00AA11FE">
        <w:t>2</w:t>
      </w:r>
      <w:r>
        <w:t xml:space="preserve"> </w:t>
      </w:r>
      <w:r w:rsidRPr="00AA11FE">
        <w:t>% повече в сравнение със събраните през предходната година. Изпълнението на плана е 99</w:t>
      </w:r>
      <w:r>
        <w:t>,</w:t>
      </w:r>
      <w:r w:rsidRPr="00AA11FE">
        <w:t>7</w:t>
      </w:r>
      <w:r>
        <w:t xml:space="preserve"> </w:t>
      </w:r>
      <w:r w:rsidRPr="00AA11FE">
        <w:t>%.</w:t>
      </w:r>
    </w:p>
    <w:p w:rsidR="000938C1" w:rsidRPr="00F30F79" w:rsidRDefault="000938C1" w:rsidP="00F30F79">
      <w:pPr>
        <w:pStyle w:val="BodyText"/>
        <w:tabs>
          <w:tab w:val="left" w:pos="360"/>
        </w:tabs>
        <w:ind w:right="-110" w:firstLine="900"/>
        <w:jc w:val="both"/>
        <w:rPr>
          <w:color w:val="000000"/>
        </w:rPr>
      </w:pPr>
      <w:r w:rsidRPr="00F30F79">
        <w:rPr>
          <w:b/>
          <w:i/>
          <w:color w:val="000000"/>
          <w:u w:val="single"/>
        </w:rPr>
        <w:t xml:space="preserve">Данъци върху дивидентите и ликвидационните дялове на местни и чуждестранни юридически  лица (ЧЮЛ) и данък върху доходите на ЧЮЛ </w:t>
      </w:r>
    </w:p>
    <w:p w:rsidR="000938C1" w:rsidRPr="00142B7E" w:rsidRDefault="000938C1" w:rsidP="00F30F79">
      <w:pPr>
        <w:tabs>
          <w:tab w:val="left" w:pos="900"/>
        </w:tabs>
        <w:ind w:firstLine="360"/>
        <w:jc w:val="both"/>
        <w:rPr>
          <w:color w:val="0070C0"/>
          <w:sz w:val="8"/>
          <w:szCs w:val="8"/>
        </w:rPr>
      </w:pPr>
    </w:p>
    <w:p w:rsidR="000938C1" w:rsidRPr="00F30F79" w:rsidRDefault="000938C1" w:rsidP="00F30F79">
      <w:pPr>
        <w:pStyle w:val="BodyTextIndent"/>
        <w:spacing w:after="0"/>
        <w:ind w:left="0" w:firstLine="540"/>
        <w:jc w:val="both"/>
        <w:rPr>
          <w:color w:val="000000"/>
          <w:lang w:val="bg-BG"/>
        </w:rPr>
      </w:pPr>
      <w:r w:rsidRPr="00F30F79">
        <w:rPr>
          <w:color w:val="000000"/>
          <w:lang w:val="bg-BG"/>
        </w:rPr>
        <w:tab/>
        <w:t>Постъпленията от данъци върху дивидентите, ликвидационните дялове на местни и чуждестранни юридически лица и доходите на ЧЮЛ за 2013 г. са в размер на 56,3 млн. лв. (0,1 % от БВП) или 65,8 % от разчета за годината и с 26,5 млн. лв. (</w:t>
      </w:r>
      <w:r>
        <w:rPr>
          <w:color w:val="000000"/>
          <w:lang w:val="bg-BG"/>
        </w:rPr>
        <w:t>3</w:t>
      </w:r>
      <w:r w:rsidRPr="00F30F79">
        <w:rPr>
          <w:color w:val="000000"/>
          <w:lang w:val="bg-BG"/>
        </w:rPr>
        <w:t>2,0 %) по-малко спрямо 2012 г.</w:t>
      </w:r>
      <w:r w:rsidRPr="00142B7E">
        <w:rPr>
          <w:lang w:val="bg-BG"/>
        </w:rPr>
        <w:t xml:space="preserve"> Следва да се има предвид, че постъпленията от тази група данъци имат предимно случаен характер.</w:t>
      </w:r>
    </w:p>
    <w:p w:rsidR="000938C1" w:rsidRPr="00142B7E" w:rsidRDefault="000938C1" w:rsidP="00F30F79">
      <w:pPr>
        <w:tabs>
          <w:tab w:val="left" w:pos="900"/>
        </w:tabs>
        <w:ind w:firstLine="360"/>
        <w:jc w:val="both"/>
        <w:rPr>
          <w:color w:val="0070C0"/>
        </w:rPr>
      </w:pPr>
    </w:p>
    <w:p w:rsidR="000938C1" w:rsidRPr="00F30F79" w:rsidRDefault="000938C1" w:rsidP="007D5E67">
      <w:pPr>
        <w:pStyle w:val="Heading3"/>
        <w:numPr>
          <w:ilvl w:val="2"/>
          <w:numId w:val="72"/>
        </w:numPr>
        <w:spacing w:before="0" w:after="0"/>
        <w:rPr>
          <w:rFonts w:ascii="Times New Roman" w:hAnsi="Times New Roman"/>
          <w:color w:val="000000"/>
          <w:sz w:val="24"/>
          <w:lang w:val="bg-BG"/>
        </w:rPr>
      </w:pPr>
      <w:bookmarkStart w:id="117" w:name="_Toc261276570"/>
      <w:bookmarkStart w:id="118" w:name="_Toc324863405"/>
      <w:bookmarkStart w:id="119" w:name="_Toc326315898"/>
      <w:bookmarkStart w:id="120" w:name="_Toc357527083"/>
      <w:bookmarkStart w:id="121" w:name="_Toc393728057"/>
      <w:r w:rsidRPr="00F30F79">
        <w:rPr>
          <w:rFonts w:ascii="Times New Roman" w:hAnsi="Times New Roman"/>
          <w:color w:val="000000"/>
          <w:sz w:val="24"/>
          <w:lang w:val="bg-BG"/>
        </w:rPr>
        <w:t>Данък върху доходите на физическите лица</w:t>
      </w:r>
      <w:bookmarkEnd w:id="117"/>
      <w:bookmarkEnd w:id="118"/>
      <w:bookmarkEnd w:id="119"/>
      <w:bookmarkEnd w:id="120"/>
      <w:bookmarkEnd w:id="121"/>
    </w:p>
    <w:p w:rsidR="000938C1" w:rsidRPr="000C51E2" w:rsidRDefault="000938C1" w:rsidP="00F30F79">
      <w:pPr>
        <w:jc w:val="both"/>
        <w:rPr>
          <w:color w:val="0070C0"/>
        </w:rPr>
      </w:pPr>
    </w:p>
    <w:p w:rsidR="000938C1" w:rsidRPr="00F30F79" w:rsidRDefault="000938C1" w:rsidP="00F30F79">
      <w:pPr>
        <w:pStyle w:val="BodyTextIndent"/>
        <w:spacing w:after="0"/>
        <w:ind w:left="0" w:firstLine="540"/>
        <w:jc w:val="both"/>
        <w:rPr>
          <w:color w:val="000000"/>
          <w:lang w:val="bg-BG"/>
        </w:rPr>
      </w:pPr>
      <w:bookmarkStart w:id="122" w:name="_Toc199730302"/>
      <w:bookmarkStart w:id="123" w:name="_Toc261276571"/>
      <w:r w:rsidRPr="00F30F79">
        <w:rPr>
          <w:color w:val="000000"/>
          <w:lang w:val="bg-BG"/>
        </w:rPr>
        <w:tab/>
        <w:t xml:space="preserve">Постъпленията от данък върху доходите на физическите лица (ДДФЛ) за 2013 г. са  в размер на 2 348,5 млн. лв. (3,0 % от БВП), </w:t>
      </w:r>
      <w:r>
        <w:rPr>
          <w:color w:val="000000"/>
          <w:lang w:val="bg-BG"/>
        </w:rPr>
        <w:t>94,6</w:t>
      </w:r>
      <w:r w:rsidRPr="00F30F79">
        <w:rPr>
          <w:color w:val="000000"/>
          <w:lang w:val="bg-BG"/>
        </w:rPr>
        <w:t xml:space="preserve"> % изпълнение на актуализирания годишен разчет и формират 10,5 % от общия размер на данъчните приходи. Спрямо 2012</w:t>
      </w:r>
      <w:r>
        <w:rPr>
          <w:color w:val="000000"/>
          <w:lang w:val="bg-BG"/>
        </w:rPr>
        <w:t> </w:t>
      </w:r>
      <w:r w:rsidRPr="00F30F79">
        <w:rPr>
          <w:color w:val="000000"/>
          <w:lang w:val="bg-BG"/>
        </w:rPr>
        <w:t>г. приходите от данъка са нараснали с 50,8 млн. лв.</w:t>
      </w:r>
      <w:r>
        <w:rPr>
          <w:color w:val="000000"/>
          <w:lang w:val="bg-BG"/>
        </w:rPr>
        <w:t>, или</w:t>
      </w:r>
      <w:r w:rsidRPr="00F30F79">
        <w:rPr>
          <w:color w:val="000000"/>
          <w:lang w:val="bg-BG"/>
        </w:rPr>
        <w:t xml:space="preserve"> 2,2 %), което основно се дължи на </w:t>
      </w:r>
      <w:r w:rsidRPr="000832B1">
        <w:rPr>
          <w:lang w:val="bg-BG"/>
        </w:rPr>
        <w:t xml:space="preserve">въведения през 2013 г. данък върху доходите от лихви по депозитни сметки в търговски банки и по-високите постъпления от данъците върху доходите по трудови </w:t>
      </w:r>
      <w:r w:rsidRPr="00F30F79">
        <w:rPr>
          <w:color w:val="000000"/>
          <w:lang w:val="bg-BG"/>
        </w:rPr>
        <w:t>правоотношения и от окончателния  данък на местни и чужд</w:t>
      </w:r>
      <w:r>
        <w:rPr>
          <w:color w:val="000000"/>
          <w:lang w:val="bg-BG"/>
        </w:rPr>
        <w:t xml:space="preserve">естранни </w:t>
      </w:r>
      <w:r w:rsidRPr="00F30F79">
        <w:rPr>
          <w:color w:val="000000"/>
          <w:lang w:val="bg-BG"/>
        </w:rPr>
        <w:t>физически лица по чл.</w:t>
      </w:r>
      <w:r>
        <w:rPr>
          <w:color w:val="000000"/>
          <w:lang w:val="bg-BG"/>
        </w:rPr>
        <w:t xml:space="preserve"> </w:t>
      </w:r>
      <w:r w:rsidRPr="00F30F79">
        <w:rPr>
          <w:color w:val="000000"/>
          <w:lang w:val="bg-BG"/>
        </w:rPr>
        <w:t xml:space="preserve">37 и 38 от ЗДДФЛ.  С най-голям принос при формиране на общия резултат за приходите от ДДФЛ са тези от трудови, служебни и приравнени на тях правоотношения (79,5 %), от еднолични търговци, свободни професии, граждански договори и др. (11,2 %), окончателен данък на местни и чуждестранни физически лица и данък върху доходите, дивидентите и ликвидационните дялове на местни и чуждестранни </w:t>
      </w:r>
      <w:r>
        <w:rPr>
          <w:color w:val="000000"/>
          <w:lang w:val="bg-BG"/>
        </w:rPr>
        <w:t>физически лица</w:t>
      </w:r>
      <w:r w:rsidRPr="00F30F79">
        <w:rPr>
          <w:color w:val="000000"/>
          <w:lang w:val="bg-BG"/>
        </w:rPr>
        <w:t xml:space="preserve"> (4,0 %) и окончателен данък върху приходите от лихви от депозити на физически лица (3,5</w:t>
      </w:r>
      <w:r>
        <w:rPr>
          <w:color w:val="000000"/>
          <w:lang w:val="bg-BG"/>
        </w:rPr>
        <w:t xml:space="preserve"> </w:t>
      </w:r>
      <w:r w:rsidRPr="00F30F79">
        <w:rPr>
          <w:color w:val="000000"/>
          <w:lang w:val="bg-BG"/>
        </w:rPr>
        <w:t>%).</w:t>
      </w:r>
    </w:p>
    <w:p w:rsidR="000938C1" w:rsidRPr="00F30F79" w:rsidRDefault="000938C1" w:rsidP="00F30F79">
      <w:pPr>
        <w:tabs>
          <w:tab w:val="left" w:pos="900"/>
        </w:tabs>
        <w:ind w:firstLine="360"/>
        <w:jc w:val="both"/>
        <w:rPr>
          <w:color w:val="000000"/>
          <w:sz w:val="4"/>
          <w:szCs w:val="4"/>
        </w:rPr>
      </w:pPr>
    </w:p>
    <w:p w:rsidR="000938C1" w:rsidRPr="000C51E2" w:rsidRDefault="000938C1" w:rsidP="00F30F79">
      <w:pPr>
        <w:pStyle w:val="BodyText"/>
        <w:spacing w:after="0"/>
        <w:jc w:val="both"/>
        <w:rPr>
          <w:color w:val="0070C0"/>
          <w:sz w:val="8"/>
          <w:szCs w:val="8"/>
        </w:rPr>
      </w:pPr>
    </w:p>
    <w:p w:rsidR="000938C1" w:rsidRPr="00F30F79" w:rsidRDefault="000938C1" w:rsidP="00F30F79">
      <w:pPr>
        <w:ind w:firstLine="720"/>
        <w:jc w:val="both"/>
        <w:rPr>
          <w:color w:val="000000"/>
        </w:rPr>
      </w:pPr>
      <w:r w:rsidRPr="00F30F79">
        <w:rPr>
          <w:i/>
          <w:color w:val="000000"/>
        </w:rPr>
        <w:t>По трудови правоотношения</w:t>
      </w:r>
      <w:r w:rsidRPr="00F30F79">
        <w:rPr>
          <w:color w:val="000000"/>
        </w:rPr>
        <w:t xml:space="preserve"> приходите от данъка са 1 865,9 млн. лв., 95,6 % от планираните за годината, при 1 862,1 млн. лв. за 2012 г., или с 3,8 млн. лв. повече. Размерът на постъпленията от данъка са в пряка зависимост от пазара на труда и зависят основно от равнището на работната заплата и заетостта, като за 2013 г. спрямо 2012 г. са отчетени:</w:t>
      </w:r>
    </w:p>
    <w:p w:rsidR="000938C1" w:rsidRPr="00F30F79" w:rsidRDefault="000938C1" w:rsidP="00F30F79">
      <w:pPr>
        <w:numPr>
          <w:ilvl w:val="0"/>
          <w:numId w:val="53"/>
        </w:numPr>
        <w:jc w:val="both"/>
        <w:rPr>
          <w:color w:val="000000"/>
        </w:rPr>
      </w:pPr>
      <w:r w:rsidRPr="00F30F79">
        <w:rPr>
          <w:color w:val="000000"/>
        </w:rPr>
        <w:t xml:space="preserve">ръст на средната работна заплата за страната </w:t>
      </w:r>
      <w:r w:rsidRPr="00187783">
        <w:rPr>
          <w:color w:val="000000"/>
          <w:lang w:val="en-US"/>
        </w:rPr>
        <w:t>(</w:t>
      </w:r>
      <w:r w:rsidRPr="00F30F79">
        <w:rPr>
          <w:color w:val="000000"/>
        </w:rPr>
        <w:t>вкл. годишните премии</w:t>
      </w:r>
      <w:r w:rsidRPr="00187783">
        <w:rPr>
          <w:color w:val="000000"/>
          <w:lang w:val="en-US"/>
        </w:rPr>
        <w:t>)</w:t>
      </w:r>
      <w:r w:rsidRPr="00F30F79">
        <w:rPr>
          <w:color w:val="000000"/>
        </w:rPr>
        <w:t xml:space="preserve"> през 2013 г. с 4,0 % спрямо 2012 г.;</w:t>
      </w:r>
    </w:p>
    <w:p w:rsidR="000938C1" w:rsidRPr="00F30F79" w:rsidRDefault="000938C1" w:rsidP="00F30F79">
      <w:pPr>
        <w:numPr>
          <w:ilvl w:val="0"/>
          <w:numId w:val="53"/>
        </w:numPr>
        <w:jc w:val="both"/>
        <w:rPr>
          <w:color w:val="000000"/>
        </w:rPr>
      </w:pPr>
      <w:r w:rsidRPr="00F30F79">
        <w:rPr>
          <w:color w:val="000000"/>
        </w:rPr>
        <w:t>увеличение на минималната работна заплата от началото на 2013 г. от 290 лв. на 310 лв.;</w:t>
      </w:r>
    </w:p>
    <w:p w:rsidR="000938C1" w:rsidRPr="00FD6E52" w:rsidRDefault="000938C1" w:rsidP="00F30F79">
      <w:pPr>
        <w:numPr>
          <w:ilvl w:val="0"/>
          <w:numId w:val="53"/>
        </w:numPr>
        <w:jc w:val="both"/>
      </w:pPr>
      <w:r>
        <w:t>к</w:t>
      </w:r>
      <w:r w:rsidRPr="00467236">
        <w:t>оефициентът на безработица се увеличава с 0</w:t>
      </w:r>
      <w:r>
        <w:t>,</w:t>
      </w:r>
      <w:r w:rsidRPr="00467236">
        <w:t>6 процентни пункта в сравнение с 2012 г. и достига 12</w:t>
      </w:r>
      <w:r>
        <w:t>,</w:t>
      </w:r>
      <w:r w:rsidRPr="00467236">
        <w:t>9</w:t>
      </w:r>
      <w:r>
        <w:t xml:space="preserve"> </w:t>
      </w:r>
      <w:r w:rsidRPr="00467236">
        <w:t>%.</w:t>
      </w:r>
      <w:r w:rsidRPr="003A203A">
        <w:t>;</w:t>
      </w:r>
    </w:p>
    <w:p w:rsidR="000938C1" w:rsidRPr="00CF1A14" w:rsidRDefault="000938C1" w:rsidP="00F30F79">
      <w:pPr>
        <w:numPr>
          <w:ilvl w:val="0"/>
          <w:numId w:val="53"/>
        </w:numPr>
        <w:jc w:val="both"/>
        <w:rPr>
          <w:color w:val="0070C0"/>
        </w:rPr>
      </w:pPr>
      <w:r>
        <w:rPr>
          <w:lang w:eastAsia="en-US"/>
        </w:rPr>
        <w:t xml:space="preserve">увеличението на минималните </w:t>
      </w:r>
      <w:r w:rsidRPr="00032E82">
        <w:rPr>
          <w:lang w:val="ru-RU" w:eastAsia="en-US"/>
        </w:rPr>
        <w:t xml:space="preserve">осигурителни прагове </w:t>
      </w:r>
      <w:r>
        <w:rPr>
          <w:lang w:eastAsia="en-US"/>
        </w:rPr>
        <w:t>по основните икономически дейности и групи професии от 1 януари 2013 г. средно с 3,3 % за 2013 г. в сравнение с 2012 г. За 2013 г. са договорени минималните осигурителни прагове за 58 икономически дейности със средно увеличение спрямо 2012 г. от 4,5 %. За останалите икономически дейности, където не бяха постигнати споразумения се запазиха минималните осигурителни прагове за 2012 г.;</w:t>
      </w:r>
    </w:p>
    <w:p w:rsidR="000938C1" w:rsidRPr="00CF1A14" w:rsidRDefault="000938C1" w:rsidP="00F30F79">
      <w:pPr>
        <w:numPr>
          <w:ilvl w:val="0"/>
          <w:numId w:val="53"/>
        </w:numPr>
        <w:jc w:val="both"/>
        <w:rPr>
          <w:color w:val="0070C0"/>
        </w:rPr>
      </w:pPr>
      <w:r>
        <w:rPr>
          <w:lang w:val="ru-RU" w:eastAsia="en-US"/>
        </w:rPr>
        <w:t xml:space="preserve">повишаване </w:t>
      </w:r>
      <w:r w:rsidRPr="007F1293">
        <w:rPr>
          <w:lang w:val="ru-RU" w:eastAsia="en-US"/>
        </w:rPr>
        <w:t>на максималния</w:t>
      </w:r>
      <w:r>
        <w:rPr>
          <w:lang w:eastAsia="en-US"/>
        </w:rPr>
        <w:t xml:space="preserve"> размер на </w:t>
      </w:r>
      <w:r w:rsidRPr="007F1293">
        <w:rPr>
          <w:lang w:val="ru-RU" w:eastAsia="en-US"/>
        </w:rPr>
        <w:t xml:space="preserve"> осигурител</w:t>
      </w:r>
      <w:r>
        <w:rPr>
          <w:lang w:val="ru-RU" w:eastAsia="en-US"/>
        </w:rPr>
        <w:t>ния доход</w:t>
      </w:r>
      <w:r w:rsidRPr="007F1293">
        <w:rPr>
          <w:lang w:val="ru-RU" w:eastAsia="en-US"/>
        </w:rPr>
        <w:t xml:space="preserve"> от 2000 лв. на 2200 л</w:t>
      </w:r>
      <w:r>
        <w:rPr>
          <w:lang w:val="en-US" w:eastAsia="en-US"/>
        </w:rPr>
        <w:t>e</w:t>
      </w:r>
      <w:r w:rsidRPr="007F1293">
        <w:rPr>
          <w:lang w:val="ru-RU" w:eastAsia="en-US"/>
        </w:rPr>
        <w:t>в</w:t>
      </w:r>
      <w:r>
        <w:rPr>
          <w:lang w:eastAsia="en-US"/>
        </w:rPr>
        <w:t>а</w:t>
      </w:r>
      <w:r w:rsidRPr="007F1293">
        <w:rPr>
          <w:lang w:val="ru-RU" w:eastAsia="en-US"/>
        </w:rPr>
        <w:t>.</w:t>
      </w:r>
    </w:p>
    <w:p w:rsidR="000938C1" w:rsidRPr="00CF1A14" w:rsidRDefault="000938C1" w:rsidP="00F30F79">
      <w:pPr>
        <w:ind w:firstLine="708"/>
        <w:jc w:val="both"/>
        <w:rPr>
          <w:color w:val="0070C0"/>
          <w:sz w:val="8"/>
          <w:szCs w:val="8"/>
        </w:rPr>
      </w:pPr>
    </w:p>
    <w:p w:rsidR="000938C1" w:rsidRDefault="000938C1" w:rsidP="00F30F79">
      <w:pPr>
        <w:ind w:right="113" w:firstLine="540"/>
        <w:jc w:val="both"/>
      </w:pPr>
      <w:r w:rsidRPr="008606AA">
        <w:rPr>
          <w:i/>
        </w:rPr>
        <w:t>По извънтрудови правоотношения</w:t>
      </w:r>
      <w:r w:rsidRPr="008606AA">
        <w:t xml:space="preserve"> (ЕТ, свободни професии, граждански договори, годишен и авансов данък и др.) приходите от данъка са в размер на 263,0 млн. лв., което е 89,2 % от годишния разчет и заемат 11,2 % относителен дял в общия размер на приходите по ЗДДФЛ. Съпоставени с 2012 г. постъпленията от данъка са с 25,1 млн. лв. (8,7 %) по-малко</w:t>
      </w:r>
      <w:r>
        <w:t xml:space="preserve">. </w:t>
      </w:r>
      <w:r w:rsidRPr="007D523F">
        <w:t>Факторите</w:t>
      </w:r>
      <w:r>
        <w:t>,</w:t>
      </w:r>
      <w:r w:rsidRPr="007D523F">
        <w:t xml:space="preserve"> определящи този размер на приходите</w:t>
      </w:r>
      <w:r>
        <w:t>,</w:t>
      </w:r>
      <w:r w:rsidRPr="007D523F">
        <w:t xml:space="preserve"> са свързани с механизма на единната сметка. Лицата, извършващи стопанска дейност като търговци по смисъла на </w:t>
      </w:r>
      <w:hyperlink r:id="rId36" w:history="1">
        <w:r w:rsidRPr="007D523F">
          <w:t>Търговския закон</w:t>
        </w:r>
      </w:hyperlink>
      <w:r w:rsidRPr="007D523F">
        <w:t xml:space="preserve">, включително едноличните търговци, както и физическите лица в случаите по </w:t>
      </w:r>
      <w:hyperlink r:id="rId37" w:history="1">
        <w:r w:rsidRPr="007D523F">
          <w:t>чл. 29а</w:t>
        </w:r>
      </w:hyperlink>
      <w:r w:rsidRPr="007D523F">
        <w:t xml:space="preserve"> от ЗДДФЛ, правят авансови вноски при условията и по реда на </w:t>
      </w:r>
      <w:hyperlink r:id="rId38" w:history="1">
        <w:r w:rsidRPr="007D523F">
          <w:t>Закона за корпоративното подоходно облагане</w:t>
        </w:r>
      </w:hyperlink>
      <w:r w:rsidRPr="007D523F">
        <w:t>. Законодателните изменения извършени в ЗКПО</w:t>
      </w:r>
      <w:r>
        <w:t>,</w:t>
      </w:r>
      <w:r w:rsidRPr="007D523F">
        <w:t xml:space="preserve"> свързани със сроковете за деклариране и внасяне на данъка</w:t>
      </w:r>
      <w:r>
        <w:t>, се отнасят за тези лица:</w:t>
      </w:r>
    </w:p>
    <w:p w:rsidR="000938C1" w:rsidRDefault="000938C1" w:rsidP="00F30F79">
      <w:pPr>
        <w:numPr>
          <w:ilvl w:val="1"/>
          <w:numId w:val="83"/>
        </w:numPr>
        <w:tabs>
          <w:tab w:val="clear" w:pos="1800"/>
          <w:tab w:val="num" w:pos="1080"/>
        </w:tabs>
        <w:ind w:left="0" w:right="113" w:firstLine="900"/>
        <w:jc w:val="both"/>
      </w:pPr>
      <w:r>
        <w:rPr>
          <w:iCs/>
        </w:rPr>
        <w:t>п</w:t>
      </w:r>
      <w:r w:rsidRPr="007D523F">
        <w:rPr>
          <w:iCs/>
        </w:rPr>
        <w:t xml:space="preserve">ромяната  в  обхвата  на  лицата  (еднолични търговци)  със  задължение  да  правят авансови вноски </w:t>
      </w:r>
      <w:r>
        <w:rPr>
          <w:iCs/>
        </w:rPr>
        <w:t xml:space="preserve">- </w:t>
      </w:r>
      <w:r w:rsidRPr="007D523F">
        <w:rPr>
          <w:iCs/>
        </w:rPr>
        <w:t xml:space="preserve">освободени от задължението за авансови вноски са лицата с приходи </w:t>
      </w:r>
      <w:r w:rsidRPr="007D523F">
        <w:t xml:space="preserve">от продажби през предходната година до 300 хил. лв., тези с </w:t>
      </w:r>
      <w:r w:rsidRPr="007D523F">
        <w:rPr>
          <w:color w:val="000000"/>
        </w:rPr>
        <w:t xml:space="preserve">нетни приходи между 300 хил. лв. и 3 млн. лв. ще дължат тримесечни авансови вноски, като за </w:t>
      </w:r>
      <w:r w:rsidRPr="007D523F">
        <w:t>4-то тримесечие на годината авансов данък не се внася.</w:t>
      </w:r>
    </w:p>
    <w:p w:rsidR="000938C1" w:rsidRDefault="000938C1" w:rsidP="00F30F79">
      <w:pPr>
        <w:numPr>
          <w:ilvl w:val="1"/>
          <w:numId w:val="83"/>
        </w:numPr>
        <w:tabs>
          <w:tab w:val="clear" w:pos="1800"/>
          <w:tab w:val="num" w:pos="1080"/>
        </w:tabs>
        <w:ind w:left="0" w:right="113" w:firstLine="900"/>
        <w:jc w:val="both"/>
        <w:rPr>
          <w:lang w:val="ru-RU" w:eastAsia="en-US"/>
        </w:rPr>
      </w:pPr>
      <w:r>
        <w:rPr>
          <w:lang w:val="ru-RU" w:eastAsia="en-US"/>
        </w:rPr>
        <w:t>п</w:t>
      </w:r>
      <w:r w:rsidRPr="007F1293">
        <w:rPr>
          <w:lang w:val="ru-RU" w:eastAsia="en-US"/>
        </w:rPr>
        <w:t xml:space="preserve">реминаване на плащане от месечна на тримесечна база на данъците, удържани от платеца на дохода </w:t>
      </w:r>
      <w:r>
        <w:rPr>
          <w:lang w:val="ru-RU" w:eastAsia="en-US"/>
        </w:rPr>
        <w:t>(</w:t>
      </w:r>
      <w:r w:rsidRPr="007F1293">
        <w:rPr>
          <w:lang w:val="ru-RU" w:eastAsia="en-US"/>
        </w:rPr>
        <w:t>предприят</w:t>
      </w:r>
      <w:r>
        <w:rPr>
          <w:lang w:val="ru-RU" w:eastAsia="en-US"/>
        </w:rPr>
        <w:t xml:space="preserve">ия или самоосигуряващи се лица). </w:t>
      </w:r>
    </w:p>
    <w:p w:rsidR="000938C1" w:rsidRDefault="000938C1" w:rsidP="00F30F79">
      <w:pPr>
        <w:numPr>
          <w:ilvl w:val="1"/>
          <w:numId w:val="83"/>
        </w:numPr>
        <w:tabs>
          <w:tab w:val="clear" w:pos="1800"/>
          <w:tab w:val="num" w:pos="1080"/>
        </w:tabs>
        <w:ind w:left="0" w:right="113" w:firstLine="900"/>
        <w:jc w:val="both"/>
        <w:rPr>
          <w:lang w:val="ru-RU" w:eastAsia="en-US"/>
        </w:rPr>
      </w:pPr>
      <w:r>
        <w:rPr>
          <w:lang w:val="ru-RU" w:eastAsia="en-US"/>
        </w:rPr>
        <w:t>п</w:t>
      </w:r>
      <w:r w:rsidRPr="007F1293">
        <w:rPr>
          <w:lang w:val="ru-RU" w:eastAsia="en-US"/>
        </w:rPr>
        <w:t xml:space="preserve">реминаване на плащане от месечна на тримесечна база на данъците, удържани от платеца на дохода </w:t>
      </w:r>
      <w:r>
        <w:rPr>
          <w:lang w:val="ru-RU" w:eastAsia="en-US"/>
        </w:rPr>
        <w:t>(</w:t>
      </w:r>
      <w:r w:rsidRPr="007F1293">
        <w:rPr>
          <w:lang w:val="ru-RU" w:eastAsia="en-US"/>
        </w:rPr>
        <w:t>предприят</w:t>
      </w:r>
      <w:r>
        <w:rPr>
          <w:lang w:val="ru-RU" w:eastAsia="en-US"/>
        </w:rPr>
        <w:t>ия или самоосигуряващи се лица).</w:t>
      </w:r>
    </w:p>
    <w:p w:rsidR="000938C1" w:rsidRPr="007F1293" w:rsidRDefault="000938C1" w:rsidP="00F30F79">
      <w:pPr>
        <w:ind w:right="113"/>
        <w:jc w:val="both"/>
        <w:rPr>
          <w:lang w:val="ru-RU" w:eastAsia="en-US"/>
        </w:rPr>
      </w:pPr>
      <w:r>
        <w:t>Като резултат от тези промени в сроковете за деклариране и внасяне на дължимия данък част от приходите ще постъпят през 2014 г. вместо през 2013. Н</w:t>
      </w:r>
      <w:r w:rsidRPr="007F1293">
        <w:t>амалени</w:t>
      </w:r>
      <w:r>
        <w:t>ето</w:t>
      </w:r>
      <w:r w:rsidRPr="007F1293">
        <w:t xml:space="preserve"> на авансови</w:t>
      </w:r>
      <w:r>
        <w:t>те вноски през 2013 г. се дължи,</w:t>
      </w:r>
      <w:r w:rsidRPr="007F1293">
        <w:t xml:space="preserve"> основно</w:t>
      </w:r>
      <w:r>
        <w:t>,</w:t>
      </w:r>
      <w:r w:rsidRPr="007F1293">
        <w:t xml:space="preserve"> на спецификата на отчитане на приходите</w:t>
      </w:r>
      <w:r>
        <w:t xml:space="preserve"> </w:t>
      </w:r>
      <w:r w:rsidRPr="007F1293">
        <w:t xml:space="preserve">през </w:t>
      </w:r>
      <w:r>
        <w:t xml:space="preserve">тази </w:t>
      </w:r>
      <w:r w:rsidRPr="007F1293">
        <w:t xml:space="preserve">година, в резултат на въвеждането на единна сметка </w:t>
      </w:r>
      <w:r>
        <w:t xml:space="preserve">- </w:t>
      </w:r>
      <w:r w:rsidRPr="007F1293">
        <w:t>плащанията се обвързват със съответните задължения след настъпване на срока за плащане, а не след постъпване на сумата, както през предходната година</w:t>
      </w:r>
      <w:r>
        <w:t>.</w:t>
      </w:r>
    </w:p>
    <w:p w:rsidR="000938C1" w:rsidRPr="00CF1A14" w:rsidRDefault="000938C1" w:rsidP="00F30F79">
      <w:pPr>
        <w:ind w:firstLine="720"/>
        <w:jc w:val="both"/>
        <w:rPr>
          <w:color w:val="0070C0"/>
          <w:sz w:val="8"/>
          <w:szCs w:val="8"/>
        </w:rPr>
      </w:pPr>
    </w:p>
    <w:p w:rsidR="000938C1" w:rsidRPr="008606AA" w:rsidRDefault="000938C1" w:rsidP="00F30F79">
      <w:pPr>
        <w:tabs>
          <w:tab w:val="left" w:pos="0"/>
        </w:tabs>
        <w:ind w:firstLine="720"/>
        <w:jc w:val="both"/>
      </w:pPr>
      <w:r w:rsidRPr="008606AA">
        <w:t xml:space="preserve">През 2013 г. приходите от </w:t>
      </w:r>
      <w:r w:rsidRPr="008606AA">
        <w:rPr>
          <w:i/>
        </w:rPr>
        <w:t>окончателен годишен (патентен) данък</w:t>
      </w:r>
      <w:r w:rsidRPr="008606AA">
        <w:t>, администриран от общините,са в размер на 14,3 млн. лв</w:t>
      </w:r>
      <w:r w:rsidRPr="008606AA">
        <w:rPr>
          <w:b/>
        </w:rPr>
        <w:t xml:space="preserve">., </w:t>
      </w:r>
      <w:r w:rsidRPr="008606AA">
        <w:t>което е 91,0 % от годишния разчет, при 15,4 млн. лв. за предходната година.</w:t>
      </w:r>
    </w:p>
    <w:p w:rsidR="000938C1" w:rsidRPr="00CF1A14" w:rsidRDefault="000938C1" w:rsidP="00F30F79">
      <w:pPr>
        <w:tabs>
          <w:tab w:val="left" w:pos="0"/>
        </w:tabs>
        <w:ind w:firstLine="720"/>
        <w:jc w:val="both"/>
        <w:rPr>
          <w:color w:val="0070C0"/>
          <w:sz w:val="4"/>
          <w:szCs w:val="4"/>
        </w:rPr>
      </w:pPr>
    </w:p>
    <w:p w:rsidR="000938C1" w:rsidRPr="00C47645" w:rsidRDefault="000938C1" w:rsidP="00F30F79">
      <w:pPr>
        <w:ind w:firstLine="720"/>
        <w:jc w:val="both"/>
      </w:pPr>
      <w:r w:rsidRPr="00C47645">
        <w:rPr>
          <w:i/>
        </w:rPr>
        <w:t>Окончателен данък на местни и чуждестранни физически лица, данък върху доходите на чуждестранните физически лица и данък върху дивидентите и ликвидационните дялове на местни и чуждестранни физически лица</w:t>
      </w:r>
      <w:r w:rsidRPr="00C47645">
        <w:t xml:space="preserve"> - постъпленията от тези данъци за 2013 г. са в размер на 122,8 млн. лв. при 132,0 млн. лв. за 2012 г. </w:t>
      </w:r>
    </w:p>
    <w:p w:rsidR="000938C1" w:rsidRPr="008C00D8" w:rsidRDefault="000938C1" w:rsidP="007D5E67">
      <w:pPr>
        <w:pStyle w:val="Heading3"/>
        <w:numPr>
          <w:ilvl w:val="2"/>
          <w:numId w:val="72"/>
        </w:numPr>
        <w:rPr>
          <w:rFonts w:ascii="Times New Roman" w:hAnsi="Times New Roman" w:cs="Times New Roman"/>
          <w:sz w:val="24"/>
          <w:szCs w:val="24"/>
          <w:lang w:val="bg-BG"/>
        </w:rPr>
      </w:pPr>
      <w:bookmarkStart w:id="124" w:name="_Toc324863406"/>
      <w:bookmarkStart w:id="125" w:name="_Toc326315899"/>
      <w:bookmarkStart w:id="126" w:name="_Toc357527084"/>
      <w:bookmarkStart w:id="127" w:name="_Toc393728058"/>
      <w:r w:rsidRPr="008C00D8">
        <w:rPr>
          <w:rFonts w:ascii="Times New Roman" w:hAnsi="Times New Roman" w:cs="Times New Roman"/>
          <w:sz w:val="24"/>
          <w:szCs w:val="24"/>
          <w:lang w:val="bg-BG"/>
        </w:rPr>
        <w:t>Приходи от осигурителни вноски</w:t>
      </w:r>
      <w:bookmarkEnd w:id="122"/>
      <w:bookmarkEnd w:id="123"/>
      <w:bookmarkEnd w:id="124"/>
      <w:bookmarkEnd w:id="125"/>
      <w:bookmarkEnd w:id="126"/>
      <w:bookmarkEnd w:id="127"/>
    </w:p>
    <w:p w:rsidR="000938C1" w:rsidRPr="00CF1A14" w:rsidRDefault="000938C1" w:rsidP="00F30F79">
      <w:pPr>
        <w:jc w:val="both"/>
        <w:rPr>
          <w:b/>
          <w:color w:val="0070C0"/>
          <w:sz w:val="8"/>
          <w:szCs w:val="8"/>
        </w:rPr>
      </w:pPr>
    </w:p>
    <w:p w:rsidR="000938C1" w:rsidRPr="0092217F" w:rsidRDefault="000938C1" w:rsidP="00F30F79">
      <w:pPr>
        <w:ind w:firstLine="709"/>
        <w:jc w:val="both"/>
        <w:rPr>
          <w:bCs/>
        </w:rPr>
      </w:pPr>
      <w:bookmarkStart w:id="128" w:name="_Toc261276572"/>
      <w:r w:rsidRPr="0092217F">
        <w:t>Постъпленията от социални и здравноосигурителни вноски за 201</w:t>
      </w:r>
      <w:r w:rsidRPr="00187783">
        <w:rPr>
          <w:lang w:val="en-US"/>
        </w:rPr>
        <w:t>3</w:t>
      </w:r>
      <w:r w:rsidRPr="0092217F">
        <w:t xml:space="preserve"> г. са в размер на 6 060,2 млн. лв., което представлява 99,8 % изпълнение на разчетите и 7,8 % от БВП. </w:t>
      </w:r>
      <w:r w:rsidRPr="0092217F">
        <w:rPr>
          <w:bCs/>
        </w:rPr>
        <w:t>Данните показват увеличение на приходите от осигурителни вноски с 464,1 млн. лв. спрямо предходната година.</w:t>
      </w:r>
    </w:p>
    <w:p w:rsidR="000938C1" w:rsidRPr="0092217F" w:rsidRDefault="000938C1" w:rsidP="00F30F79">
      <w:pPr>
        <w:ind w:firstLine="709"/>
        <w:jc w:val="both"/>
        <w:rPr>
          <w:bCs/>
        </w:rPr>
      </w:pPr>
      <w:r>
        <w:rPr>
          <w:bCs/>
        </w:rPr>
        <w:t>Факторите</w:t>
      </w:r>
      <w:r w:rsidRPr="0092217F">
        <w:rPr>
          <w:bCs/>
        </w:rPr>
        <w:t>, които оказват влияние на приходите от задължителни осигурителни вноски през годината, са следните:</w:t>
      </w:r>
    </w:p>
    <w:p w:rsidR="000938C1" w:rsidRPr="0092217F" w:rsidRDefault="000938C1" w:rsidP="002255D3">
      <w:pPr>
        <w:pStyle w:val="BodyText"/>
        <w:numPr>
          <w:ilvl w:val="0"/>
          <w:numId w:val="84"/>
        </w:numPr>
        <w:spacing w:after="0"/>
        <w:jc w:val="both"/>
        <w:rPr>
          <w:bCs/>
        </w:rPr>
      </w:pPr>
      <w:r w:rsidRPr="0092217F">
        <w:rPr>
          <w:bCs/>
        </w:rPr>
        <w:t xml:space="preserve">Увеличение на максималния осигурителен праг от 2 000 лв. на 2 200 лв.; </w:t>
      </w:r>
    </w:p>
    <w:p w:rsidR="000938C1" w:rsidRPr="0092217F" w:rsidRDefault="000938C1" w:rsidP="002255D3">
      <w:pPr>
        <w:pStyle w:val="BodyText"/>
        <w:numPr>
          <w:ilvl w:val="0"/>
          <w:numId w:val="84"/>
        </w:numPr>
        <w:spacing w:after="0"/>
        <w:jc w:val="both"/>
        <w:rPr>
          <w:bCs/>
        </w:rPr>
      </w:pPr>
      <w:r w:rsidRPr="0092217F">
        <w:rPr>
          <w:bCs/>
        </w:rPr>
        <w:t xml:space="preserve">Минималните осигурителни прагове по основни икономически дейности и групи професии нараснаха средно с 3,3 %  за 2013 г. в сравнение с 2012 г.; </w:t>
      </w:r>
    </w:p>
    <w:p w:rsidR="000938C1" w:rsidRPr="0092217F" w:rsidRDefault="000938C1" w:rsidP="002255D3">
      <w:pPr>
        <w:pStyle w:val="BodyText"/>
        <w:numPr>
          <w:ilvl w:val="0"/>
          <w:numId w:val="84"/>
        </w:numPr>
        <w:spacing w:after="0"/>
        <w:jc w:val="both"/>
        <w:rPr>
          <w:bCs/>
        </w:rPr>
      </w:pPr>
      <w:r w:rsidRPr="0092217F">
        <w:rPr>
          <w:bCs/>
        </w:rPr>
        <w:t>Увеличение на минималната работна заплата от 01.01.2013 г. от 290 лв. на 310 лв.;</w:t>
      </w:r>
    </w:p>
    <w:p w:rsidR="000938C1" w:rsidRPr="0092217F" w:rsidRDefault="000938C1" w:rsidP="00F30F79">
      <w:pPr>
        <w:pStyle w:val="BodyText"/>
        <w:numPr>
          <w:ilvl w:val="0"/>
          <w:numId w:val="84"/>
        </w:numPr>
        <w:spacing w:after="0"/>
        <w:jc w:val="both"/>
        <w:rPr>
          <w:bCs/>
        </w:rPr>
      </w:pPr>
      <w:r w:rsidRPr="0092217F">
        <w:rPr>
          <w:bCs/>
        </w:rPr>
        <w:t>Промяна в сроковете, касаещи внасянето на осигурителните вноски. Сроковете са определени императивно и с точно определени дати. За трудови и приравнени на тях отношения – до 25-то число на месеца, следващ месеца през който е положен труда, за самоосигуряващите се лица – до 25-то число на месеца, следващ месеца, за който се отнасят, за извънтрудови правоотношения – до 25-то число на месеца, следващ месеца, в който са изплатени възнагражденията. При така определените срокове има изместване на приходите с до един месец, т.е. приходите от осигуровки за м.</w:t>
      </w:r>
      <w:r>
        <w:rPr>
          <w:bCs/>
        </w:rPr>
        <w:t xml:space="preserve"> </w:t>
      </w:r>
      <w:r w:rsidRPr="0092217F">
        <w:rPr>
          <w:bCs/>
        </w:rPr>
        <w:t>декември 2013 г. ще бъдат изискуеми през м.</w:t>
      </w:r>
      <w:r>
        <w:rPr>
          <w:bCs/>
        </w:rPr>
        <w:t xml:space="preserve"> </w:t>
      </w:r>
      <w:r w:rsidRPr="0092217F">
        <w:rPr>
          <w:bCs/>
        </w:rPr>
        <w:t xml:space="preserve">януари 2014 г.; </w:t>
      </w:r>
    </w:p>
    <w:p w:rsidR="000938C1" w:rsidRPr="0092217F" w:rsidRDefault="000938C1" w:rsidP="00F30F79">
      <w:pPr>
        <w:pStyle w:val="BodyText"/>
        <w:numPr>
          <w:ilvl w:val="0"/>
          <w:numId w:val="84"/>
        </w:numPr>
        <w:spacing w:after="0"/>
        <w:jc w:val="both"/>
        <w:rPr>
          <w:b/>
        </w:rPr>
      </w:pPr>
      <w:r w:rsidRPr="0092217F">
        <w:rPr>
          <w:bCs/>
        </w:rPr>
        <w:t>Размерът на лихвата за забава върху невнесени в срок осигурителни вноски е   изравнена с лихвата за забава върху данъчните задължения и е в размер на 10 пункта над основния лихвен процент.</w:t>
      </w:r>
    </w:p>
    <w:p w:rsidR="000938C1" w:rsidRPr="00CF1A14" w:rsidRDefault="000938C1" w:rsidP="00F30F79">
      <w:pPr>
        <w:tabs>
          <w:tab w:val="left" w:pos="540"/>
        </w:tabs>
        <w:ind w:left="1068"/>
        <w:jc w:val="both"/>
        <w:rPr>
          <w:color w:val="0070C0"/>
          <w:sz w:val="8"/>
          <w:szCs w:val="8"/>
        </w:rPr>
      </w:pPr>
    </w:p>
    <w:p w:rsidR="000938C1" w:rsidRPr="00847821" w:rsidRDefault="000938C1" w:rsidP="00F30F79">
      <w:pPr>
        <w:ind w:firstLine="709"/>
        <w:jc w:val="both"/>
      </w:pPr>
      <w:r w:rsidRPr="00847821">
        <w:t xml:space="preserve">Приходите от осигурителни вноски по бюджетите на социалноосигурителните фондове (вкл. ДОО, </w:t>
      </w:r>
      <w:r>
        <w:t>ФГВРС и УПФ</w:t>
      </w:r>
      <w:r w:rsidRPr="00847821">
        <w:t xml:space="preserve">) са в размер на 4 256,6 млн. лв., което представлява 98,4 % изпълнение на годишните разчети и с 388,3 млн. лв. повече спрямо предходната година. Здравноосигурителните вноски по бюджета на НЗОК възлизат на 1 803,6 млн. лв., което е 103,1 % спрямо заложените в разчета за годината и със 75,8 млн. лв. повече спрямо 2012 г. </w:t>
      </w:r>
    </w:p>
    <w:p w:rsidR="000938C1" w:rsidRPr="006D1CE4" w:rsidRDefault="000938C1" w:rsidP="007D5E67">
      <w:pPr>
        <w:pStyle w:val="Heading3"/>
        <w:numPr>
          <w:ilvl w:val="2"/>
          <w:numId w:val="72"/>
        </w:numPr>
        <w:rPr>
          <w:rFonts w:ascii="Times New Roman" w:hAnsi="Times New Roman" w:cs="Times New Roman"/>
          <w:sz w:val="24"/>
          <w:szCs w:val="24"/>
          <w:lang w:val="bg-BG"/>
        </w:rPr>
      </w:pPr>
      <w:bookmarkStart w:id="129" w:name="_Toc324863407"/>
      <w:bookmarkStart w:id="130" w:name="_Toc326315900"/>
      <w:bookmarkStart w:id="131" w:name="_Toc357527085"/>
      <w:bookmarkStart w:id="132" w:name="_Toc393728059"/>
      <w:r w:rsidRPr="006D1CE4">
        <w:rPr>
          <w:rFonts w:ascii="Times New Roman" w:hAnsi="Times New Roman" w:cs="Times New Roman"/>
          <w:sz w:val="24"/>
          <w:szCs w:val="24"/>
          <w:lang w:val="bg-BG"/>
        </w:rPr>
        <w:t>Данък върху добавената стойност</w:t>
      </w:r>
      <w:bookmarkEnd w:id="128"/>
      <w:bookmarkEnd w:id="129"/>
      <w:bookmarkEnd w:id="130"/>
      <w:bookmarkEnd w:id="131"/>
      <w:bookmarkEnd w:id="132"/>
    </w:p>
    <w:p w:rsidR="000938C1" w:rsidRPr="00CF1A14" w:rsidRDefault="000938C1" w:rsidP="00F30F79">
      <w:pPr>
        <w:tabs>
          <w:tab w:val="left" w:pos="9360"/>
        </w:tabs>
        <w:ind w:right="22" w:firstLine="540"/>
        <w:jc w:val="both"/>
        <w:rPr>
          <w:color w:val="0070C0"/>
          <w:sz w:val="8"/>
          <w:szCs w:val="8"/>
        </w:rPr>
      </w:pPr>
    </w:p>
    <w:p w:rsidR="000938C1" w:rsidRPr="00FE099A" w:rsidRDefault="000938C1" w:rsidP="00F30F79">
      <w:pPr>
        <w:pStyle w:val="BodyTextIndent"/>
        <w:spacing w:after="0"/>
        <w:ind w:left="0" w:right="113" w:firstLine="720"/>
        <w:jc w:val="both"/>
        <w:rPr>
          <w:lang w:val="bg-BG"/>
        </w:rPr>
      </w:pPr>
      <w:bookmarkStart w:id="133" w:name="_Toc261276573"/>
      <w:r w:rsidRPr="00FE099A">
        <w:rPr>
          <w:lang w:val="bg-BG"/>
        </w:rPr>
        <w:t xml:space="preserve">Приходите от ДДС формират най-голяма част от данъчните постъпления по </w:t>
      </w:r>
      <w:r>
        <w:rPr>
          <w:lang w:val="bg-BG"/>
        </w:rPr>
        <w:t>КФП</w:t>
      </w:r>
      <w:r w:rsidRPr="00FE099A">
        <w:rPr>
          <w:lang w:val="bg-BG"/>
        </w:rPr>
        <w:t xml:space="preserve"> – 32,9 %. </w:t>
      </w:r>
      <w:r>
        <w:rPr>
          <w:lang w:val="bg-BG"/>
        </w:rPr>
        <w:t>За</w:t>
      </w:r>
      <w:r w:rsidRPr="00FE099A">
        <w:rPr>
          <w:lang w:val="bg-BG"/>
        </w:rPr>
        <w:t xml:space="preserve"> 2013 г. те възлизат на 7 366,5 млн. лв., </w:t>
      </w:r>
      <w:r>
        <w:rPr>
          <w:lang w:val="bg-BG"/>
        </w:rPr>
        <w:t xml:space="preserve">или </w:t>
      </w:r>
      <w:r w:rsidRPr="00FE099A">
        <w:rPr>
          <w:lang w:val="bg-BG"/>
        </w:rPr>
        <w:t xml:space="preserve">96,2 % </w:t>
      </w:r>
      <w:r>
        <w:rPr>
          <w:lang w:val="bg-BG"/>
        </w:rPr>
        <w:t>спрямо</w:t>
      </w:r>
      <w:r w:rsidRPr="00FE099A">
        <w:rPr>
          <w:lang w:val="bg-BG"/>
        </w:rPr>
        <w:t xml:space="preserve"> годишния разчет</w:t>
      </w:r>
      <w:r>
        <w:rPr>
          <w:lang w:val="bg-BG"/>
        </w:rPr>
        <w:t xml:space="preserve">. Относителният дял на приходите от ДДС в БВП е </w:t>
      </w:r>
      <w:r w:rsidRPr="00FE099A">
        <w:rPr>
          <w:lang w:val="bg-BG"/>
        </w:rPr>
        <w:t xml:space="preserve">9,4 % </w:t>
      </w:r>
      <w:r>
        <w:rPr>
          <w:lang w:val="bg-BG"/>
        </w:rPr>
        <w:t>при 9,2 % от БВП за 2012 г.</w:t>
      </w:r>
      <w:r w:rsidRPr="00FE099A">
        <w:rPr>
          <w:lang w:val="bg-BG"/>
        </w:rPr>
        <w:t xml:space="preserve"> </w:t>
      </w:r>
      <w:r>
        <w:rPr>
          <w:lang w:val="bg-BG"/>
        </w:rPr>
        <w:t>В с</w:t>
      </w:r>
      <w:r w:rsidRPr="00FE099A">
        <w:rPr>
          <w:lang w:val="bg-BG"/>
        </w:rPr>
        <w:t>равнени</w:t>
      </w:r>
      <w:r>
        <w:rPr>
          <w:lang w:val="bg-BG"/>
        </w:rPr>
        <w:t>е</w:t>
      </w:r>
      <w:r w:rsidRPr="00FE099A">
        <w:rPr>
          <w:lang w:val="bg-BG"/>
        </w:rPr>
        <w:t xml:space="preserve"> с отчетените постъпления за предходната година, се отбелязва увеличение от 3,0 % или 214,6 млн. лв., което се дължи основно на по-високите приходи от ДДС от сделки в страната. </w:t>
      </w:r>
    </w:p>
    <w:p w:rsidR="000938C1" w:rsidRPr="00FE099A" w:rsidRDefault="000938C1" w:rsidP="00F30F79">
      <w:pPr>
        <w:tabs>
          <w:tab w:val="left" w:pos="900"/>
        </w:tabs>
        <w:autoSpaceDE w:val="0"/>
        <w:autoSpaceDN w:val="0"/>
        <w:adjustRightInd w:val="0"/>
        <w:ind w:firstLine="720"/>
        <w:jc w:val="both"/>
        <w:rPr>
          <w:b/>
          <w:i/>
          <w:sz w:val="8"/>
          <w:szCs w:val="8"/>
          <w:u w:val="single"/>
        </w:rPr>
      </w:pPr>
    </w:p>
    <w:p w:rsidR="000938C1" w:rsidRPr="00FE099A" w:rsidRDefault="000938C1" w:rsidP="00F30F79">
      <w:pPr>
        <w:tabs>
          <w:tab w:val="left" w:pos="900"/>
        </w:tabs>
        <w:autoSpaceDE w:val="0"/>
        <w:autoSpaceDN w:val="0"/>
        <w:adjustRightInd w:val="0"/>
        <w:ind w:firstLine="720"/>
        <w:jc w:val="both"/>
        <w:rPr>
          <w:b/>
          <w:i/>
          <w:u w:val="single"/>
        </w:rPr>
      </w:pPr>
      <w:r w:rsidRPr="00FE099A">
        <w:rPr>
          <w:b/>
          <w:i/>
          <w:u w:val="single"/>
        </w:rPr>
        <w:t>Основни фактори, влияещи върху приходите от ДДС:</w:t>
      </w:r>
    </w:p>
    <w:p w:rsidR="000938C1" w:rsidRPr="00CF1A14" w:rsidRDefault="000938C1" w:rsidP="00F30F79">
      <w:pPr>
        <w:tabs>
          <w:tab w:val="left" w:pos="900"/>
        </w:tabs>
        <w:autoSpaceDE w:val="0"/>
        <w:autoSpaceDN w:val="0"/>
        <w:adjustRightInd w:val="0"/>
        <w:ind w:firstLine="720"/>
        <w:jc w:val="both"/>
        <w:rPr>
          <w:b/>
          <w:i/>
          <w:color w:val="0070C0"/>
          <w:sz w:val="8"/>
          <w:szCs w:val="8"/>
          <w:u w:val="single"/>
        </w:rPr>
      </w:pPr>
    </w:p>
    <w:p w:rsidR="000938C1" w:rsidRDefault="000938C1" w:rsidP="00F30F79">
      <w:pPr>
        <w:pStyle w:val="Default"/>
        <w:numPr>
          <w:ilvl w:val="1"/>
          <w:numId w:val="54"/>
        </w:numPr>
        <w:tabs>
          <w:tab w:val="clear" w:pos="1440"/>
          <w:tab w:val="left" w:pos="900"/>
        </w:tabs>
        <w:ind w:left="0" w:firstLine="540"/>
        <w:jc w:val="both"/>
        <w:rPr>
          <w:rFonts w:ascii="Times New Roman" w:hAnsi="Times New Roman" w:cs="Times New Roman"/>
          <w:color w:val="auto"/>
        </w:rPr>
      </w:pPr>
      <w:r w:rsidRPr="008847A6">
        <w:rPr>
          <w:rFonts w:ascii="Times New Roman" w:hAnsi="Times New Roman" w:cs="Times New Roman"/>
          <w:b/>
          <w:i/>
          <w:color w:val="auto"/>
          <w:lang w:eastAsia="en-US"/>
        </w:rPr>
        <w:t xml:space="preserve">динамиката на потреблението – </w:t>
      </w:r>
      <w:r w:rsidRPr="00A662BD">
        <w:rPr>
          <w:rFonts w:ascii="Times New Roman" w:hAnsi="Times New Roman" w:cs="Times New Roman"/>
          <w:i/>
          <w:color w:val="auto"/>
          <w:lang w:val="ru-RU" w:eastAsia="en-US"/>
        </w:rPr>
        <w:t>1,6</w:t>
      </w:r>
      <w:r w:rsidRPr="00A662BD">
        <w:rPr>
          <w:rFonts w:ascii="Times New Roman" w:hAnsi="Times New Roman" w:cs="Times New Roman"/>
          <w:color w:val="auto"/>
          <w:lang w:eastAsia="en-US"/>
        </w:rPr>
        <w:t xml:space="preserve"> % спад</w:t>
      </w:r>
      <w:r w:rsidRPr="008847A6">
        <w:rPr>
          <w:rFonts w:ascii="Times New Roman" w:hAnsi="Times New Roman" w:cs="Times New Roman"/>
          <w:color w:val="auto"/>
          <w:lang w:eastAsia="en-US"/>
        </w:rPr>
        <w:t xml:space="preserve"> на потреблението през</w:t>
      </w:r>
      <w:r>
        <w:rPr>
          <w:rFonts w:ascii="Times New Roman" w:hAnsi="Times New Roman" w:cs="Times New Roman"/>
          <w:color w:val="auto"/>
          <w:lang w:eastAsia="en-US"/>
        </w:rPr>
        <w:t xml:space="preserve"> </w:t>
      </w:r>
      <w:r>
        <w:rPr>
          <w:rFonts w:ascii="Times New Roman" w:hAnsi="Times New Roman" w:cs="Times New Roman"/>
          <w:color w:val="auto"/>
        </w:rPr>
        <w:t>2013</w:t>
      </w:r>
      <w:r w:rsidRPr="008847A6">
        <w:rPr>
          <w:rFonts w:ascii="Times New Roman" w:hAnsi="Times New Roman" w:cs="Times New Roman"/>
          <w:color w:val="auto"/>
        </w:rPr>
        <w:t xml:space="preserve"> г. спрямо предходната година;</w:t>
      </w:r>
    </w:p>
    <w:p w:rsidR="000938C1" w:rsidRDefault="000938C1" w:rsidP="00F30F79">
      <w:pPr>
        <w:pStyle w:val="Default"/>
        <w:numPr>
          <w:ilvl w:val="1"/>
          <w:numId w:val="54"/>
        </w:numPr>
        <w:tabs>
          <w:tab w:val="clear" w:pos="1440"/>
          <w:tab w:val="left" w:pos="900"/>
        </w:tabs>
        <w:ind w:left="0" w:firstLine="540"/>
        <w:jc w:val="both"/>
        <w:rPr>
          <w:bCs/>
          <w:lang w:val="ru-RU"/>
        </w:rPr>
      </w:pPr>
      <w:r w:rsidRPr="00A871ED">
        <w:rPr>
          <w:rFonts w:ascii="Times New Roman" w:hAnsi="Times New Roman" w:cs="Times New Roman"/>
          <w:b/>
          <w:i/>
          <w:color w:val="auto"/>
          <w:lang w:eastAsia="en-US"/>
        </w:rPr>
        <w:t>у</w:t>
      </w:r>
      <w:r w:rsidRPr="00A871ED">
        <w:rPr>
          <w:rFonts w:ascii="Times New Roman" w:hAnsi="Times New Roman" w:cs="Times New Roman"/>
          <w:b/>
          <w:i/>
          <w:color w:val="auto"/>
        </w:rPr>
        <w:t>величение</w:t>
      </w:r>
      <w:r>
        <w:rPr>
          <w:rFonts w:ascii="Times New Roman" w:hAnsi="Times New Roman" w:cs="Times New Roman"/>
          <w:b/>
          <w:i/>
          <w:color w:val="auto"/>
        </w:rPr>
        <w:t xml:space="preserve"> </w:t>
      </w:r>
      <w:r w:rsidRPr="00A871ED">
        <w:rPr>
          <w:rFonts w:ascii="Times New Roman" w:hAnsi="Times New Roman" w:cs="Times New Roman"/>
          <w:b/>
          <w:i/>
          <w:color w:val="auto"/>
        </w:rPr>
        <w:t>на вноса</w:t>
      </w:r>
      <w:r w:rsidRPr="008847A6">
        <w:t xml:space="preserve"> – </w:t>
      </w:r>
      <w:r>
        <w:rPr>
          <w:rFonts w:ascii="Times New Roman" w:hAnsi="Times New Roman" w:cs="Times New Roman"/>
          <w:bCs/>
          <w:lang w:val="ru-RU"/>
        </w:rPr>
        <w:t>п</w:t>
      </w:r>
      <w:r w:rsidRPr="00A871ED">
        <w:rPr>
          <w:rFonts w:ascii="Times New Roman" w:hAnsi="Times New Roman" w:cs="Times New Roman"/>
          <w:bCs/>
          <w:lang w:val="ru-RU"/>
        </w:rPr>
        <w:t xml:space="preserve">рез 2013 г. </w:t>
      </w:r>
      <w:r w:rsidRPr="00A662BD">
        <w:rPr>
          <w:rFonts w:ascii="Times New Roman" w:hAnsi="Times New Roman" w:cs="Times New Roman"/>
          <w:bCs/>
          <w:lang w:val="ru-RU"/>
        </w:rPr>
        <w:t>общият внос е с 1,3</w:t>
      </w:r>
      <w:r>
        <w:rPr>
          <w:rFonts w:ascii="Times New Roman" w:hAnsi="Times New Roman" w:cs="Times New Roman"/>
          <w:bCs/>
          <w:lang w:val="ru-RU"/>
        </w:rPr>
        <w:t xml:space="preserve"> </w:t>
      </w:r>
      <w:r w:rsidRPr="00A662BD">
        <w:rPr>
          <w:rFonts w:ascii="Times New Roman" w:hAnsi="Times New Roman" w:cs="Times New Roman"/>
          <w:bCs/>
          <w:lang w:val="ru-RU"/>
        </w:rPr>
        <w:t xml:space="preserve">% повече спрямо </w:t>
      </w:r>
      <w:r w:rsidRPr="00A871ED">
        <w:rPr>
          <w:rFonts w:ascii="Times New Roman" w:hAnsi="Times New Roman" w:cs="Times New Roman"/>
          <w:bCs/>
          <w:lang w:val="ru-RU"/>
        </w:rPr>
        <w:t>предходната година</w:t>
      </w:r>
      <w:r>
        <w:rPr>
          <w:rFonts w:ascii="Times New Roman" w:hAnsi="Times New Roman" w:cs="Times New Roman"/>
          <w:bCs/>
          <w:lang w:val="ru-RU"/>
        </w:rPr>
        <w:t>. П</w:t>
      </w:r>
      <w:r w:rsidRPr="00A871ED">
        <w:rPr>
          <w:rFonts w:ascii="Times New Roman" w:hAnsi="Times New Roman" w:cs="Times New Roman"/>
          <w:bCs/>
          <w:lang w:val="ru-RU"/>
        </w:rPr>
        <w:t>о данни на НСИ</w:t>
      </w:r>
      <w:r>
        <w:rPr>
          <w:rFonts w:ascii="Times New Roman" w:hAnsi="Times New Roman" w:cs="Times New Roman"/>
          <w:bCs/>
          <w:lang w:val="ru-RU"/>
        </w:rPr>
        <w:t>,</w:t>
      </w:r>
      <w:r w:rsidRPr="00A871ED">
        <w:rPr>
          <w:rFonts w:ascii="Times New Roman" w:hAnsi="Times New Roman" w:cs="Times New Roman"/>
          <w:bCs/>
          <w:lang w:val="ru-RU"/>
        </w:rPr>
        <w:t xml:space="preserve"> от </w:t>
      </w:r>
      <w:r>
        <w:rPr>
          <w:rFonts w:ascii="Times New Roman" w:hAnsi="Times New Roman" w:cs="Times New Roman"/>
          <w:bCs/>
          <w:lang w:val="ru-RU"/>
        </w:rPr>
        <w:t>държави</w:t>
      </w:r>
      <w:r w:rsidRPr="00A871ED">
        <w:rPr>
          <w:rFonts w:ascii="Times New Roman" w:hAnsi="Times New Roman" w:cs="Times New Roman"/>
          <w:bCs/>
          <w:lang w:val="ru-RU"/>
        </w:rPr>
        <w:t>-членки на ЕС в страната са внесени стоки с 3</w:t>
      </w:r>
      <w:r>
        <w:rPr>
          <w:rFonts w:ascii="Times New Roman" w:hAnsi="Times New Roman" w:cs="Times New Roman"/>
          <w:bCs/>
          <w:lang w:val="ru-RU"/>
        </w:rPr>
        <w:t xml:space="preserve"> </w:t>
      </w:r>
      <w:r w:rsidRPr="00A871ED">
        <w:rPr>
          <w:rFonts w:ascii="Times New Roman" w:hAnsi="Times New Roman" w:cs="Times New Roman"/>
          <w:bCs/>
          <w:lang w:val="ru-RU"/>
        </w:rPr>
        <w:t>% повече спрямо предходната година</w:t>
      </w:r>
      <w:r>
        <w:rPr>
          <w:rFonts w:ascii="Times New Roman" w:hAnsi="Times New Roman" w:cs="Times New Roman"/>
          <w:bCs/>
          <w:lang w:val="ru-RU"/>
        </w:rPr>
        <w:t xml:space="preserve">, а </w:t>
      </w:r>
      <w:r w:rsidRPr="00A871ED">
        <w:rPr>
          <w:rFonts w:ascii="Times New Roman" w:hAnsi="Times New Roman" w:cs="Times New Roman"/>
          <w:bCs/>
          <w:lang w:val="ru-RU"/>
        </w:rPr>
        <w:t xml:space="preserve">от трети страни </w:t>
      </w:r>
      <w:r>
        <w:rPr>
          <w:rFonts w:ascii="Times New Roman" w:hAnsi="Times New Roman" w:cs="Times New Roman"/>
          <w:bCs/>
          <w:lang w:val="ru-RU"/>
        </w:rPr>
        <w:t xml:space="preserve">вносът </w:t>
      </w:r>
      <w:r w:rsidRPr="00A871ED">
        <w:rPr>
          <w:rFonts w:ascii="Times New Roman" w:hAnsi="Times New Roman" w:cs="Times New Roman"/>
          <w:bCs/>
          <w:lang w:val="ru-RU"/>
        </w:rPr>
        <w:t>намаля</w:t>
      </w:r>
      <w:r>
        <w:rPr>
          <w:rFonts w:ascii="Times New Roman" w:hAnsi="Times New Roman" w:cs="Times New Roman"/>
          <w:bCs/>
          <w:lang w:val="ru-RU"/>
        </w:rPr>
        <w:t>ва</w:t>
      </w:r>
      <w:r w:rsidRPr="00A871ED">
        <w:rPr>
          <w:rFonts w:ascii="Times New Roman" w:hAnsi="Times New Roman" w:cs="Times New Roman"/>
          <w:bCs/>
          <w:lang w:val="ru-RU"/>
        </w:rPr>
        <w:t xml:space="preserve"> с 1% </w:t>
      </w:r>
      <w:r>
        <w:rPr>
          <w:rFonts w:ascii="Times New Roman" w:hAnsi="Times New Roman" w:cs="Times New Roman"/>
          <w:bCs/>
          <w:lang w:val="ru-RU"/>
        </w:rPr>
        <w:t xml:space="preserve"> п</w:t>
      </w:r>
      <w:r w:rsidRPr="00A871ED">
        <w:rPr>
          <w:rFonts w:ascii="Times New Roman" w:hAnsi="Times New Roman" w:cs="Times New Roman"/>
          <w:bCs/>
          <w:lang w:val="ru-RU"/>
        </w:rPr>
        <w:t>оради слабото вътрешно търсене</w:t>
      </w:r>
      <w:r>
        <w:rPr>
          <w:rFonts w:ascii="Times New Roman" w:hAnsi="Times New Roman" w:cs="Times New Roman"/>
          <w:bCs/>
          <w:lang w:val="ru-RU"/>
        </w:rPr>
        <w:t>.</w:t>
      </w:r>
    </w:p>
    <w:p w:rsidR="000938C1" w:rsidRPr="00C76EA0" w:rsidRDefault="000938C1" w:rsidP="00F30F79">
      <w:pPr>
        <w:pStyle w:val="Default"/>
        <w:numPr>
          <w:ilvl w:val="1"/>
          <w:numId w:val="54"/>
        </w:numPr>
        <w:tabs>
          <w:tab w:val="clear" w:pos="1440"/>
          <w:tab w:val="left" w:pos="900"/>
        </w:tabs>
        <w:ind w:left="0" w:firstLine="540"/>
        <w:jc w:val="both"/>
        <w:rPr>
          <w:rFonts w:ascii="Times New Roman" w:hAnsi="Times New Roman" w:cs="Times New Roman"/>
          <w:bCs/>
          <w:lang w:val="ru-RU"/>
        </w:rPr>
      </w:pPr>
      <w:r w:rsidRPr="006B4AA4">
        <w:rPr>
          <w:rFonts w:ascii="Times New Roman" w:hAnsi="Times New Roman" w:cs="Times New Roman"/>
          <w:b/>
          <w:i/>
          <w:lang w:eastAsia="en-US"/>
        </w:rPr>
        <w:t>динамиката</w:t>
      </w:r>
      <w:r w:rsidRPr="006B4AA4">
        <w:rPr>
          <w:rFonts w:ascii="Times New Roman" w:hAnsi="Times New Roman" w:cs="Times New Roman"/>
          <w:b/>
          <w:i/>
        </w:rPr>
        <w:t xml:space="preserve"> на износа на стоки и услуги</w:t>
      </w:r>
      <w:r w:rsidRPr="006B4AA4">
        <w:rPr>
          <w:rFonts w:ascii="Times New Roman" w:hAnsi="Times New Roman" w:cs="Times New Roman"/>
        </w:rPr>
        <w:t xml:space="preserve"> – </w:t>
      </w:r>
      <w:r>
        <w:rPr>
          <w:rFonts w:ascii="Times New Roman" w:hAnsi="Times New Roman" w:cs="Times New Roman"/>
          <w:bCs/>
          <w:lang w:val="ru-RU"/>
        </w:rPr>
        <w:t>с</w:t>
      </w:r>
      <w:r w:rsidRPr="00A5763C">
        <w:rPr>
          <w:rFonts w:ascii="Times New Roman" w:hAnsi="Times New Roman" w:cs="Times New Roman"/>
          <w:bCs/>
          <w:lang w:val="ru-RU"/>
        </w:rPr>
        <w:t>тойността на общия износ</w:t>
      </w:r>
      <w:r w:rsidRPr="006B4AA4">
        <w:rPr>
          <w:rFonts w:ascii="Times New Roman" w:hAnsi="Times New Roman" w:cs="Times New Roman"/>
          <w:bCs/>
          <w:lang w:val="ru-RU"/>
        </w:rPr>
        <w:t xml:space="preserve"> (вкл. ЕС) спрямо предходната година </w:t>
      </w:r>
      <w:r w:rsidRPr="00A662BD">
        <w:rPr>
          <w:rFonts w:ascii="Times New Roman" w:hAnsi="Times New Roman" w:cs="Times New Roman"/>
          <w:bCs/>
          <w:lang w:val="ru-RU"/>
        </w:rPr>
        <w:t>се увеличава с 6,8 %.</w:t>
      </w:r>
      <w:r w:rsidRPr="006B4AA4">
        <w:rPr>
          <w:rFonts w:ascii="Times New Roman" w:hAnsi="Times New Roman" w:cs="Times New Roman"/>
          <w:bCs/>
          <w:lang w:val="ru-RU"/>
        </w:rPr>
        <w:t xml:space="preserve"> Изменението на износа на стоки и услуги оказва влияние върху декларирания от фирмите-износители ДДС по справки</w:t>
      </w:r>
      <w:r>
        <w:rPr>
          <w:rFonts w:ascii="Times New Roman" w:hAnsi="Times New Roman" w:cs="Times New Roman"/>
          <w:bCs/>
          <w:lang w:val="ru-RU"/>
        </w:rPr>
        <w:t>-</w:t>
      </w:r>
      <w:r w:rsidRPr="006B4AA4">
        <w:rPr>
          <w:rFonts w:ascii="Times New Roman" w:hAnsi="Times New Roman" w:cs="Times New Roman"/>
          <w:bCs/>
          <w:lang w:val="ru-RU"/>
        </w:rPr>
        <w:t>декларации, подлежащ за възстановяване - през отчетната година е отчетен ръст от 9</w:t>
      </w:r>
      <w:r>
        <w:rPr>
          <w:rFonts w:ascii="Times New Roman" w:hAnsi="Times New Roman" w:cs="Times New Roman"/>
          <w:bCs/>
          <w:lang w:val="ru-RU"/>
        </w:rPr>
        <w:t>,</w:t>
      </w:r>
      <w:r w:rsidRPr="006B4AA4">
        <w:rPr>
          <w:rFonts w:ascii="Times New Roman" w:hAnsi="Times New Roman" w:cs="Times New Roman"/>
          <w:bCs/>
          <w:lang w:val="ru-RU"/>
        </w:rPr>
        <w:t>6</w:t>
      </w:r>
      <w:r>
        <w:rPr>
          <w:rFonts w:ascii="Times New Roman" w:hAnsi="Times New Roman" w:cs="Times New Roman"/>
          <w:bCs/>
          <w:lang w:val="ru-RU"/>
        </w:rPr>
        <w:t xml:space="preserve"> </w:t>
      </w:r>
      <w:r w:rsidRPr="006B4AA4">
        <w:rPr>
          <w:rFonts w:ascii="Times New Roman" w:hAnsi="Times New Roman" w:cs="Times New Roman"/>
          <w:bCs/>
          <w:lang w:val="ru-RU"/>
        </w:rPr>
        <w:t>% (383,7 млн. лв.). И</w:t>
      </w:r>
      <w:r w:rsidRPr="006B4AA4">
        <w:rPr>
          <w:rFonts w:ascii="Times New Roman" w:hAnsi="Times New Roman" w:cs="Times New Roman"/>
          <w:lang w:val="ru-RU"/>
        </w:rPr>
        <w:t>зносът за ЕС се е увеличил  с 9</w:t>
      </w:r>
      <w:r>
        <w:rPr>
          <w:rFonts w:ascii="Times New Roman" w:hAnsi="Times New Roman" w:cs="Times New Roman"/>
          <w:lang w:val="ru-RU"/>
        </w:rPr>
        <w:t>,</w:t>
      </w:r>
      <w:r w:rsidRPr="006B4AA4">
        <w:rPr>
          <w:rFonts w:ascii="Times New Roman" w:hAnsi="Times New Roman" w:cs="Times New Roman"/>
          <w:lang w:val="ru-RU"/>
        </w:rPr>
        <w:t>1</w:t>
      </w:r>
      <w:r>
        <w:rPr>
          <w:rFonts w:ascii="Times New Roman" w:hAnsi="Times New Roman" w:cs="Times New Roman"/>
          <w:lang w:val="ru-RU"/>
        </w:rPr>
        <w:t xml:space="preserve"> </w:t>
      </w:r>
      <w:r w:rsidRPr="006B4AA4">
        <w:rPr>
          <w:rFonts w:ascii="Times New Roman" w:hAnsi="Times New Roman" w:cs="Times New Roman"/>
          <w:lang w:val="ru-RU"/>
        </w:rPr>
        <w:t>% спрямо предходната година, а</w:t>
      </w:r>
      <w:r w:rsidRPr="006B4AA4">
        <w:rPr>
          <w:rFonts w:ascii="Times New Roman" w:hAnsi="Times New Roman" w:cs="Times New Roman"/>
          <w:bCs/>
          <w:lang w:val="ru-RU"/>
        </w:rPr>
        <w:t xml:space="preserve"> за трети страни </w:t>
      </w:r>
      <w:r>
        <w:rPr>
          <w:rFonts w:ascii="Times New Roman" w:hAnsi="Times New Roman" w:cs="Times New Roman"/>
          <w:bCs/>
          <w:lang w:val="ru-RU"/>
        </w:rPr>
        <w:t xml:space="preserve">– </w:t>
      </w:r>
      <w:r w:rsidRPr="006B4AA4">
        <w:rPr>
          <w:rFonts w:ascii="Times New Roman" w:hAnsi="Times New Roman" w:cs="Times New Roman"/>
          <w:bCs/>
          <w:lang w:val="ru-RU"/>
        </w:rPr>
        <w:t>с 3</w:t>
      </w:r>
      <w:r>
        <w:rPr>
          <w:rFonts w:ascii="Times New Roman" w:hAnsi="Times New Roman" w:cs="Times New Roman"/>
          <w:bCs/>
          <w:lang w:val="ru-RU"/>
        </w:rPr>
        <w:t>,</w:t>
      </w:r>
      <w:r w:rsidRPr="006B4AA4">
        <w:rPr>
          <w:rFonts w:ascii="Times New Roman" w:hAnsi="Times New Roman" w:cs="Times New Roman"/>
          <w:bCs/>
          <w:lang w:val="ru-RU"/>
        </w:rPr>
        <w:t>5</w:t>
      </w:r>
      <w:r>
        <w:rPr>
          <w:rFonts w:ascii="Times New Roman" w:hAnsi="Times New Roman" w:cs="Times New Roman"/>
          <w:bCs/>
          <w:lang w:val="ru-RU"/>
        </w:rPr>
        <w:t xml:space="preserve"> </w:t>
      </w:r>
      <w:r w:rsidRPr="006B4AA4">
        <w:rPr>
          <w:rFonts w:ascii="Times New Roman" w:hAnsi="Times New Roman" w:cs="Times New Roman"/>
          <w:bCs/>
          <w:lang w:val="ru-RU"/>
        </w:rPr>
        <w:t>%.</w:t>
      </w:r>
    </w:p>
    <w:p w:rsidR="000938C1" w:rsidRPr="009D3775" w:rsidRDefault="000938C1" w:rsidP="00F30F79">
      <w:pPr>
        <w:pStyle w:val="Default"/>
        <w:numPr>
          <w:ilvl w:val="1"/>
          <w:numId w:val="54"/>
        </w:numPr>
        <w:tabs>
          <w:tab w:val="clear" w:pos="1440"/>
          <w:tab w:val="left" w:pos="900"/>
        </w:tabs>
        <w:ind w:left="0" w:firstLine="540"/>
        <w:jc w:val="both"/>
        <w:rPr>
          <w:rFonts w:ascii="Times New Roman" w:hAnsi="Times New Roman" w:cs="Times New Roman"/>
          <w:bCs/>
          <w:lang w:val="ru-RU"/>
        </w:rPr>
      </w:pPr>
      <w:r w:rsidRPr="00C76EA0">
        <w:rPr>
          <w:rFonts w:ascii="Times New Roman" w:hAnsi="Times New Roman" w:cs="Times New Roman"/>
          <w:b/>
          <w:i/>
        </w:rPr>
        <w:t>намаление на декларирания ДДС, подлежащ за възстановяване, неприспаднат по процедура</w:t>
      </w:r>
      <w:r w:rsidRPr="00C76EA0">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lang w:val="ru-RU"/>
        </w:rPr>
        <w:t>в</w:t>
      </w:r>
      <w:r w:rsidRPr="009D3775">
        <w:rPr>
          <w:rFonts w:ascii="Times New Roman" w:hAnsi="Times New Roman" w:cs="Times New Roman"/>
          <w:lang w:val="ru-RU"/>
        </w:rPr>
        <w:t xml:space="preserve"> сравнение с 2012 г. през </w:t>
      </w:r>
      <w:r w:rsidRPr="009D3775">
        <w:rPr>
          <w:rFonts w:ascii="Times New Roman" w:hAnsi="Times New Roman" w:cs="Times New Roman"/>
        </w:rPr>
        <w:t>2013</w:t>
      </w:r>
      <w:r w:rsidRPr="009D3775">
        <w:rPr>
          <w:rFonts w:ascii="Times New Roman" w:hAnsi="Times New Roman" w:cs="Times New Roman"/>
          <w:lang w:val="ru-RU"/>
        </w:rPr>
        <w:t xml:space="preserve"> г</w:t>
      </w:r>
      <w:r w:rsidRPr="009D3775">
        <w:rPr>
          <w:rFonts w:ascii="Times New Roman" w:hAnsi="Times New Roman" w:cs="Times New Roman"/>
        </w:rPr>
        <w:t>.</w:t>
      </w:r>
      <w:r w:rsidRPr="009D3775">
        <w:rPr>
          <w:rFonts w:ascii="Times New Roman" w:hAnsi="Times New Roman" w:cs="Times New Roman"/>
          <w:lang w:val="ru-RU"/>
        </w:rPr>
        <w:t xml:space="preserve"> се наблюдава спад в искания данъчен кредит след приключила процедура по приспадане с 432,7 млн. лв</w:t>
      </w:r>
      <w:r>
        <w:rPr>
          <w:rFonts w:ascii="Times New Roman" w:hAnsi="Times New Roman" w:cs="Times New Roman"/>
          <w:lang w:val="ru-RU"/>
        </w:rPr>
        <w:t>.</w:t>
      </w:r>
      <w:r w:rsidRPr="009D3775">
        <w:rPr>
          <w:rFonts w:ascii="Times New Roman" w:hAnsi="Times New Roman" w:cs="Times New Roman"/>
          <w:lang w:val="ru-RU"/>
        </w:rPr>
        <w:t xml:space="preserve"> (23,0</w:t>
      </w:r>
      <w:r>
        <w:rPr>
          <w:rFonts w:ascii="Times New Roman" w:hAnsi="Times New Roman" w:cs="Times New Roman"/>
          <w:lang w:val="ru-RU"/>
        </w:rPr>
        <w:t xml:space="preserve"> </w:t>
      </w:r>
      <w:r w:rsidRPr="009D3775">
        <w:rPr>
          <w:rFonts w:ascii="Times New Roman" w:hAnsi="Times New Roman" w:cs="Times New Roman"/>
          <w:lang w:val="ru-RU"/>
        </w:rPr>
        <w:t xml:space="preserve">%). </w:t>
      </w:r>
    </w:p>
    <w:p w:rsidR="000938C1" w:rsidRPr="009D3775" w:rsidRDefault="000938C1" w:rsidP="00F30F79">
      <w:pPr>
        <w:pStyle w:val="ListParagraph"/>
        <w:numPr>
          <w:ilvl w:val="0"/>
          <w:numId w:val="85"/>
        </w:numPr>
        <w:tabs>
          <w:tab w:val="left" w:pos="851"/>
        </w:tabs>
        <w:ind w:left="0" w:firstLine="540"/>
        <w:jc w:val="both"/>
        <w:rPr>
          <w:color w:val="000000"/>
        </w:rPr>
      </w:pPr>
      <w:r>
        <w:rPr>
          <w:b/>
          <w:bCs/>
          <w:i/>
          <w:lang w:eastAsia="en-US"/>
        </w:rPr>
        <w:t>н</w:t>
      </w:r>
      <w:r w:rsidRPr="009D3775">
        <w:rPr>
          <w:b/>
          <w:bCs/>
          <w:i/>
          <w:lang w:eastAsia="en-US"/>
        </w:rPr>
        <w:t>иво на невъзстановения в срок ДДС</w:t>
      </w:r>
      <w:r>
        <w:rPr>
          <w:b/>
          <w:bCs/>
          <w:i/>
          <w:lang w:eastAsia="en-US"/>
        </w:rPr>
        <w:t xml:space="preserve"> </w:t>
      </w:r>
      <w:r>
        <w:rPr>
          <w:bCs/>
          <w:lang w:eastAsia="en-US"/>
        </w:rPr>
        <w:t xml:space="preserve">– </w:t>
      </w:r>
      <w:r w:rsidRPr="0009202D">
        <w:t>към</w:t>
      </w:r>
      <w:r>
        <w:t xml:space="preserve"> </w:t>
      </w:r>
      <w:r w:rsidRPr="0009202D">
        <w:t>31.12.2013 г. е 236</w:t>
      </w:r>
      <w:r>
        <w:t>,</w:t>
      </w:r>
      <w:r w:rsidRPr="0009202D">
        <w:t>6 млн. лева. Спрямо същия период на предходната година намалението е със 117</w:t>
      </w:r>
      <w:r>
        <w:t>,</w:t>
      </w:r>
      <w:r w:rsidRPr="0009202D">
        <w:t>7 млн. лв</w:t>
      </w:r>
      <w:r>
        <w:t>.</w:t>
      </w:r>
      <w:r w:rsidRPr="0009202D">
        <w:t xml:space="preserve"> (33</w:t>
      </w:r>
      <w:r>
        <w:t>,</w:t>
      </w:r>
      <w:r w:rsidRPr="0009202D">
        <w:t>2</w:t>
      </w:r>
      <w:r>
        <w:t xml:space="preserve"> </w:t>
      </w:r>
      <w:r w:rsidRPr="0009202D">
        <w:t>%). Това е най-ниското н</w:t>
      </w:r>
      <w:r w:rsidRPr="009D3775">
        <w:rPr>
          <w:color w:val="000000"/>
        </w:rPr>
        <w:t>иво на невъзстановения в срок ДДС в края на годината от 2006 г</w:t>
      </w:r>
      <w:r>
        <w:rPr>
          <w:color w:val="000000"/>
        </w:rPr>
        <w:t>.</w:t>
      </w:r>
      <w:r w:rsidRPr="009D3775">
        <w:rPr>
          <w:color w:val="000000"/>
        </w:rPr>
        <w:t xml:space="preserve"> насам.</w:t>
      </w:r>
    </w:p>
    <w:p w:rsidR="000938C1" w:rsidRPr="00A662BD" w:rsidRDefault="000938C1" w:rsidP="00F30F79">
      <w:pPr>
        <w:numPr>
          <w:ilvl w:val="0"/>
          <w:numId w:val="85"/>
        </w:numPr>
        <w:tabs>
          <w:tab w:val="left" w:pos="851"/>
        </w:tabs>
        <w:ind w:left="0" w:firstLine="540"/>
        <w:jc w:val="both"/>
        <w:rPr>
          <w:bCs/>
        </w:rPr>
      </w:pPr>
      <w:r w:rsidRPr="00A662BD">
        <w:rPr>
          <w:b/>
          <w:bCs/>
          <w:i/>
          <w:color w:val="000000"/>
        </w:rPr>
        <w:t>Ползване на данъчен кредит за служебни леки автомобили при покупката на горива и смазочни масла, ремонт и поддръжка, резервни части и други услуги</w:t>
      </w:r>
      <w:r w:rsidRPr="00A662BD">
        <w:rPr>
          <w:b/>
          <w:bCs/>
          <w:color w:val="000000"/>
        </w:rPr>
        <w:t xml:space="preserve"> - </w:t>
      </w:r>
      <w:r w:rsidRPr="0009202D">
        <w:t>тази възможност е дадена с промяната в ЗДДС от началото на 2013 г. Оцененият ефект от тази промяна е загуба на приходи от ДДС в размер на 57</w:t>
      </w:r>
      <w:r>
        <w:t>,</w:t>
      </w:r>
      <w:r w:rsidRPr="0009202D">
        <w:t>8 млн. лева.</w:t>
      </w:r>
    </w:p>
    <w:p w:rsidR="000938C1" w:rsidRPr="00CF1A14" w:rsidRDefault="000938C1" w:rsidP="00F30F79">
      <w:pPr>
        <w:pStyle w:val="ListParagraph"/>
        <w:tabs>
          <w:tab w:val="left" w:pos="180"/>
          <w:tab w:val="left" w:pos="900"/>
        </w:tabs>
        <w:ind w:left="0"/>
        <w:jc w:val="both"/>
        <w:rPr>
          <w:bCs/>
          <w:color w:val="0070C0"/>
          <w:sz w:val="8"/>
          <w:szCs w:val="8"/>
          <w:lang w:eastAsia="en-US"/>
        </w:rPr>
      </w:pPr>
    </w:p>
    <w:p w:rsidR="000938C1" w:rsidRPr="002A3E27" w:rsidRDefault="000938C1" w:rsidP="00F30F79">
      <w:pPr>
        <w:pStyle w:val="BodyTextIndent"/>
        <w:spacing w:after="0"/>
        <w:ind w:left="0" w:right="113" w:firstLine="720"/>
        <w:jc w:val="both"/>
        <w:rPr>
          <w:lang w:val="bg-BG"/>
        </w:rPr>
      </w:pPr>
      <w:r w:rsidRPr="002A3E27">
        <w:rPr>
          <w:lang w:val="bg-BG"/>
        </w:rPr>
        <w:t xml:space="preserve">Към 31.12.2013 г. по ЗДДС са регистрирани 241 780 задължени лица – с </w:t>
      </w:r>
      <w:r w:rsidRPr="002A3E27">
        <w:rPr>
          <w:bCs/>
          <w:lang w:val="bg-BG"/>
        </w:rPr>
        <w:t>11 340 повече спрямо 2012 г</w:t>
      </w:r>
      <w:r w:rsidRPr="002A3E27">
        <w:rPr>
          <w:lang w:val="bg-BG"/>
        </w:rPr>
        <w:t>.</w:t>
      </w:r>
      <w:r>
        <w:rPr>
          <w:lang w:val="bg-BG"/>
        </w:rPr>
        <w:t xml:space="preserve"> </w:t>
      </w:r>
      <w:r w:rsidRPr="002A3E27">
        <w:rPr>
          <w:lang w:val="bg-BG"/>
        </w:rPr>
        <w:t>Декларираната данъчна основа на облагаемите с ДДС доставки е намалена</w:t>
      </w:r>
      <w:r>
        <w:rPr>
          <w:lang w:val="bg-BG"/>
        </w:rPr>
        <w:t xml:space="preserve"> </w:t>
      </w:r>
      <w:r w:rsidRPr="002A3E27">
        <w:rPr>
          <w:lang w:val="bg-BG"/>
        </w:rPr>
        <w:t>с 0,8 млрд. лв. (0,4 %) и е 184,9 млрд. лева.</w:t>
      </w:r>
    </w:p>
    <w:p w:rsidR="000938C1" w:rsidRPr="00CF1A14" w:rsidRDefault="000938C1" w:rsidP="00F30F79">
      <w:pPr>
        <w:pStyle w:val="BodyTextIndent"/>
        <w:spacing w:after="0"/>
        <w:ind w:left="0" w:right="113" w:firstLine="720"/>
        <w:jc w:val="both"/>
        <w:rPr>
          <w:color w:val="0070C0"/>
          <w:lang w:val="bg-BG"/>
        </w:rPr>
      </w:pPr>
    </w:p>
    <w:p w:rsidR="000938C1" w:rsidRPr="00CF1A14" w:rsidRDefault="000938C1" w:rsidP="00F30F79">
      <w:pPr>
        <w:pStyle w:val="BodyTextIndent"/>
        <w:spacing w:after="0"/>
        <w:ind w:left="0" w:right="113" w:firstLine="142"/>
        <w:jc w:val="both"/>
        <w:rPr>
          <w:color w:val="0070C0"/>
          <w:lang w:val="bg-BG"/>
        </w:rPr>
      </w:pPr>
      <w:r w:rsidRPr="00BC4ACD">
        <w:rPr>
          <w:noProof/>
          <w:lang w:val="bg-BG" w:eastAsia="bg-BG"/>
        </w:rPr>
        <w:object w:dxaOrig="8535" w:dyaOrig="5060">
          <v:shape id="Chart 14" o:spid="_x0000_i1040" type="#_x0000_t75" style="width:426.75pt;height:253.5pt;visibility:visible" o:ole="">
            <v:imagedata r:id="rId39" o:title="" cropbottom="-65f"/>
            <o:lock v:ext="edit" aspectratio="f"/>
          </v:shape>
          <o:OLEObject Type="Embed" ProgID="Excel.Chart.8" ShapeID="Chart 14" DrawAspect="Content" ObjectID="_1467645791" r:id="rId40"/>
        </w:object>
      </w:r>
    </w:p>
    <w:p w:rsidR="000938C1" w:rsidRPr="00CF1A14" w:rsidRDefault="000938C1" w:rsidP="00F30F79">
      <w:pPr>
        <w:pStyle w:val="BodyTextIndent"/>
        <w:spacing w:after="0"/>
        <w:ind w:left="0" w:right="113" w:firstLine="720"/>
        <w:jc w:val="both"/>
        <w:rPr>
          <w:color w:val="0070C0"/>
          <w:lang w:val="bg-BG"/>
        </w:rPr>
      </w:pPr>
    </w:p>
    <w:p w:rsidR="000938C1" w:rsidRPr="00CF1A14" w:rsidRDefault="000938C1" w:rsidP="00F30F79">
      <w:pPr>
        <w:pStyle w:val="BodyTextIndent"/>
        <w:spacing w:after="0"/>
        <w:ind w:left="0" w:right="113" w:firstLine="720"/>
        <w:jc w:val="both"/>
        <w:rPr>
          <w:bCs/>
          <w:color w:val="0070C0"/>
          <w:sz w:val="4"/>
          <w:szCs w:val="4"/>
          <w:lang w:val="bg-BG"/>
        </w:rPr>
      </w:pPr>
    </w:p>
    <w:p w:rsidR="000938C1" w:rsidRPr="009576B9" w:rsidRDefault="000938C1" w:rsidP="00F30F79">
      <w:pPr>
        <w:tabs>
          <w:tab w:val="left" w:pos="9360"/>
        </w:tabs>
        <w:ind w:right="23" w:firstLine="720"/>
        <w:jc w:val="both"/>
      </w:pPr>
      <w:r w:rsidRPr="009576B9">
        <w:t xml:space="preserve">Постъпленията от </w:t>
      </w:r>
      <w:r w:rsidRPr="009576B9">
        <w:rPr>
          <w:i/>
          <w:u w:val="single"/>
        </w:rPr>
        <w:t>ДДС при сделки в страната и ВОП (нето)</w:t>
      </w:r>
      <w:r w:rsidRPr="009576B9">
        <w:t xml:space="preserve"> възлизат на 3 551,2 млн. лв., което е 100,0 % изпълнение на разчета за годината. Съпоставени с предходната година, постъпленията от данъка са нараснали със 138,0 млн. лв. </w:t>
      </w:r>
    </w:p>
    <w:p w:rsidR="000938C1" w:rsidRPr="006B5A64" w:rsidRDefault="000938C1" w:rsidP="00F30F79">
      <w:pPr>
        <w:numPr>
          <w:ilvl w:val="0"/>
          <w:numId w:val="33"/>
        </w:numPr>
        <w:tabs>
          <w:tab w:val="left" w:pos="9360"/>
        </w:tabs>
        <w:ind w:right="23"/>
        <w:jc w:val="both"/>
      </w:pPr>
      <w:r w:rsidRPr="006B5A64">
        <w:rPr>
          <w:i/>
        </w:rPr>
        <w:t>Ефективно внесеният ДДС</w:t>
      </w:r>
      <w:r>
        <w:rPr>
          <w:i/>
        </w:rPr>
        <w:t xml:space="preserve"> </w:t>
      </w:r>
      <w:r w:rsidRPr="006B5A64">
        <w:rPr>
          <w:i/>
        </w:rPr>
        <w:t>по сметките на</w:t>
      </w:r>
      <w:r>
        <w:rPr>
          <w:i/>
        </w:rPr>
        <w:t xml:space="preserve"> </w:t>
      </w:r>
      <w:r w:rsidRPr="006B5A64">
        <w:rPr>
          <w:i/>
        </w:rPr>
        <w:t>НАП</w:t>
      </w:r>
      <w:r w:rsidRPr="006B5A64">
        <w:t xml:space="preserve">, формиран като данък от справки-декларации от сделки в страната и ВОП и допълнително внесените суми, разкрити с данъчно-ревизионни актове, е в размер на 9 513,6 млн. лв., което е с 202,6 млн. лв. (2,2 %) повече в сравнение с 2012 г. </w:t>
      </w:r>
    </w:p>
    <w:p w:rsidR="000938C1" w:rsidRPr="009939F5" w:rsidRDefault="000938C1" w:rsidP="00F30F79">
      <w:pPr>
        <w:numPr>
          <w:ilvl w:val="0"/>
          <w:numId w:val="33"/>
        </w:numPr>
        <w:tabs>
          <w:tab w:val="left" w:pos="9360"/>
        </w:tabs>
        <w:ind w:right="23"/>
        <w:jc w:val="both"/>
      </w:pPr>
      <w:r w:rsidRPr="009939F5">
        <w:rPr>
          <w:i/>
        </w:rPr>
        <w:t xml:space="preserve">Общо възстановеният (чрез прихващане и ефективно) ДДС </w:t>
      </w:r>
      <w:r w:rsidRPr="009939F5">
        <w:t>е 6 070,0 млн. лв. или със 172,1 млн. лв. (2,9 %) повече в сравнение с 2012 г.</w:t>
      </w:r>
    </w:p>
    <w:p w:rsidR="000938C1" w:rsidRPr="00FA2346" w:rsidRDefault="000938C1" w:rsidP="00F30F79">
      <w:pPr>
        <w:tabs>
          <w:tab w:val="left" w:pos="9360"/>
        </w:tabs>
        <w:ind w:right="23"/>
        <w:jc w:val="both"/>
        <w:rPr>
          <w:i/>
          <w:color w:val="0070C0"/>
        </w:rPr>
      </w:pPr>
      <w:r w:rsidRPr="00FA2346">
        <w:t>Отношението на възстановения ДДС към внесения е 63,8 %, при 63,3 % за 2012</w:t>
      </w:r>
      <w:r>
        <w:t xml:space="preserve"> </w:t>
      </w:r>
      <w:r w:rsidRPr="00FA2346">
        <w:t>г.</w:t>
      </w:r>
      <w:r>
        <w:t xml:space="preserve"> </w:t>
      </w:r>
      <w:r w:rsidRPr="00FA2346">
        <w:t>Декларираният ДДС за внасяне (след приспадане) е 9 654,6 млн. лв., което е с 212,7 млн. лв. (2,3 %) повече в сравнение с 2012 г. Декларираният ДДС, подлежащ за възстановяване (кл.80, 81 и</w:t>
      </w:r>
      <w:r>
        <w:t>ли</w:t>
      </w:r>
      <w:r w:rsidRPr="00FA2346">
        <w:t xml:space="preserve"> 82 на </w:t>
      </w:r>
      <w:r>
        <w:t xml:space="preserve">подадените справки-декларации за </w:t>
      </w:r>
      <w:r w:rsidRPr="00FA2346">
        <w:t>ДДС) е 5 872,3 млн. лв., което е с 3,0 млн. лв. (0,1 %) по-малко в сравнение с декларирания за 2012 г. Приспаднатият ДДС от регистрираните лица е 725,8 млн. лв. при 813,6 млн. лв. през 2012 година.</w:t>
      </w:r>
    </w:p>
    <w:p w:rsidR="000938C1" w:rsidRPr="00CF1A14" w:rsidRDefault="000938C1" w:rsidP="00F30F79">
      <w:pPr>
        <w:tabs>
          <w:tab w:val="left" w:pos="9360"/>
        </w:tabs>
        <w:ind w:right="23" w:firstLine="720"/>
        <w:jc w:val="both"/>
        <w:rPr>
          <w:color w:val="0070C0"/>
          <w:sz w:val="8"/>
          <w:szCs w:val="8"/>
        </w:rPr>
      </w:pPr>
    </w:p>
    <w:p w:rsidR="000938C1" w:rsidRPr="00413528" w:rsidRDefault="000938C1" w:rsidP="00187783">
      <w:pPr>
        <w:spacing w:before="120"/>
        <w:ind w:firstLine="540"/>
        <w:jc w:val="both"/>
        <w:rPr>
          <w:color w:val="0070C0"/>
        </w:rPr>
      </w:pPr>
      <w:r w:rsidRPr="00413528">
        <w:tab/>
        <w:t xml:space="preserve">Касовото изпълнение на приходите от </w:t>
      </w:r>
      <w:r w:rsidRPr="0040546F">
        <w:rPr>
          <w:i/>
          <w:u w:val="single"/>
        </w:rPr>
        <w:t>ДДС от внос</w:t>
      </w:r>
      <w:r w:rsidRPr="00D05C99">
        <w:t xml:space="preserve"> за 201</w:t>
      </w:r>
      <w:r w:rsidRPr="00673D4D">
        <w:t>3</w:t>
      </w:r>
      <w:r w:rsidRPr="00413528">
        <w:t xml:space="preserve"> г. възлиза на 3 8</w:t>
      </w:r>
      <w:r w:rsidRPr="00673D4D">
        <w:t>15</w:t>
      </w:r>
      <w:r w:rsidRPr="00413528">
        <w:t xml:space="preserve">,3 </w:t>
      </w:r>
      <w:r w:rsidRPr="0040546F">
        <w:t>млн. лв., 92,9 % от заложените</w:t>
      </w:r>
      <w:r w:rsidRPr="00D05C99">
        <w:t xml:space="preserve"> в актуализирания ЗДБРБ за 2013 г. Относителният дял на приходите от внос в общите приходи от ДДС е 51,8 % при 52,3 % за 2012 г. и  51,0 %  за 2011 г. Съпоставени с 2012 г. приходите от данъка са нараснали със 76,6 млн. лв. (2,0 %), което основно е резулта</w:t>
      </w:r>
      <w:r w:rsidRPr="00413528">
        <w:t>т на увеличилите се количества при всички групи стоки.</w:t>
      </w:r>
      <w:r w:rsidRPr="00673D4D">
        <w:t xml:space="preserve"> Стойностният обем на вноса от трети страни през 2013 г. (по данни на НСИ) отчита спад от 1,1 %. Цените при внос намаляват, но с по-бавни темпове от ръста на количествата, като така са реализирани по-високи приходи</w:t>
      </w:r>
      <w:r w:rsidRPr="00413528">
        <w:t xml:space="preserve">. </w:t>
      </w:r>
      <w:r w:rsidRPr="00673D4D">
        <w:t>През 2013 г. цените при внос на стоки, пораждащ ДДС, са намалели средно с 53,8 % спрямо предходната година. Най-висок спад на цените се наблюдава при енергийните продукти и промишлените доставки (6-7 %). В количествено изражение внос</w:t>
      </w:r>
      <w:r>
        <w:t>ът</w:t>
      </w:r>
      <w:r w:rsidRPr="00673D4D">
        <w:t xml:space="preserve"> се увеличава средно с 9,2 % на годишна база</w:t>
      </w:r>
      <w:r>
        <w:t xml:space="preserve">, като ръстът е най-висок </w:t>
      </w:r>
      <w:r w:rsidRPr="00673D4D">
        <w:t xml:space="preserve">при храните и напитките </w:t>
      </w:r>
      <w:r>
        <w:t>-</w:t>
      </w:r>
      <w:r w:rsidRPr="00673D4D">
        <w:t xml:space="preserve"> </w:t>
      </w:r>
      <w:r>
        <w:t>29,5</w:t>
      </w:r>
      <w:r w:rsidRPr="00673D4D">
        <w:t xml:space="preserve"> %. </w:t>
      </w:r>
    </w:p>
    <w:p w:rsidR="000938C1" w:rsidRPr="00CF1A14" w:rsidRDefault="000938C1" w:rsidP="00F30F79">
      <w:pPr>
        <w:jc w:val="both"/>
        <w:rPr>
          <w:color w:val="0070C0"/>
          <w:sz w:val="12"/>
          <w:szCs w:val="12"/>
        </w:rPr>
      </w:pPr>
    </w:p>
    <w:p w:rsidR="000938C1" w:rsidRPr="002E2E69" w:rsidRDefault="000938C1" w:rsidP="00F30F79">
      <w:pPr>
        <w:jc w:val="center"/>
        <w:rPr>
          <w:b/>
          <w:u w:val="single"/>
        </w:rPr>
      </w:pPr>
      <w:bookmarkStart w:id="134" w:name="_Toc324863408"/>
      <w:r w:rsidRPr="002E2E69">
        <w:rPr>
          <w:b/>
          <w:u w:val="single"/>
        </w:rPr>
        <w:t>Приходи от ДДС от внос по групи стоки за 2013 г.</w:t>
      </w:r>
      <w:bookmarkEnd w:id="134"/>
    </w:p>
    <w:p w:rsidR="000938C1" w:rsidRPr="00CF1A14" w:rsidRDefault="000938C1" w:rsidP="00F30F79">
      <w:pPr>
        <w:jc w:val="both"/>
        <w:rPr>
          <w:color w:val="0070C0"/>
        </w:rPr>
      </w:pPr>
    </w:p>
    <w:tbl>
      <w:tblPr>
        <w:tblW w:w="9633" w:type="dxa"/>
        <w:jc w:val="center"/>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005"/>
        <w:gridCol w:w="1130"/>
        <w:gridCol w:w="1390"/>
        <w:gridCol w:w="834"/>
        <w:gridCol w:w="1440"/>
        <w:gridCol w:w="1834"/>
      </w:tblGrid>
      <w:tr w:rsidR="000938C1" w:rsidRPr="00CF1A14" w:rsidTr="00DC30BE">
        <w:trPr>
          <w:trHeight w:val="786"/>
          <w:jc w:val="center"/>
        </w:trPr>
        <w:tc>
          <w:tcPr>
            <w:tcW w:w="3005" w:type="dxa"/>
            <w:noWrap/>
            <w:vAlign w:val="center"/>
          </w:tcPr>
          <w:p w:rsidR="000938C1" w:rsidRPr="002E2E69" w:rsidRDefault="000938C1" w:rsidP="00DC30BE">
            <w:pPr>
              <w:ind w:left="113" w:right="113"/>
              <w:jc w:val="center"/>
              <w:rPr>
                <w:b/>
                <w:bCs/>
              </w:rPr>
            </w:pPr>
            <w:r w:rsidRPr="002E2E69">
              <w:rPr>
                <w:b/>
                <w:sz w:val="22"/>
                <w:szCs w:val="22"/>
              </w:rPr>
              <w:t>Групи стоки</w:t>
            </w:r>
          </w:p>
        </w:tc>
        <w:tc>
          <w:tcPr>
            <w:tcW w:w="1130" w:type="dxa"/>
            <w:vAlign w:val="center"/>
          </w:tcPr>
          <w:p w:rsidR="000938C1" w:rsidRPr="002E2E69" w:rsidRDefault="000938C1" w:rsidP="00DC30BE">
            <w:pPr>
              <w:ind w:left="14" w:right="113"/>
              <w:jc w:val="center"/>
              <w:rPr>
                <w:bCs/>
                <w:sz w:val="21"/>
                <w:szCs w:val="21"/>
              </w:rPr>
            </w:pPr>
            <w:r w:rsidRPr="002E2E69">
              <w:rPr>
                <w:sz w:val="21"/>
                <w:szCs w:val="21"/>
              </w:rPr>
              <w:t>ДДС (млн.лв.)</w:t>
            </w:r>
          </w:p>
        </w:tc>
        <w:tc>
          <w:tcPr>
            <w:tcW w:w="1390" w:type="dxa"/>
            <w:vAlign w:val="center"/>
          </w:tcPr>
          <w:p w:rsidR="000938C1" w:rsidRPr="002E2E69" w:rsidRDefault="000938C1" w:rsidP="00DC30BE">
            <w:pPr>
              <w:ind w:left="30" w:right="113"/>
              <w:jc w:val="center"/>
              <w:rPr>
                <w:bCs/>
                <w:sz w:val="21"/>
                <w:szCs w:val="21"/>
              </w:rPr>
            </w:pPr>
            <w:r w:rsidRPr="002E2E69">
              <w:rPr>
                <w:bCs/>
                <w:sz w:val="21"/>
                <w:szCs w:val="21"/>
              </w:rPr>
              <w:t>Номинално изменение (%)</w:t>
            </w:r>
          </w:p>
        </w:tc>
        <w:tc>
          <w:tcPr>
            <w:tcW w:w="834" w:type="dxa"/>
            <w:vAlign w:val="center"/>
          </w:tcPr>
          <w:p w:rsidR="000938C1" w:rsidRPr="002E2E69" w:rsidRDefault="000938C1" w:rsidP="00DC30BE">
            <w:pPr>
              <w:ind w:left="113" w:right="113"/>
              <w:jc w:val="center"/>
              <w:rPr>
                <w:bCs/>
                <w:sz w:val="21"/>
                <w:szCs w:val="21"/>
              </w:rPr>
            </w:pPr>
            <w:r w:rsidRPr="002E2E69">
              <w:rPr>
                <w:bCs/>
                <w:sz w:val="21"/>
                <w:szCs w:val="21"/>
              </w:rPr>
              <w:t xml:space="preserve">Отн. дял </w:t>
            </w:r>
            <w:r w:rsidRPr="002E2E69">
              <w:rPr>
                <w:bCs/>
                <w:sz w:val="21"/>
                <w:szCs w:val="21"/>
              </w:rPr>
              <w:br/>
              <w:t>(%)</w:t>
            </w:r>
          </w:p>
        </w:tc>
        <w:tc>
          <w:tcPr>
            <w:tcW w:w="1440" w:type="dxa"/>
            <w:vAlign w:val="center"/>
          </w:tcPr>
          <w:p w:rsidR="000938C1" w:rsidRPr="002E2E69" w:rsidRDefault="000938C1" w:rsidP="00DC30BE">
            <w:pPr>
              <w:ind w:left="113" w:right="113"/>
              <w:jc w:val="center"/>
              <w:rPr>
                <w:bCs/>
                <w:sz w:val="21"/>
                <w:szCs w:val="21"/>
              </w:rPr>
            </w:pPr>
            <w:r w:rsidRPr="002E2E69">
              <w:rPr>
                <w:bCs/>
                <w:sz w:val="21"/>
                <w:szCs w:val="21"/>
              </w:rPr>
              <w:t>Индекс на цени при внос</w:t>
            </w:r>
          </w:p>
          <w:p w:rsidR="000938C1" w:rsidRPr="002E2E69" w:rsidRDefault="000938C1" w:rsidP="00DC30BE">
            <w:pPr>
              <w:ind w:left="113" w:right="113"/>
              <w:jc w:val="center"/>
              <w:rPr>
                <w:bCs/>
                <w:sz w:val="21"/>
                <w:szCs w:val="21"/>
              </w:rPr>
            </w:pPr>
            <w:r w:rsidRPr="002E2E69">
              <w:rPr>
                <w:bCs/>
                <w:sz w:val="21"/>
                <w:szCs w:val="21"/>
              </w:rPr>
              <w:t>спрямо 2012 г.</w:t>
            </w:r>
          </w:p>
        </w:tc>
        <w:tc>
          <w:tcPr>
            <w:tcW w:w="1834" w:type="dxa"/>
            <w:vAlign w:val="center"/>
          </w:tcPr>
          <w:p w:rsidR="000938C1" w:rsidRPr="002E2E69" w:rsidRDefault="000938C1" w:rsidP="00DC30BE">
            <w:pPr>
              <w:ind w:right="113"/>
              <w:jc w:val="center"/>
              <w:rPr>
                <w:bCs/>
                <w:sz w:val="21"/>
                <w:szCs w:val="21"/>
              </w:rPr>
            </w:pPr>
            <w:r w:rsidRPr="002E2E69">
              <w:rPr>
                <w:bCs/>
                <w:sz w:val="21"/>
                <w:szCs w:val="21"/>
              </w:rPr>
              <w:t xml:space="preserve">Индекс на физическия обем при внос </w:t>
            </w:r>
          </w:p>
          <w:p w:rsidR="000938C1" w:rsidRPr="002E2E69" w:rsidRDefault="000938C1" w:rsidP="00DC30BE">
            <w:pPr>
              <w:ind w:right="113"/>
              <w:jc w:val="center"/>
              <w:rPr>
                <w:bCs/>
                <w:sz w:val="21"/>
                <w:szCs w:val="21"/>
              </w:rPr>
            </w:pPr>
            <w:r w:rsidRPr="002E2E69">
              <w:rPr>
                <w:bCs/>
                <w:sz w:val="21"/>
                <w:szCs w:val="21"/>
              </w:rPr>
              <w:t>спрямо 2012 г.</w:t>
            </w:r>
          </w:p>
        </w:tc>
      </w:tr>
      <w:tr w:rsidR="000938C1" w:rsidRPr="002E2E69" w:rsidTr="00DC30BE">
        <w:trPr>
          <w:trHeight w:val="262"/>
          <w:jc w:val="center"/>
        </w:trPr>
        <w:tc>
          <w:tcPr>
            <w:tcW w:w="3005" w:type="dxa"/>
            <w:noWrap/>
            <w:vAlign w:val="bottom"/>
          </w:tcPr>
          <w:p w:rsidR="000938C1" w:rsidRPr="002E2E69" w:rsidRDefault="000938C1" w:rsidP="00DC30BE">
            <w:pPr>
              <w:ind w:left="113" w:right="113"/>
              <w:jc w:val="both"/>
              <w:rPr>
                <w:bCs/>
                <w:sz w:val="20"/>
                <w:szCs w:val="20"/>
              </w:rPr>
            </w:pPr>
            <w:r w:rsidRPr="002E2E69">
              <w:rPr>
                <w:bCs/>
                <w:sz w:val="20"/>
                <w:szCs w:val="20"/>
              </w:rPr>
              <w:t>Храни и напитки</w:t>
            </w:r>
          </w:p>
        </w:tc>
        <w:tc>
          <w:tcPr>
            <w:tcW w:w="1130" w:type="dxa"/>
            <w:noWrap/>
            <w:vAlign w:val="bottom"/>
          </w:tcPr>
          <w:p w:rsidR="000938C1" w:rsidRPr="002E2E69" w:rsidRDefault="000938C1" w:rsidP="00DC30BE">
            <w:pPr>
              <w:jc w:val="right"/>
              <w:rPr>
                <w:sz w:val="20"/>
                <w:szCs w:val="20"/>
              </w:rPr>
            </w:pPr>
            <w:r w:rsidRPr="002E2E69">
              <w:rPr>
                <w:sz w:val="20"/>
                <w:szCs w:val="20"/>
              </w:rPr>
              <w:t>142,6</w:t>
            </w:r>
          </w:p>
        </w:tc>
        <w:tc>
          <w:tcPr>
            <w:tcW w:w="1390" w:type="dxa"/>
            <w:noWrap/>
            <w:vAlign w:val="bottom"/>
          </w:tcPr>
          <w:p w:rsidR="000938C1" w:rsidRPr="002E2E69" w:rsidRDefault="000938C1" w:rsidP="00DC30BE">
            <w:pPr>
              <w:jc w:val="right"/>
              <w:rPr>
                <w:sz w:val="20"/>
                <w:szCs w:val="20"/>
              </w:rPr>
            </w:pPr>
            <w:r w:rsidRPr="002E2E69">
              <w:rPr>
                <w:sz w:val="20"/>
                <w:szCs w:val="20"/>
              </w:rPr>
              <w:t>23,4</w:t>
            </w:r>
          </w:p>
        </w:tc>
        <w:tc>
          <w:tcPr>
            <w:tcW w:w="834" w:type="dxa"/>
            <w:noWrap/>
            <w:vAlign w:val="bottom"/>
          </w:tcPr>
          <w:p w:rsidR="000938C1" w:rsidRPr="002E2E69" w:rsidRDefault="000938C1" w:rsidP="00DC30BE">
            <w:pPr>
              <w:jc w:val="right"/>
              <w:rPr>
                <w:sz w:val="20"/>
                <w:szCs w:val="20"/>
              </w:rPr>
            </w:pPr>
            <w:r w:rsidRPr="002E2E69">
              <w:rPr>
                <w:sz w:val="20"/>
                <w:szCs w:val="20"/>
              </w:rPr>
              <w:t>3</w:t>
            </w:r>
            <w:r>
              <w:rPr>
                <w:sz w:val="20"/>
                <w:szCs w:val="20"/>
              </w:rPr>
              <w:t>,</w:t>
            </w:r>
            <w:r w:rsidRPr="002E2E69">
              <w:rPr>
                <w:sz w:val="20"/>
                <w:szCs w:val="20"/>
              </w:rPr>
              <w:t>8</w:t>
            </w:r>
          </w:p>
        </w:tc>
        <w:tc>
          <w:tcPr>
            <w:tcW w:w="1440" w:type="dxa"/>
            <w:noWrap/>
            <w:vAlign w:val="bottom"/>
          </w:tcPr>
          <w:p w:rsidR="000938C1" w:rsidRPr="002E2E69" w:rsidRDefault="000938C1" w:rsidP="00DC30BE">
            <w:pPr>
              <w:jc w:val="right"/>
              <w:rPr>
                <w:iCs/>
                <w:sz w:val="20"/>
                <w:szCs w:val="20"/>
              </w:rPr>
            </w:pPr>
            <w:r w:rsidRPr="002E2E69">
              <w:rPr>
                <w:iCs/>
                <w:sz w:val="20"/>
                <w:szCs w:val="20"/>
              </w:rPr>
              <w:t>95,3</w:t>
            </w:r>
          </w:p>
        </w:tc>
        <w:tc>
          <w:tcPr>
            <w:tcW w:w="1834" w:type="dxa"/>
            <w:noWrap/>
            <w:vAlign w:val="bottom"/>
          </w:tcPr>
          <w:p w:rsidR="000938C1" w:rsidRPr="002E2E69" w:rsidRDefault="000938C1" w:rsidP="00DC30BE">
            <w:pPr>
              <w:jc w:val="right"/>
              <w:rPr>
                <w:iCs/>
                <w:sz w:val="20"/>
                <w:szCs w:val="20"/>
                <w:lang w:val="en-US"/>
              </w:rPr>
            </w:pPr>
            <w:r w:rsidRPr="002E2E69">
              <w:rPr>
                <w:iCs/>
                <w:sz w:val="20"/>
                <w:szCs w:val="20"/>
              </w:rPr>
              <w:t>129</w:t>
            </w:r>
            <w:r>
              <w:rPr>
                <w:iCs/>
                <w:sz w:val="20"/>
                <w:szCs w:val="20"/>
              </w:rPr>
              <w:t>,</w:t>
            </w:r>
            <w:r w:rsidRPr="002E2E69">
              <w:rPr>
                <w:iCs/>
                <w:sz w:val="20"/>
                <w:szCs w:val="20"/>
                <w:lang w:val="en-US"/>
              </w:rPr>
              <w:t>5</w:t>
            </w:r>
          </w:p>
        </w:tc>
      </w:tr>
      <w:tr w:rsidR="000938C1" w:rsidRPr="002E2E69" w:rsidTr="00DC30BE">
        <w:trPr>
          <w:trHeight w:val="262"/>
          <w:jc w:val="center"/>
        </w:trPr>
        <w:tc>
          <w:tcPr>
            <w:tcW w:w="3005" w:type="dxa"/>
            <w:noWrap/>
            <w:vAlign w:val="bottom"/>
          </w:tcPr>
          <w:p w:rsidR="000938C1" w:rsidRPr="002E2E69" w:rsidRDefault="000938C1" w:rsidP="00DC30BE">
            <w:pPr>
              <w:ind w:left="113" w:right="113"/>
              <w:jc w:val="both"/>
              <w:rPr>
                <w:bCs/>
                <w:sz w:val="20"/>
                <w:szCs w:val="20"/>
              </w:rPr>
            </w:pPr>
            <w:r w:rsidRPr="002E2E69">
              <w:rPr>
                <w:bCs/>
                <w:sz w:val="20"/>
                <w:szCs w:val="20"/>
              </w:rPr>
              <w:t>Промишлени доставки</w:t>
            </w:r>
          </w:p>
        </w:tc>
        <w:tc>
          <w:tcPr>
            <w:tcW w:w="1130" w:type="dxa"/>
            <w:noWrap/>
            <w:vAlign w:val="bottom"/>
          </w:tcPr>
          <w:p w:rsidR="000938C1" w:rsidRPr="002E2E69" w:rsidRDefault="000938C1" w:rsidP="00DC30BE">
            <w:pPr>
              <w:jc w:val="right"/>
              <w:rPr>
                <w:sz w:val="20"/>
                <w:szCs w:val="20"/>
              </w:rPr>
            </w:pPr>
            <w:r w:rsidRPr="002E2E69">
              <w:rPr>
                <w:sz w:val="20"/>
                <w:szCs w:val="20"/>
              </w:rPr>
              <w:t>1 225,0</w:t>
            </w:r>
          </w:p>
        </w:tc>
        <w:tc>
          <w:tcPr>
            <w:tcW w:w="1390" w:type="dxa"/>
            <w:noWrap/>
            <w:vAlign w:val="bottom"/>
          </w:tcPr>
          <w:p w:rsidR="000938C1" w:rsidRPr="002E2E69" w:rsidRDefault="000938C1" w:rsidP="00DC30BE">
            <w:pPr>
              <w:jc w:val="right"/>
              <w:rPr>
                <w:sz w:val="20"/>
                <w:szCs w:val="20"/>
              </w:rPr>
            </w:pPr>
            <w:r w:rsidRPr="002E2E69">
              <w:rPr>
                <w:sz w:val="20"/>
                <w:szCs w:val="20"/>
              </w:rPr>
              <w:t>9,5</w:t>
            </w:r>
          </w:p>
        </w:tc>
        <w:tc>
          <w:tcPr>
            <w:tcW w:w="834" w:type="dxa"/>
            <w:noWrap/>
            <w:vAlign w:val="bottom"/>
          </w:tcPr>
          <w:p w:rsidR="000938C1" w:rsidRPr="002E2E69" w:rsidRDefault="000938C1" w:rsidP="00CC607C">
            <w:pPr>
              <w:jc w:val="right"/>
              <w:rPr>
                <w:sz w:val="20"/>
                <w:szCs w:val="20"/>
              </w:rPr>
            </w:pPr>
            <w:r w:rsidRPr="002E2E69">
              <w:rPr>
                <w:sz w:val="20"/>
                <w:szCs w:val="20"/>
              </w:rPr>
              <w:t>32</w:t>
            </w:r>
            <w:r>
              <w:rPr>
                <w:sz w:val="20"/>
                <w:szCs w:val="20"/>
              </w:rPr>
              <w:t>,6</w:t>
            </w:r>
          </w:p>
        </w:tc>
        <w:tc>
          <w:tcPr>
            <w:tcW w:w="1440" w:type="dxa"/>
            <w:noWrap/>
            <w:vAlign w:val="bottom"/>
          </w:tcPr>
          <w:p w:rsidR="000938C1" w:rsidRPr="002E2E69" w:rsidRDefault="000938C1" w:rsidP="00DC30BE">
            <w:pPr>
              <w:jc w:val="right"/>
              <w:rPr>
                <w:iCs/>
                <w:sz w:val="20"/>
                <w:szCs w:val="20"/>
              </w:rPr>
            </w:pPr>
            <w:r w:rsidRPr="002E2E69">
              <w:rPr>
                <w:iCs/>
                <w:sz w:val="20"/>
                <w:szCs w:val="20"/>
              </w:rPr>
              <w:t>93,4</w:t>
            </w:r>
          </w:p>
        </w:tc>
        <w:tc>
          <w:tcPr>
            <w:tcW w:w="1834" w:type="dxa"/>
            <w:noWrap/>
            <w:vAlign w:val="bottom"/>
          </w:tcPr>
          <w:p w:rsidR="000938C1" w:rsidRPr="002E2E69" w:rsidRDefault="000938C1" w:rsidP="00DC30BE">
            <w:pPr>
              <w:jc w:val="right"/>
              <w:rPr>
                <w:iCs/>
                <w:sz w:val="20"/>
                <w:szCs w:val="20"/>
                <w:lang w:val="en-US"/>
              </w:rPr>
            </w:pPr>
            <w:r w:rsidRPr="002E2E69">
              <w:rPr>
                <w:iCs/>
                <w:sz w:val="20"/>
                <w:szCs w:val="20"/>
              </w:rPr>
              <w:t>117</w:t>
            </w:r>
            <w:r>
              <w:rPr>
                <w:iCs/>
                <w:sz w:val="20"/>
                <w:szCs w:val="20"/>
              </w:rPr>
              <w:t>,</w:t>
            </w:r>
            <w:r w:rsidRPr="002E2E69">
              <w:rPr>
                <w:iCs/>
                <w:sz w:val="20"/>
                <w:szCs w:val="20"/>
                <w:lang w:val="en-US"/>
              </w:rPr>
              <w:t>2</w:t>
            </w:r>
          </w:p>
        </w:tc>
      </w:tr>
      <w:tr w:rsidR="000938C1" w:rsidRPr="002E2E69" w:rsidTr="00DC30BE">
        <w:trPr>
          <w:trHeight w:val="262"/>
          <w:jc w:val="center"/>
        </w:trPr>
        <w:tc>
          <w:tcPr>
            <w:tcW w:w="3005" w:type="dxa"/>
            <w:noWrap/>
            <w:vAlign w:val="bottom"/>
          </w:tcPr>
          <w:p w:rsidR="000938C1" w:rsidRPr="002E2E69" w:rsidRDefault="000938C1" w:rsidP="00DC30BE">
            <w:pPr>
              <w:ind w:left="113" w:right="113"/>
              <w:jc w:val="both"/>
              <w:rPr>
                <w:bCs/>
                <w:sz w:val="20"/>
                <w:szCs w:val="20"/>
              </w:rPr>
            </w:pPr>
            <w:r w:rsidRPr="002E2E69">
              <w:rPr>
                <w:bCs/>
                <w:sz w:val="20"/>
                <w:szCs w:val="20"/>
              </w:rPr>
              <w:t xml:space="preserve">Горива и смазочни материали </w:t>
            </w:r>
          </w:p>
        </w:tc>
        <w:tc>
          <w:tcPr>
            <w:tcW w:w="1130" w:type="dxa"/>
            <w:noWrap/>
            <w:vAlign w:val="bottom"/>
          </w:tcPr>
          <w:p w:rsidR="000938C1" w:rsidRPr="002E2E69" w:rsidRDefault="000938C1" w:rsidP="00DC30BE">
            <w:pPr>
              <w:jc w:val="right"/>
              <w:rPr>
                <w:sz w:val="20"/>
                <w:szCs w:val="20"/>
              </w:rPr>
            </w:pPr>
            <w:r w:rsidRPr="002E2E69">
              <w:rPr>
                <w:sz w:val="20"/>
                <w:szCs w:val="20"/>
              </w:rPr>
              <w:t>1 683,9</w:t>
            </w:r>
          </w:p>
        </w:tc>
        <w:tc>
          <w:tcPr>
            <w:tcW w:w="1390" w:type="dxa"/>
            <w:noWrap/>
            <w:vAlign w:val="bottom"/>
          </w:tcPr>
          <w:p w:rsidR="000938C1" w:rsidRPr="002E2E69" w:rsidRDefault="000938C1" w:rsidP="00DC30BE">
            <w:pPr>
              <w:jc w:val="right"/>
              <w:rPr>
                <w:sz w:val="20"/>
                <w:szCs w:val="20"/>
              </w:rPr>
            </w:pPr>
            <w:r w:rsidRPr="002E2E69">
              <w:rPr>
                <w:sz w:val="20"/>
                <w:szCs w:val="20"/>
              </w:rPr>
              <w:t>-5,1</w:t>
            </w:r>
          </w:p>
        </w:tc>
        <w:tc>
          <w:tcPr>
            <w:tcW w:w="834" w:type="dxa"/>
            <w:noWrap/>
            <w:vAlign w:val="bottom"/>
          </w:tcPr>
          <w:p w:rsidR="000938C1" w:rsidRPr="002E2E69" w:rsidRDefault="000938C1" w:rsidP="00CC607C">
            <w:pPr>
              <w:jc w:val="right"/>
              <w:rPr>
                <w:sz w:val="20"/>
                <w:szCs w:val="20"/>
              </w:rPr>
            </w:pPr>
            <w:r w:rsidRPr="002E2E69">
              <w:rPr>
                <w:sz w:val="20"/>
                <w:szCs w:val="20"/>
              </w:rPr>
              <w:t>44</w:t>
            </w:r>
            <w:r>
              <w:rPr>
                <w:sz w:val="20"/>
                <w:szCs w:val="20"/>
              </w:rPr>
              <w:t>,7</w:t>
            </w:r>
          </w:p>
        </w:tc>
        <w:tc>
          <w:tcPr>
            <w:tcW w:w="1440" w:type="dxa"/>
            <w:noWrap/>
            <w:vAlign w:val="bottom"/>
          </w:tcPr>
          <w:p w:rsidR="000938C1" w:rsidRPr="002E2E69" w:rsidRDefault="000938C1" w:rsidP="00DC30BE">
            <w:pPr>
              <w:jc w:val="right"/>
              <w:rPr>
                <w:iCs/>
                <w:sz w:val="20"/>
                <w:szCs w:val="20"/>
              </w:rPr>
            </w:pPr>
            <w:r w:rsidRPr="002E2E69">
              <w:rPr>
                <w:iCs/>
                <w:sz w:val="20"/>
                <w:szCs w:val="20"/>
              </w:rPr>
              <w:t>93,5</w:t>
            </w:r>
          </w:p>
        </w:tc>
        <w:tc>
          <w:tcPr>
            <w:tcW w:w="1834" w:type="dxa"/>
            <w:noWrap/>
            <w:vAlign w:val="bottom"/>
          </w:tcPr>
          <w:p w:rsidR="000938C1" w:rsidRPr="002E2E69" w:rsidRDefault="000938C1" w:rsidP="00DC30BE">
            <w:pPr>
              <w:jc w:val="right"/>
              <w:rPr>
                <w:iCs/>
                <w:sz w:val="20"/>
                <w:szCs w:val="20"/>
                <w:lang w:val="en-US"/>
              </w:rPr>
            </w:pPr>
            <w:r w:rsidRPr="002E2E69">
              <w:rPr>
                <w:iCs/>
                <w:sz w:val="20"/>
                <w:szCs w:val="20"/>
              </w:rPr>
              <w:t>101</w:t>
            </w:r>
            <w:r>
              <w:rPr>
                <w:iCs/>
                <w:sz w:val="20"/>
                <w:szCs w:val="20"/>
              </w:rPr>
              <w:t>,</w:t>
            </w:r>
            <w:r w:rsidRPr="002E2E69">
              <w:rPr>
                <w:iCs/>
                <w:sz w:val="20"/>
                <w:szCs w:val="20"/>
                <w:lang w:val="en-US"/>
              </w:rPr>
              <w:t>5</w:t>
            </w:r>
          </w:p>
        </w:tc>
      </w:tr>
      <w:tr w:rsidR="000938C1" w:rsidRPr="002E2E69" w:rsidTr="00DC30BE">
        <w:trPr>
          <w:trHeight w:val="262"/>
          <w:jc w:val="center"/>
        </w:trPr>
        <w:tc>
          <w:tcPr>
            <w:tcW w:w="3005" w:type="dxa"/>
            <w:noWrap/>
            <w:vAlign w:val="bottom"/>
          </w:tcPr>
          <w:p w:rsidR="000938C1" w:rsidRPr="002E2E69" w:rsidRDefault="000938C1" w:rsidP="00DC30BE">
            <w:pPr>
              <w:ind w:left="113" w:right="113"/>
              <w:jc w:val="both"/>
              <w:rPr>
                <w:bCs/>
                <w:sz w:val="20"/>
                <w:szCs w:val="20"/>
              </w:rPr>
            </w:pPr>
            <w:r w:rsidRPr="002E2E69">
              <w:rPr>
                <w:bCs/>
                <w:sz w:val="20"/>
                <w:szCs w:val="20"/>
              </w:rPr>
              <w:t>Инвестиционни стоки</w:t>
            </w:r>
          </w:p>
        </w:tc>
        <w:tc>
          <w:tcPr>
            <w:tcW w:w="1130" w:type="dxa"/>
            <w:noWrap/>
            <w:vAlign w:val="bottom"/>
          </w:tcPr>
          <w:p w:rsidR="000938C1" w:rsidRPr="002E2E69" w:rsidRDefault="000938C1" w:rsidP="00DC30BE">
            <w:pPr>
              <w:jc w:val="right"/>
              <w:rPr>
                <w:sz w:val="20"/>
                <w:szCs w:val="20"/>
              </w:rPr>
            </w:pPr>
            <w:r w:rsidRPr="002E2E69">
              <w:rPr>
                <w:sz w:val="20"/>
                <w:szCs w:val="20"/>
              </w:rPr>
              <w:t>361,4</w:t>
            </w:r>
          </w:p>
        </w:tc>
        <w:tc>
          <w:tcPr>
            <w:tcW w:w="1390" w:type="dxa"/>
            <w:noWrap/>
            <w:vAlign w:val="bottom"/>
          </w:tcPr>
          <w:p w:rsidR="000938C1" w:rsidRPr="002E2E69" w:rsidRDefault="000938C1" w:rsidP="00DC30BE">
            <w:pPr>
              <w:jc w:val="right"/>
              <w:rPr>
                <w:sz w:val="20"/>
                <w:szCs w:val="20"/>
              </w:rPr>
            </w:pPr>
            <w:r w:rsidRPr="002E2E69">
              <w:rPr>
                <w:sz w:val="20"/>
                <w:szCs w:val="20"/>
              </w:rPr>
              <w:t>1,7</w:t>
            </w:r>
          </w:p>
        </w:tc>
        <w:tc>
          <w:tcPr>
            <w:tcW w:w="834" w:type="dxa"/>
            <w:noWrap/>
            <w:vAlign w:val="bottom"/>
          </w:tcPr>
          <w:p w:rsidR="000938C1" w:rsidRPr="002E2E69" w:rsidRDefault="000938C1" w:rsidP="00CC607C">
            <w:pPr>
              <w:jc w:val="right"/>
              <w:rPr>
                <w:sz w:val="20"/>
                <w:szCs w:val="20"/>
              </w:rPr>
            </w:pPr>
            <w:r w:rsidRPr="002E2E69">
              <w:rPr>
                <w:sz w:val="20"/>
                <w:szCs w:val="20"/>
              </w:rPr>
              <w:t>9</w:t>
            </w:r>
            <w:r>
              <w:rPr>
                <w:sz w:val="20"/>
                <w:szCs w:val="20"/>
              </w:rPr>
              <w:t>,6</w:t>
            </w:r>
          </w:p>
        </w:tc>
        <w:tc>
          <w:tcPr>
            <w:tcW w:w="1440" w:type="dxa"/>
            <w:noWrap/>
            <w:vAlign w:val="bottom"/>
          </w:tcPr>
          <w:p w:rsidR="000938C1" w:rsidRPr="002E2E69" w:rsidRDefault="000938C1" w:rsidP="00DC30BE">
            <w:pPr>
              <w:jc w:val="right"/>
              <w:rPr>
                <w:iCs/>
                <w:sz w:val="20"/>
                <w:szCs w:val="20"/>
              </w:rPr>
            </w:pPr>
            <w:r w:rsidRPr="002E2E69">
              <w:rPr>
                <w:iCs/>
                <w:sz w:val="20"/>
                <w:szCs w:val="20"/>
              </w:rPr>
              <w:t>98,4</w:t>
            </w:r>
          </w:p>
        </w:tc>
        <w:tc>
          <w:tcPr>
            <w:tcW w:w="1834" w:type="dxa"/>
            <w:noWrap/>
            <w:vAlign w:val="bottom"/>
          </w:tcPr>
          <w:p w:rsidR="000938C1" w:rsidRPr="002E2E69" w:rsidRDefault="000938C1" w:rsidP="00DC30BE">
            <w:pPr>
              <w:jc w:val="right"/>
              <w:rPr>
                <w:iCs/>
                <w:sz w:val="20"/>
                <w:szCs w:val="20"/>
                <w:lang w:val="en-US"/>
              </w:rPr>
            </w:pPr>
            <w:r w:rsidRPr="002E2E69">
              <w:rPr>
                <w:iCs/>
                <w:sz w:val="20"/>
                <w:szCs w:val="20"/>
              </w:rPr>
              <w:t>103</w:t>
            </w:r>
            <w:r>
              <w:rPr>
                <w:iCs/>
                <w:sz w:val="20"/>
                <w:szCs w:val="20"/>
              </w:rPr>
              <w:t>,</w:t>
            </w:r>
            <w:r w:rsidRPr="002E2E69">
              <w:rPr>
                <w:iCs/>
                <w:sz w:val="20"/>
                <w:szCs w:val="20"/>
                <w:lang w:val="en-US"/>
              </w:rPr>
              <w:t>3</w:t>
            </w:r>
          </w:p>
        </w:tc>
      </w:tr>
      <w:tr w:rsidR="000938C1" w:rsidRPr="002E2E69" w:rsidTr="00DC30BE">
        <w:trPr>
          <w:trHeight w:val="262"/>
          <w:jc w:val="center"/>
        </w:trPr>
        <w:tc>
          <w:tcPr>
            <w:tcW w:w="3005" w:type="dxa"/>
            <w:noWrap/>
            <w:vAlign w:val="bottom"/>
          </w:tcPr>
          <w:p w:rsidR="000938C1" w:rsidRPr="002E2E69" w:rsidRDefault="000938C1" w:rsidP="00DC30BE">
            <w:pPr>
              <w:ind w:left="113" w:right="113"/>
              <w:jc w:val="both"/>
              <w:rPr>
                <w:bCs/>
                <w:sz w:val="20"/>
                <w:szCs w:val="20"/>
              </w:rPr>
            </w:pPr>
            <w:r w:rsidRPr="002E2E69">
              <w:rPr>
                <w:bCs/>
                <w:sz w:val="20"/>
                <w:szCs w:val="20"/>
              </w:rPr>
              <w:t>Транспортно оборудване</w:t>
            </w:r>
          </w:p>
        </w:tc>
        <w:tc>
          <w:tcPr>
            <w:tcW w:w="1130" w:type="dxa"/>
            <w:noWrap/>
            <w:vAlign w:val="bottom"/>
          </w:tcPr>
          <w:p w:rsidR="000938C1" w:rsidRPr="002E2E69" w:rsidRDefault="000938C1" w:rsidP="00DC30BE">
            <w:pPr>
              <w:jc w:val="right"/>
              <w:rPr>
                <w:sz w:val="20"/>
                <w:szCs w:val="20"/>
              </w:rPr>
            </w:pPr>
            <w:r w:rsidRPr="002E2E69">
              <w:rPr>
                <w:sz w:val="20"/>
                <w:szCs w:val="20"/>
              </w:rPr>
              <w:t>133,3</w:t>
            </w:r>
          </w:p>
        </w:tc>
        <w:tc>
          <w:tcPr>
            <w:tcW w:w="1390" w:type="dxa"/>
            <w:noWrap/>
            <w:vAlign w:val="bottom"/>
          </w:tcPr>
          <w:p w:rsidR="000938C1" w:rsidRPr="002E2E69" w:rsidRDefault="000938C1" w:rsidP="00DC30BE">
            <w:pPr>
              <w:jc w:val="right"/>
              <w:rPr>
                <w:sz w:val="20"/>
                <w:szCs w:val="20"/>
              </w:rPr>
            </w:pPr>
            <w:r w:rsidRPr="002E2E69">
              <w:rPr>
                <w:sz w:val="20"/>
                <w:szCs w:val="20"/>
              </w:rPr>
              <w:t>2,8</w:t>
            </w:r>
          </w:p>
        </w:tc>
        <w:tc>
          <w:tcPr>
            <w:tcW w:w="834" w:type="dxa"/>
            <w:noWrap/>
            <w:vAlign w:val="bottom"/>
          </w:tcPr>
          <w:p w:rsidR="000938C1" w:rsidRPr="002E2E69" w:rsidRDefault="000938C1" w:rsidP="00DC30BE">
            <w:pPr>
              <w:jc w:val="right"/>
              <w:rPr>
                <w:sz w:val="20"/>
                <w:szCs w:val="20"/>
              </w:rPr>
            </w:pPr>
            <w:r w:rsidRPr="002E2E69">
              <w:rPr>
                <w:sz w:val="20"/>
                <w:szCs w:val="20"/>
              </w:rPr>
              <w:t>3</w:t>
            </w:r>
            <w:r>
              <w:rPr>
                <w:sz w:val="20"/>
                <w:szCs w:val="20"/>
              </w:rPr>
              <w:t>,</w:t>
            </w:r>
            <w:r w:rsidRPr="002E2E69">
              <w:rPr>
                <w:sz w:val="20"/>
                <w:szCs w:val="20"/>
              </w:rPr>
              <w:t>5</w:t>
            </w:r>
          </w:p>
        </w:tc>
        <w:tc>
          <w:tcPr>
            <w:tcW w:w="1440" w:type="dxa"/>
            <w:noWrap/>
            <w:vAlign w:val="bottom"/>
          </w:tcPr>
          <w:p w:rsidR="000938C1" w:rsidRPr="002E2E69" w:rsidRDefault="000938C1" w:rsidP="00DC30BE">
            <w:pPr>
              <w:jc w:val="right"/>
              <w:rPr>
                <w:iCs/>
                <w:sz w:val="20"/>
                <w:szCs w:val="20"/>
              </w:rPr>
            </w:pPr>
            <w:r w:rsidRPr="002E2E69">
              <w:rPr>
                <w:iCs/>
                <w:sz w:val="20"/>
                <w:szCs w:val="20"/>
              </w:rPr>
              <w:t>98,0</w:t>
            </w:r>
          </w:p>
        </w:tc>
        <w:tc>
          <w:tcPr>
            <w:tcW w:w="1834" w:type="dxa"/>
            <w:noWrap/>
            <w:vAlign w:val="bottom"/>
          </w:tcPr>
          <w:p w:rsidR="000938C1" w:rsidRPr="002E2E69" w:rsidRDefault="000938C1" w:rsidP="00DC30BE">
            <w:pPr>
              <w:jc w:val="right"/>
              <w:rPr>
                <w:iCs/>
                <w:sz w:val="20"/>
                <w:szCs w:val="20"/>
                <w:lang w:val="en-US"/>
              </w:rPr>
            </w:pPr>
            <w:r w:rsidRPr="002E2E69">
              <w:rPr>
                <w:iCs/>
                <w:sz w:val="20"/>
                <w:szCs w:val="20"/>
              </w:rPr>
              <w:t>10</w:t>
            </w:r>
            <w:r w:rsidRPr="002E2E69">
              <w:rPr>
                <w:iCs/>
                <w:sz w:val="20"/>
                <w:szCs w:val="20"/>
                <w:lang w:val="en-US"/>
              </w:rPr>
              <w:t>4</w:t>
            </w:r>
            <w:r>
              <w:rPr>
                <w:iCs/>
                <w:sz w:val="20"/>
                <w:szCs w:val="20"/>
              </w:rPr>
              <w:t>,</w:t>
            </w:r>
            <w:r w:rsidRPr="002E2E69">
              <w:rPr>
                <w:iCs/>
                <w:sz w:val="20"/>
                <w:szCs w:val="20"/>
                <w:lang w:val="en-US"/>
              </w:rPr>
              <w:t>9</w:t>
            </w:r>
          </w:p>
        </w:tc>
      </w:tr>
      <w:tr w:rsidR="000938C1" w:rsidRPr="002E2E69" w:rsidTr="00DC30BE">
        <w:trPr>
          <w:trHeight w:val="262"/>
          <w:jc w:val="center"/>
        </w:trPr>
        <w:tc>
          <w:tcPr>
            <w:tcW w:w="3005" w:type="dxa"/>
            <w:noWrap/>
            <w:vAlign w:val="bottom"/>
          </w:tcPr>
          <w:p w:rsidR="000938C1" w:rsidRPr="002E2E69" w:rsidRDefault="000938C1" w:rsidP="00DC30BE">
            <w:pPr>
              <w:ind w:left="113" w:right="113"/>
              <w:jc w:val="both"/>
              <w:rPr>
                <w:bCs/>
                <w:sz w:val="20"/>
                <w:szCs w:val="20"/>
              </w:rPr>
            </w:pPr>
            <w:r w:rsidRPr="002E2E69">
              <w:rPr>
                <w:bCs/>
                <w:sz w:val="20"/>
                <w:szCs w:val="20"/>
              </w:rPr>
              <w:t>Потребителски стоки</w:t>
            </w:r>
          </w:p>
        </w:tc>
        <w:tc>
          <w:tcPr>
            <w:tcW w:w="1130" w:type="dxa"/>
            <w:noWrap/>
            <w:vAlign w:val="bottom"/>
          </w:tcPr>
          <w:p w:rsidR="000938C1" w:rsidRPr="002E2E69" w:rsidRDefault="000938C1" w:rsidP="00DC30BE">
            <w:pPr>
              <w:jc w:val="right"/>
              <w:rPr>
                <w:sz w:val="20"/>
                <w:szCs w:val="20"/>
              </w:rPr>
            </w:pPr>
            <w:r w:rsidRPr="002E2E69">
              <w:rPr>
                <w:sz w:val="20"/>
                <w:szCs w:val="20"/>
              </w:rPr>
              <w:t>217,1</w:t>
            </w:r>
          </w:p>
        </w:tc>
        <w:tc>
          <w:tcPr>
            <w:tcW w:w="1390" w:type="dxa"/>
            <w:noWrap/>
            <w:vAlign w:val="bottom"/>
          </w:tcPr>
          <w:p w:rsidR="000938C1" w:rsidRPr="002E2E69" w:rsidRDefault="000938C1" w:rsidP="00DC30BE">
            <w:pPr>
              <w:jc w:val="right"/>
              <w:rPr>
                <w:sz w:val="20"/>
                <w:szCs w:val="20"/>
              </w:rPr>
            </w:pPr>
            <w:r w:rsidRPr="002E2E69">
              <w:rPr>
                <w:sz w:val="20"/>
                <w:szCs w:val="20"/>
              </w:rPr>
              <w:t>13,4</w:t>
            </w:r>
          </w:p>
        </w:tc>
        <w:tc>
          <w:tcPr>
            <w:tcW w:w="834" w:type="dxa"/>
            <w:noWrap/>
            <w:vAlign w:val="bottom"/>
          </w:tcPr>
          <w:p w:rsidR="000938C1" w:rsidRPr="002E2E69" w:rsidRDefault="000938C1" w:rsidP="00CC607C">
            <w:pPr>
              <w:jc w:val="right"/>
              <w:rPr>
                <w:sz w:val="20"/>
                <w:szCs w:val="20"/>
              </w:rPr>
            </w:pPr>
            <w:r w:rsidRPr="002E2E69">
              <w:rPr>
                <w:sz w:val="20"/>
                <w:szCs w:val="20"/>
              </w:rPr>
              <w:t>5</w:t>
            </w:r>
            <w:r>
              <w:rPr>
                <w:sz w:val="20"/>
                <w:szCs w:val="20"/>
              </w:rPr>
              <w:t>,8</w:t>
            </w:r>
          </w:p>
        </w:tc>
        <w:tc>
          <w:tcPr>
            <w:tcW w:w="1440" w:type="dxa"/>
            <w:noWrap/>
            <w:vAlign w:val="bottom"/>
          </w:tcPr>
          <w:p w:rsidR="000938C1" w:rsidRPr="002E2E69" w:rsidRDefault="000938C1" w:rsidP="00DC30BE">
            <w:pPr>
              <w:jc w:val="right"/>
              <w:rPr>
                <w:iCs/>
                <w:sz w:val="20"/>
                <w:szCs w:val="20"/>
              </w:rPr>
            </w:pPr>
            <w:r w:rsidRPr="002E2E69">
              <w:rPr>
                <w:iCs/>
                <w:sz w:val="20"/>
                <w:szCs w:val="20"/>
              </w:rPr>
              <w:t>96,6</w:t>
            </w:r>
          </w:p>
        </w:tc>
        <w:tc>
          <w:tcPr>
            <w:tcW w:w="1834" w:type="dxa"/>
            <w:noWrap/>
            <w:vAlign w:val="bottom"/>
          </w:tcPr>
          <w:p w:rsidR="000938C1" w:rsidRPr="002E2E69" w:rsidRDefault="000938C1" w:rsidP="00DC30BE">
            <w:pPr>
              <w:jc w:val="right"/>
              <w:rPr>
                <w:iCs/>
                <w:sz w:val="20"/>
                <w:szCs w:val="20"/>
                <w:lang w:val="en-US"/>
              </w:rPr>
            </w:pPr>
            <w:r w:rsidRPr="002E2E69">
              <w:rPr>
                <w:iCs/>
                <w:sz w:val="20"/>
                <w:szCs w:val="20"/>
              </w:rPr>
              <w:t>117</w:t>
            </w:r>
            <w:r>
              <w:rPr>
                <w:iCs/>
                <w:sz w:val="20"/>
                <w:szCs w:val="20"/>
              </w:rPr>
              <w:t>,</w:t>
            </w:r>
            <w:r w:rsidRPr="002E2E69">
              <w:rPr>
                <w:iCs/>
                <w:sz w:val="20"/>
                <w:szCs w:val="20"/>
                <w:lang w:val="en-US"/>
              </w:rPr>
              <w:t>4</w:t>
            </w:r>
          </w:p>
        </w:tc>
      </w:tr>
      <w:tr w:rsidR="000938C1" w:rsidRPr="002E2E69" w:rsidTr="00DC30BE">
        <w:trPr>
          <w:trHeight w:val="262"/>
          <w:jc w:val="center"/>
        </w:trPr>
        <w:tc>
          <w:tcPr>
            <w:tcW w:w="3005" w:type="dxa"/>
            <w:noWrap/>
            <w:vAlign w:val="bottom"/>
          </w:tcPr>
          <w:p w:rsidR="000938C1" w:rsidRPr="002E2E69" w:rsidRDefault="000938C1" w:rsidP="00DC30BE">
            <w:pPr>
              <w:ind w:left="113" w:right="113"/>
              <w:jc w:val="both"/>
              <w:rPr>
                <w:b/>
                <w:bCs/>
                <w:sz w:val="20"/>
                <w:szCs w:val="20"/>
              </w:rPr>
            </w:pPr>
            <w:r w:rsidRPr="002E2E69">
              <w:rPr>
                <w:b/>
                <w:bCs/>
                <w:sz w:val="20"/>
                <w:szCs w:val="20"/>
              </w:rPr>
              <w:t>Общо</w:t>
            </w:r>
          </w:p>
        </w:tc>
        <w:tc>
          <w:tcPr>
            <w:tcW w:w="1130" w:type="dxa"/>
            <w:noWrap/>
            <w:vAlign w:val="bottom"/>
          </w:tcPr>
          <w:p w:rsidR="000938C1" w:rsidRPr="002E2E69" w:rsidRDefault="000938C1" w:rsidP="00CC607C">
            <w:pPr>
              <w:jc w:val="right"/>
              <w:rPr>
                <w:b/>
                <w:bCs/>
                <w:sz w:val="20"/>
                <w:szCs w:val="20"/>
              </w:rPr>
            </w:pPr>
            <w:r w:rsidRPr="002E2E69">
              <w:rPr>
                <w:b/>
                <w:bCs/>
                <w:sz w:val="20"/>
                <w:szCs w:val="20"/>
              </w:rPr>
              <w:t>3 </w:t>
            </w:r>
            <w:r>
              <w:rPr>
                <w:b/>
                <w:bCs/>
                <w:sz w:val="20"/>
                <w:szCs w:val="20"/>
              </w:rPr>
              <w:t>763</w:t>
            </w:r>
            <w:r w:rsidRPr="002E2E69">
              <w:rPr>
                <w:b/>
                <w:bCs/>
                <w:sz w:val="20"/>
                <w:szCs w:val="20"/>
              </w:rPr>
              <w:t>,3</w:t>
            </w:r>
          </w:p>
        </w:tc>
        <w:tc>
          <w:tcPr>
            <w:tcW w:w="1390" w:type="dxa"/>
            <w:noWrap/>
            <w:vAlign w:val="bottom"/>
          </w:tcPr>
          <w:p w:rsidR="000938C1" w:rsidRPr="002E2E69" w:rsidRDefault="000938C1" w:rsidP="00DC30BE">
            <w:pPr>
              <w:jc w:val="right"/>
              <w:rPr>
                <w:b/>
                <w:sz w:val="20"/>
                <w:szCs w:val="20"/>
              </w:rPr>
            </w:pPr>
            <w:r w:rsidRPr="002E2E69">
              <w:rPr>
                <w:b/>
                <w:sz w:val="20"/>
                <w:szCs w:val="20"/>
              </w:rPr>
              <w:t>2,1</w:t>
            </w:r>
          </w:p>
        </w:tc>
        <w:tc>
          <w:tcPr>
            <w:tcW w:w="834" w:type="dxa"/>
            <w:noWrap/>
            <w:vAlign w:val="bottom"/>
          </w:tcPr>
          <w:p w:rsidR="000938C1" w:rsidRPr="002E2E69" w:rsidRDefault="000938C1" w:rsidP="00DC30BE">
            <w:pPr>
              <w:jc w:val="right"/>
              <w:rPr>
                <w:b/>
                <w:bCs/>
                <w:sz w:val="20"/>
                <w:szCs w:val="20"/>
              </w:rPr>
            </w:pPr>
            <w:r w:rsidRPr="002E2E69">
              <w:rPr>
                <w:b/>
                <w:bCs/>
                <w:sz w:val="20"/>
                <w:szCs w:val="20"/>
              </w:rPr>
              <w:t>100</w:t>
            </w:r>
            <w:r>
              <w:rPr>
                <w:b/>
                <w:bCs/>
                <w:sz w:val="20"/>
                <w:szCs w:val="20"/>
              </w:rPr>
              <w:t>,</w:t>
            </w:r>
            <w:r w:rsidRPr="002E2E69">
              <w:rPr>
                <w:b/>
                <w:bCs/>
                <w:sz w:val="20"/>
                <w:szCs w:val="20"/>
              </w:rPr>
              <w:t>0</w:t>
            </w:r>
          </w:p>
        </w:tc>
        <w:tc>
          <w:tcPr>
            <w:tcW w:w="1440" w:type="dxa"/>
            <w:noWrap/>
            <w:vAlign w:val="bottom"/>
          </w:tcPr>
          <w:p w:rsidR="000938C1" w:rsidRPr="002E2E69" w:rsidRDefault="000938C1" w:rsidP="00DC30BE">
            <w:pPr>
              <w:jc w:val="right"/>
              <w:rPr>
                <w:b/>
                <w:bCs/>
                <w:iCs/>
                <w:sz w:val="20"/>
                <w:szCs w:val="20"/>
              </w:rPr>
            </w:pPr>
            <w:r w:rsidRPr="002E2E69">
              <w:rPr>
                <w:b/>
                <w:bCs/>
                <w:iCs/>
                <w:sz w:val="20"/>
                <w:szCs w:val="20"/>
              </w:rPr>
              <w:t>94,</w:t>
            </w:r>
            <w:r w:rsidRPr="002E2E69">
              <w:rPr>
                <w:b/>
                <w:bCs/>
                <w:iCs/>
                <w:sz w:val="20"/>
                <w:szCs w:val="20"/>
                <w:lang w:val="en-US"/>
              </w:rPr>
              <w:t>2</w:t>
            </w:r>
          </w:p>
        </w:tc>
        <w:tc>
          <w:tcPr>
            <w:tcW w:w="1834" w:type="dxa"/>
            <w:noWrap/>
            <w:vAlign w:val="bottom"/>
          </w:tcPr>
          <w:p w:rsidR="000938C1" w:rsidRPr="002E2E69" w:rsidRDefault="000938C1" w:rsidP="00DC30BE">
            <w:pPr>
              <w:jc w:val="right"/>
              <w:rPr>
                <w:b/>
                <w:bCs/>
                <w:iCs/>
                <w:sz w:val="20"/>
                <w:szCs w:val="20"/>
                <w:lang w:val="en-US"/>
              </w:rPr>
            </w:pPr>
            <w:r w:rsidRPr="002E2E69">
              <w:rPr>
                <w:b/>
                <w:bCs/>
                <w:iCs/>
                <w:sz w:val="20"/>
                <w:szCs w:val="20"/>
              </w:rPr>
              <w:t>109</w:t>
            </w:r>
            <w:r>
              <w:rPr>
                <w:b/>
                <w:bCs/>
                <w:iCs/>
                <w:sz w:val="20"/>
                <w:szCs w:val="20"/>
              </w:rPr>
              <w:t>,</w:t>
            </w:r>
            <w:r w:rsidRPr="002E2E69">
              <w:rPr>
                <w:b/>
                <w:bCs/>
                <w:iCs/>
                <w:sz w:val="20"/>
                <w:szCs w:val="20"/>
                <w:lang w:val="en-US"/>
              </w:rPr>
              <w:t>2</w:t>
            </w:r>
          </w:p>
        </w:tc>
      </w:tr>
    </w:tbl>
    <w:p w:rsidR="000938C1" w:rsidRPr="00CF1A14" w:rsidRDefault="000938C1" w:rsidP="00F30F79">
      <w:pPr>
        <w:jc w:val="both"/>
        <w:rPr>
          <w:color w:val="0070C0"/>
          <w:sz w:val="12"/>
          <w:szCs w:val="12"/>
        </w:rPr>
      </w:pPr>
      <w:r w:rsidRPr="00CF1A14">
        <w:rPr>
          <w:color w:val="0070C0"/>
          <w:sz w:val="12"/>
          <w:szCs w:val="12"/>
        </w:rPr>
        <w:tab/>
      </w:r>
      <w:r w:rsidRPr="00CF1A14">
        <w:rPr>
          <w:color w:val="0070C0"/>
          <w:sz w:val="12"/>
          <w:szCs w:val="12"/>
        </w:rPr>
        <w:tab/>
      </w:r>
      <w:r w:rsidRPr="00CF1A14">
        <w:rPr>
          <w:color w:val="0070C0"/>
          <w:sz w:val="12"/>
          <w:szCs w:val="12"/>
        </w:rPr>
        <w:tab/>
      </w:r>
      <w:r w:rsidRPr="00CF1A14">
        <w:rPr>
          <w:color w:val="0070C0"/>
          <w:sz w:val="12"/>
          <w:szCs w:val="12"/>
        </w:rPr>
        <w:tab/>
      </w:r>
      <w:r w:rsidRPr="00CF1A14">
        <w:rPr>
          <w:color w:val="0070C0"/>
          <w:sz w:val="12"/>
          <w:szCs w:val="12"/>
        </w:rPr>
        <w:tab/>
      </w:r>
      <w:r w:rsidRPr="00CF1A14">
        <w:rPr>
          <w:color w:val="0070C0"/>
          <w:sz w:val="12"/>
          <w:szCs w:val="12"/>
        </w:rPr>
        <w:tab/>
      </w:r>
      <w:r w:rsidRPr="00CF1A14">
        <w:rPr>
          <w:color w:val="0070C0"/>
          <w:sz w:val="12"/>
          <w:szCs w:val="12"/>
        </w:rPr>
        <w:tab/>
      </w:r>
      <w:r w:rsidRPr="00CF1A14">
        <w:rPr>
          <w:color w:val="0070C0"/>
          <w:sz w:val="12"/>
          <w:szCs w:val="12"/>
        </w:rPr>
        <w:tab/>
      </w:r>
      <w:r w:rsidRPr="00CF1A14">
        <w:rPr>
          <w:color w:val="0070C0"/>
          <w:sz w:val="12"/>
          <w:szCs w:val="12"/>
        </w:rPr>
        <w:tab/>
      </w:r>
      <w:r w:rsidRPr="00CF1A14">
        <w:rPr>
          <w:color w:val="0070C0"/>
          <w:sz w:val="12"/>
          <w:szCs w:val="12"/>
        </w:rPr>
        <w:tab/>
      </w:r>
    </w:p>
    <w:p w:rsidR="000938C1" w:rsidRPr="00060AB6" w:rsidRDefault="000938C1" w:rsidP="00F30F79">
      <w:pPr>
        <w:jc w:val="both"/>
      </w:pPr>
      <w:r w:rsidRPr="00060AB6">
        <w:rPr>
          <w:i/>
          <w:sz w:val="20"/>
          <w:szCs w:val="20"/>
        </w:rPr>
        <w:t>Източник: Агенция „Митници”</w:t>
      </w:r>
    </w:p>
    <w:p w:rsidR="000938C1" w:rsidRPr="007F37AD" w:rsidRDefault="000938C1" w:rsidP="00F30F79">
      <w:pPr>
        <w:jc w:val="both"/>
        <w:rPr>
          <w:i/>
          <w:sz w:val="12"/>
          <w:szCs w:val="12"/>
        </w:rPr>
      </w:pPr>
    </w:p>
    <w:p w:rsidR="000938C1" w:rsidRPr="008F0185" w:rsidRDefault="000938C1" w:rsidP="00187783">
      <w:pPr>
        <w:ind w:firstLine="540"/>
        <w:jc w:val="both"/>
        <w:rPr>
          <w:color w:val="0070C0"/>
        </w:rPr>
      </w:pPr>
      <w:r w:rsidRPr="008F0185">
        <w:t xml:space="preserve">През 2013 г. приходите от ДДС от внос на </w:t>
      </w:r>
      <w:r w:rsidRPr="008F0185">
        <w:rPr>
          <w:i/>
          <w:u w:val="single"/>
        </w:rPr>
        <w:t>„горива  и смазочни материали”</w:t>
      </w:r>
      <w:r w:rsidRPr="008F0185">
        <w:t xml:space="preserve"> са в размер на 1 683,9 млн. лв., като намаляват с 91,3 млн. лв. (5,1 %) спрямо предходната година. Постъпленията от внос на </w:t>
      </w:r>
      <w:r w:rsidRPr="008F0185">
        <w:rPr>
          <w:i/>
        </w:rPr>
        <w:t>суров петрол</w:t>
      </w:r>
      <w:r w:rsidRPr="008F0185">
        <w:t xml:space="preserve"> са в размер на 1 323,8 млн. лв., със 123,7 млн. лв. по-малко от 2012 г. (8,5 %). Намалението на приходите се дължи на спад на внесените количества суров петрол с 3,0 % (спад на приходите с 43,1 млн. лв.), намаление на цената с 2,4 %, измерена в щатски долари (спад на приходите с 32,8 млн. лв.) и на по-ниския валутен курс на щатския долар спрямо лева (спад на приходите от ДДС от внос на енергийната суровина с 47,9 млн. лв.). През 2013 г. приходите от ДДС от внос на </w:t>
      </w:r>
      <w:r w:rsidRPr="008F0185">
        <w:rPr>
          <w:i/>
        </w:rPr>
        <w:t>горива</w:t>
      </w:r>
      <w:r w:rsidRPr="008F0185">
        <w:t xml:space="preserve"> са в размер на 247,1 млн. лв., което е с 59,9 млн. лв. повече спрямо предходната година. Това се дължи на увеличения внос на смазочни масла, предназначени да претърпят специфична преработка от 97,9 млн. лв. на 156,9 млн. лв. (с 59,0 млн. лв.). Приходите от ДДС от внос на</w:t>
      </w:r>
      <w:r w:rsidRPr="008F0185">
        <w:rPr>
          <w:i/>
        </w:rPr>
        <w:t xml:space="preserve"> газьол</w:t>
      </w:r>
      <w:r w:rsidRPr="008F0185">
        <w:t xml:space="preserve"> възлизат на 74,8 млн.</w:t>
      </w:r>
      <w:r>
        <w:t xml:space="preserve"> </w:t>
      </w:r>
      <w:r w:rsidRPr="008F0185">
        <w:t xml:space="preserve">лв., като нарастването е с 0,3 млн. лв. на годишна база. При вноса на </w:t>
      </w:r>
      <w:r w:rsidRPr="008F0185">
        <w:rPr>
          <w:i/>
        </w:rPr>
        <w:t>каменни въглища</w:t>
      </w:r>
      <w:r w:rsidRPr="008F0185">
        <w:t xml:space="preserve"> се отчита спад на приходите от ДДС от внос, като са събрани 54,7 млн. лв., с 33,4 млн. лв. (37,9 %) по-малко спрямо 2012 г. Това се дължи основно на спад в количествата с 23,2 % и на цената с 19,5 %. </w:t>
      </w:r>
    </w:p>
    <w:p w:rsidR="000938C1" w:rsidRPr="008F0185" w:rsidRDefault="000938C1" w:rsidP="00F30F79">
      <w:pPr>
        <w:jc w:val="both"/>
        <w:rPr>
          <w:color w:val="0070C0"/>
          <w:sz w:val="4"/>
          <w:szCs w:val="4"/>
        </w:rPr>
      </w:pPr>
    </w:p>
    <w:p w:rsidR="000938C1" w:rsidRPr="008F0185" w:rsidRDefault="000938C1" w:rsidP="00F30F79">
      <w:pPr>
        <w:ind w:firstLine="540"/>
        <w:jc w:val="both"/>
      </w:pPr>
      <w:r w:rsidRPr="008F0185">
        <w:t xml:space="preserve">Приходите от ДДС от внос на </w:t>
      </w:r>
      <w:r w:rsidRPr="008F0185">
        <w:rPr>
          <w:i/>
          <w:u w:val="single"/>
        </w:rPr>
        <w:t>стоки, предназначени за междинно потребление</w:t>
      </w:r>
      <w:r w:rsidRPr="008F0185">
        <w:t xml:space="preserve"> са в размер на 1 225,0 млн. лв. и със 106,6 млн. лв. (9,5 %) повече спрямо 2012 г. В количествено изражение вносът на стоки, предназначен за междинно потребление, нараства средно със 17,2 %, а цените при внос намаляват с 6,6 %. Това е групата стоки, която отчита най-висок ръст на приходите от ДДС от внос в номинално изражение. През 2013 г. приходите от внос на </w:t>
      </w:r>
      <w:r w:rsidRPr="008F0185">
        <w:rPr>
          <w:i/>
        </w:rPr>
        <w:t xml:space="preserve">метали </w:t>
      </w:r>
      <w:r w:rsidRPr="008F0185">
        <w:t>представляват една трета от промишлените доставки. От внос на чугун, желязо и стомана в бюджета постъпват 212,6 млн. лв., което е с 22,1 млн. лв. (11,6 %) повече. Количествата се увеличават с 23,7 %, а цената намалява с 10,3 % на годишна база. При цветните метали приходите от ДДС от внос на промишлена мед достигат 90,9 млн. лв., отчитайки ръст от 7,3 млн. лв. (8,7 %) спрямо 2012 г. Количествата се увеличават с 20,9 %, а цената при внос намалява с 10,8 % на годишна база. От внос на алуминий в бюджета са постъпили 47,1 млн. лв. или с 16,1 млн. лв. (25,4 %) по-малко. Спадът на приходите се дължи на намалелите количества - с 22,9 % и цената - по-ниска с 3,4 %. Търговията с</w:t>
      </w:r>
      <w:r w:rsidRPr="008F0185">
        <w:rPr>
          <w:i/>
        </w:rPr>
        <w:t xml:space="preserve"> руди</w:t>
      </w:r>
      <w:r w:rsidRPr="008F0185">
        <w:t xml:space="preserve"> през изминалата година допринася в най-голяма степен за отчитането на ръст в приходите от ДДС от внос на стоки за междинно потребление. За годината са постъпили 213,0 млн.лв., което е с 60,2 млн. лв. (39,4 %) повече на годишна база. Това се дължи на увеличилите се с 48,6 % количества, като цената намалява с 6,3 %.  </w:t>
      </w:r>
      <w:r w:rsidRPr="008F0185">
        <w:rPr>
          <w:i/>
        </w:rPr>
        <w:t>Продуктите на химическата промишленост</w:t>
      </w:r>
      <w:r w:rsidRPr="008F0185">
        <w:t>, които попадат в групата на стоките предназначени за междинно потребление (органични химични продукти, торове, фармацевтични продукти и др.), представляват 11,3 %. Докато за 2012 г. те са основния двигател на приходите от ДДС от внос в групата промишлени доставки, през 2013 г. са събрани с 1,7 млн. лв. (1,2 %) по-малко и достигат 138,2 млн. лева.</w:t>
      </w:r>
    </w:p>
    <w:p w:rsidR="000938C1" w:rsidRPr="008F0185" w:rsidRDefault="000938C1" w:rsidP="00F30F79">
      <w:pPr>
        <w:ind w:firstLine="540"/>
        <w:jc w:val="both"/>
        <w:rPr>
          <w:sz w:val="4"/>
          <w:szCs w:val="4"/>
        </w:rPr>
      </w:pPr>
    </w:p>
    <w:p w:rsidR="000938C1" w:rsidRPr="008F0185" w:rsidRDefault="000938C1" w:rsidP="00F30F79">
      <w:pPr>
        <w:ind w:firstLine="540"/>
        <w:jc w:val="both"/>
      </w:pPr>
      <w:r w:rsidRPr="008F0185">
        <w:t xml:space="preserve">Приходите от ДДС от внос на </w:t>
      </w:r>
      <w:r w:rsidRPr="008F0185">
        <w:rPr>
          <w:i/>
          <w:u w:val="single"/>
        </w:rPr>
        <w:t>инвестиционни стоки и транспортно оборудване</w:t>
      </w:r>
      <w:r w:rsidRPr="008F0185">
        <w:t xml:space="preserve"> са в размер на 494,7 млн.</w:t>
      </w:r>
      <w:r>
        <w:rPr>
          <w:lang w:val="en-US"/>
        </w:rPr>
        <w:t xml:space="preserve"> </w:t>
      </w:r>
      <w:r w:rsidRPr="008F0185">
        <w:t>лв., като нарастването спрямо 2012 г. е с 9,6 млн.</w:t>
      </w:r>
      <w:r>
        <w:rPr>
          <w:lang w:val="en-US"/>
        </w:rPr>
        <w:t xml:space="preserve"> </w:t>
      </w:r>
      <w:r w:rsidRPr="008F0185">
        <w:t>лв. (2,0</w:t>
      </w:r>
      <w:r>
        <w:rPr>
          <w:lang w:val="en-US"/>
        </w:rPr>
        <w:t xml:space="preserve"> </w:t>
      </w:r>
      <w:r w:rsidRPr="008F0185">
        <w:t>%). При инвестиционните стоки се наблюдава ръст на внесените количества стоки с 3,3</w:t>
      </w:r>
      <w:r>
        <w:t xml:space="preserve"> </w:t>
      </w:r>
      <w:r w:rsidRPr="008F0185">
        <w:t>% и по-ниски цени с 1,6</w:t>
      </w:r>
      <w:r>
        <w:rPr>
          <w:lang w:val="en-US"/>
        </w:rPr>
        <w:t xml:space="preserve"> </w:t>
      </w:r>
      <w:r w:rsidRPr="008F0185">
        <w:t>%. За 2013 г. са постъпили 361,4 млн. лв. или с 5,9 млн.</w:t>
      </w:r>
      <w:r>
        <w:t xml:space="preserve"> </w:t>
      </w:r>
      <w:r w:rsidRPr="008F0185">
        <w:t>лв. повече в сравнение с 2012 г. От внос на фотоволтаични клетки и елементи са постъпили едва 0,2 млн.</w:t>
      </w:r>
      <w:r>
        <w:t xml:space="preserve"> </w:t>
      </w:r>
      <w:r w:rsidRPr="008F0185">
        <w:t>лв. при 53,7 млн.</w:t>
      </w:r>
      <w:r>
        <w:rPr>
          <w:lang w:val="en-US"/>
        </w:rPr>
        <w:t xml:space="preserve"> </w:t>
      </w:r>
      <w:r w:rsidRPr="008F0185">
        <w:t xml:space="preserve">лв. година по-рано. От внос на </w:t>
      </w:r>
      <w:r w:rsidRPr="008F0185">
        <w:rPr>
          <w:i/>
        </w:rPr>
        <w:t>транспортно оборудване</w:t>
      </w:r>
      <w:r w:rsidRPr="008F0185">
        <w:t xml:space="preserve"> са постъпили 133,3 млн.</w:t>
      </w:r>
      <w:r>
        <w:rPr>
          <w:lang w:val="en-US"/>
        </w:rPr>
        <w:t xml:space="preserve"> </w:t>
      </w:r>
      <w:r w:rsidRPr="008F0185">
        <w:t>лв. или 3,7 млн.</w:t>
      </w:r>
      <w:r>
        <w:rPr>
          <w:lang w:val="en-US"/>
        </w:rPr>
        <w:t xml:space="preserve"> </w:t>
      </w:r>
      <w:r w:rsidRPr="008F0185">
        <w:t>лв. (2,8 %) повече на годишна база. Основно се внасят пътнически автомобили, части, принадлежности и гуми. Подобряването на бизнес средата, инвестиционната активност и вътрешното търсене могат да стимулират вноса на инвестиционни стоки и транспортно оборудване, което ще се отрази положително на приходите от ДДС от внос. Реализирането на европейски инвестиционни проекти и усвояването на финансови средства от тях е един от факторите, който поддържа вноса на инвестиционни стоки и носи допълнителни приходи в бюджета</w:t>
      </w:r>
      <w:r>
        <w:t>.</w:t>
      </w:r>
    </w:p>
    <w:p w:rsidR="000938C1" w:rsidRPr="008F0185" w:rsidRDefault="000938C1" w:rsidP="00F30F79">
      <w:pPr>
        <w:ind w:firstLine="540"/>
        <w:jc w:val="both"/>
        <w:rPr>
          <w:sz w:val="4"/>
          <w:szCs w:val="4"/>
        </w:rPr>
      </w:pPr>
    </w:p>
    <w:p w:rsidR="000938C1" w:rsidRPr="008F0185" w:rsidRDefault="000938C1" w:rsidP="00F30F79">
      <w:pPr>
        <w:ind w:firstLine="540"/>
        <w:jc w:val="both"/>
      </w:pPr>
      <w:r w:rsidRPr="008F0185">
        <w:t xml:space="preserve">През 2013 г. приходите от ДДС от внос на </w:t>
      </w:r>
      <w:r w:rsidRPr="008F0185">
        <w:rPr>
          <w:i/>
          <w:u w:val="single"/>
        </w:rPr>
        <w:t xml:space="preserve">храни и напитки </w:t>
      </w:r>
      <w:r w:rsidRPr="008F0185">
        <w:t>са в размер на 142,6 млн.</w:t>
      </w:r>
      <w:r>
        <w:rPr>
          <w:lang w:val="en-US"/>
        </w:rPr>
        <w:t xml:space="preserve"> </w:t>
      </w:r>
      <w:r w:rsidRPr="008F0185">
        <w:t>лв., с 27,1 млн.</w:t>
      </w:r>
      <w:r>
        <w:rPr>
          <w:lang w:val="en-US"/>
        </w:rPr>
        <w:t xml:space="preserve"> </w:t>
      </w:r>
      <w:r w:rsidRPr="008F0185">
        <w:t>лв. (23,4</w:t>
      </w:r>
      <w:r>
        <w:rPr>
          <w:lang w:val="en-US"/>
        </w:rPr>
        <w:t xml:space="preserve"> </w:t>
      </w:r>
      <w:r w:rsidRPr="008F0185">
        <w:t>%) повече на годишна база. Физическите обеми нарастват с 29,5</w:t>
      </w:r>
      <w:r>
        <w:rPr>
          <w:lang w:val="en-US"/>
        </w:rPr>
        <w:t xml:space="preserve"> </w:t>
      </w:r>
      <w:r w:rsidRPr="008F0185">
        <w:t>%, а цените намаляват с 4,7</w:t>
      </w:r>
      <w:r>
        <w:t xml:space="preserve"> </w:t>
      </w:r>
      <w:r w:rsidRPr="008F0185">
        <w:t>%. По групи стоки, приходите от ДДС от внос на захар са в размер на 30,8 млн.</w:t>
      </w:r>
      <w:r>
        <w:rPr>
          <w:lang w:val="en-US"/>
        </w:rPr>
        <w:t xml:space="preserve"> </w:t>
      </w:r>
      <w:r w:rsidRPr="008F0185">
        <w:t>лв., с 19,9 млн.</w:t>
      </w:r>
      <w:r>
        <w:rPr>
          <w:lang w:val="en-US"/>
        </w:rPr>
        <w:t xml:space="preserve"> </w:t>
      </w:r>
      <w:r w:rsidRPr="008F0185">
        <w:t>лв.</w:t>
      </w:r>
      <w:r>
        <w:t xml:space="preserve"> </w:t>
      </w:r>
      <w:r w:rsidRPr="008F0185">
        <w:t>увеличение, което се дължи на тройно по-високото количество внесено през годината. От внос на зеленчуци са събрани 15,0</w:t>
      </w:r>
      <w:r>
        <w:rPr>
          <w:lang w:val="en-US"/>
        </w:rPr>
        <w:t xml:space="preserve"> </w:t>
      </w:r>
      <w:r w:rsidRPr="008F0185">
        <w:t>млн.</w:t>
      </w:r>
      <w:r>
        <w:rPr>
          <w:lang w:val="en-US"/>
        </w:rPr>
        <w:t xml:space="preserve"> </w:t>
      </w:r>
      <w:r w:rsidRPr="008F0185">
        <w:t>лв., при 13,2 млн.</w:t>
      </w:r>
      <w:r>
        <w:rPr>
          <w:lang w:val="en-US"/>
        </w:rPr>
        <w:t xml:space="preserve"> </w:t>
      </w:r>
      <w:r w:rsidRPr="008F0185">
        <w:t>лв. година по-рано. Преобладава внос</w:t>
      </w:r>
      <w:r>
        <w:t>ът</w:t>
      </w:r>
      <w:r w:rsidRPr="008F0185">
        <w:t xml:space="preserve"> на сухи бобови зеленчуци, домати и други зеленчуци. Вносът на плодове носи 12,4 млн.</w:t>
      </w:r>
      <w:r>
        <w:rPr>
          <w:lang w:val="en-US"/>
        </w:rPr>
        <w:t xml:space="preserve"> </w:t>
      </w:r>
      <w:r w:rsidRPr="008F0185">
        <w:t>лв. приходи от ДДС от внос или 8,1</w:t>
      </w:r>
      <w:r>
        <w:rPr>
          <w:lang w:val="en-US"/>
        </w:rPr>
        <w:t xml:space="preserve"> </w:t>
      </w:r>
      <w:r w:rsidRPr="008F0185">
        <w:t>% повече на годишна база. При тях</w:t>
      </w:r>
      <w:r>
        <w:t xml:space="preserve"> </w:t>
      </w:r>
      <w:r w:rsidRPr="008F0185">
        <w:t>основно, се внасят цитрусови плодове и банани.</w:t>
      </w:r>
    </w:p>
    <w:p w:rsidR="000938C1" w:rsidRPr="008F0185" w:rsidRDefault="000938C1" w:rsidP="00F30F79">
      <w:pPr>
        <w:ind w:firstLine="720"/>
        <w:jc w:val="both"/>
        <w:rPr>
          <w:color w:val="0070C0"/>
        </w:rPr>
      </w:pPr>
      <w:r w:rsidRPr="008F0185">
        <w:t xml:space="preserve">Постъпленията от ДДС от внос на </w:t>
      </w:r>
      <w:r w:rsidRPr="008F0185">
        <w:rPr>
          <w:i/>
          <w:u w:val="single"/>
        </w:rPr>
        <w:t>потребителски стоки</w:t>
      </w:r>
      <w:r w:rsidRPr="008F0185">
        <w:t xml:space="preserve"> са в размер на 217,1 млн.</w:t>
      </w:r>
      <w:r>
        <w:rPr>
          <w:lang w:val="en-US"/>
        </w:rPr>
        <w:t xml:space="preserve"> </w:t>
      </w:r>
      <w:r w:rsidRPr="008F0185">
        <w:t>лв., което е с 25,7 млн.</w:t>
      </w:r>
      <w:r>
        <w:t xml:space="preserve"> </w:t>
      </w:r>
      <w:r w:rsidRPr="008F0185">
        <w:t>лв. (13,4</w:t>
      </w:r>
      <w:r>
        <w:t xml:space="preserve"> </w:t>
      </w:r>
      <w:r w:rsidRPr="008F0185">
        <w:t>%) повече спрямо предходната година. В количествено изражение вносът е нараснал със 17,4</w:t>
      </w:r>
      <w:r>
        <w:t xml:space="preserve"> </w:t>
      </w:r>
      <w:r w:rsidRPr="008F0185">
        <w:t>%, а цените са намалели с 3,4</w:t>
      </w:r>
      <w:r>
        <w:t xml:space="preserve"> </w:t>
      </w:r>
      <w:r w:rsidRPr="008F0185">
        <w:t xml:space="preserve">%. Потребителските стоки могат да бъдат разделени на стоки с дълготрайна употреба (eл. уреди, машини, бижута, мебели и др.), </w:t>
      </w:r>
      <w:r>
        <w:t xml:space="preserve">стоки с </w:t>
      </w:r>
      <w:r w:rsidRPr="008F0185">
        <w:t>полудълготрайна</w:t>
      </w:r>
      <w:r>
        <w:t xml:space="preserve"> употреба</w:t>
      </w:r>
      <w:r w:rsidRPr="008F0185">
        <w:t xml:space="preserve"> (пластмасови артикули, облекла, обувки и др.) и </w:t>
      </w:r>
      <w:r>
        <w:t xml:space="preserve">стоки с </w:t>
      </w:r>
      <w:r w:rsidRPr="008F0185">
        <w:t>краткотрайна</w:t>
      </w:r>
      <w:r>
        <w:t xml:space="preserve"> употреба</w:t>
      </w:r>
      <w:r w:rsidRPr="008F0185">
        <w:t xml:space="preserve"> (медикаменти, препарати и др.). В стойностно и количествено изражение и при трите подгрупи се наблюдава ръст на вноса. </w:t>
      </w:r>
    </w:p>
    <w:p w:rsidR="000938C1" w:rsidRPr="00A352BF" w:rsidRDefault="000938C1" w:rsidP="007D5E67">
      <w:pPr>
        <w:pStyle w:val="Heading3"/>
        <w:numPr>
          <w:ilvl w:val="2"/>
          <w:numId w:val="72"/>
        </w:numPr>
        <w:rPr>
          <w:rFonts w:ascii="Times New Roman" w:hAnsi="Times New Roman" w:cs="Times New Roman"/>
          <w:sz w:val="24"/>
          <w:szCs w:val="24"/>
          <w:lang w:val="bg-BG"/>
        </w:rPr>
      </w:pPr>
      <w:bookmarkStart w:id="135" w:name="_Toc324863409"/>
      <w:bookmarkStart w:id="136" w:name="_Toc326315901"/>
      <w:bookmarkStart w:id="137" w:name="_Toc357527086"/>
      <w:bookmarkStart w:id="138" w:name="_Toc393728060"/>
      <w:r w:rsidRPr="00A352BF">
        <w:rPr>
          <w:rFonts w:ascii="Times New Roman" w:hAnsi="Times New Roman" w:cs="Times New Roman"/>
          <w:sz w:val="24"/>
          <w:szCs w:val="24"/>
          <w:lang w:val="bg-BG"/>
        </w:rPr>
        <w:t>Акцизи</w:t>
      </w:r>
      <w:bookmarkEnd w:id="133"/>
      <w:bookmarkEnd w:id="135"/>
      <w:bookmarkEnd w:id="136"/>
      <w:bookmarkEnd w:id="137"/>
      <w:bookmarkEnd w:id="138"/>
    </w:p>
    <w:p w:rsidR="000938C1" w:rsidRPr="00CF1A14" w:rsidRDefault="000938C1" w:rsidP="00F30F79">
      <w:pPr>
        <w:pStyle w:val="BodyText"/>
        <w:ind w:firstLine="720"/>
        <w:jc w:val="both"/>
        <w:rPr>
          <w:color w:val="0070C0"/>
        </w:rPr>
      </w:pPr>
      <w:r w:rsidRPr="00A352BF">
        <w:t xml:space="preserve">Касовото нетно изпълнение на приходите от акцизи от внос, производство и </w:t>
      </w:r>
      <w:r w:rsidRPr="003F5896">
        <w:t>внесени в страната от други държави-членки на ЕС акцизни стоки през 201</w:t>
      </w:r>
      <w:r w:rsidRPr="00187783">
        <w:rPr>
          <w:lang w:val="en-US"/>
        </w:rPr>
        <w:t>3</w:t>
      </w:r>
      <w:r w:rsidRPr="003F5896">
        <w:t xml:space="preserve"> г. възлиза на </w:t>
      </w:r>
      <w:bookmarkStart w:id="139" w:name="_Toc261276574"/>
      <w:r w:rsidRPr="003F5896">
        <w:t>4 055,8 млн. лв., което представлява 98,6 % от предвидените в ЗДБРБ за 2013 г. и 5</w:t>
      </w:r>
      <w:r>
        <w:t>,</w:t>
      </w:r>
      <w:r w:rsidRPr="003F5896">
        <w:t xml:space="preserve">2 % от БВП. Акцизите формират 18,1 % от данъчните приходи по </w:t>
      </w:r>
      <w:r>
        <w:t>КФП</w:t>
      </w:r>
      <w:r w:rsidRPr="003F5896">
        <w:t xml:space="preserve"> за годината. Спрямо 2012</w:t>
      </w:r>
      <w:r>
        <w:t> </w:t>
      </w:r>
      <w:r w:rsidRPr="003F5896">
        <w:t>г. се наблюдава ръст на постъпленията от акцизи (нето) с 0,2 % или 8,0 млн. лева. Постъпленията от акцизи се фор</w:t>
      </w:r>
      <w:r w:rsidRPr="006771D0">
        <w:t>мират от следните основни стокови групи: горива (47,7</w:t>
      </w:r>
      <w:r>
        <w:t> </w:t>
      </w:r>
      <w:r w:rsidRPr="006771D0">
        <w:t>%); тютюневи изделия (44,5 %); алкохолни напитки и пиво (6,5 %) и други акцизни стоки – електрическа енергия, въглища и кокс (1</w:t>
      </w:r>
      <w:r>
        <w:t>,</w:t>
      </w:r>
      <w:r w:rsidRPr="006771D0">
        <w:t xml:space="preserve">3 %). </w:t>
      </w:r>
    </w:p>
    <w:p w:rsidR="000938C1" w:rsidRPr="00435EF3" w:rsidRDefault="000938C1" w:rsidP="00F30F79">
      <w:pPr>
        <w:pStyle w:val="BodyText"/>
        <w:jc w:val="both"/>
      </w:pPr>
      <w:r w:rsidRPr="00DC30BE">
        <w:rPr>
          <w:i/>
        </w:rPr>
        <w:t>-</w:t>
      </w:r>
      <w:r w:rsidRPr="00DC30BE">
        <w:rPr>
          <w:i/>
          <w:u w:val="single"/>
        </w:rPr>
        <w:t>Акцизите от горив</w:t>
      </w:r>
      <w:r w:rsidRPr="00DC30BE">
        <w:rPr>
          <w:u w:val="single"/>
        </w:rPr>
        <w:t>а</w:t>
      </w:r>
      <w:r w:rsidRPr="00DC30BE">
        <w:t xml:space="preserve"> възлизат на 1 933,6 млн. лв., което е с 0,3 % (6,3 млн. лв.) повече спрямо 2012 г. Основна част (69,2 %) от приходите в групата се формират от акцизи от</w:t>
      </w:r>
      <w:r>
        <w:t xml:space="preserve"> </w:t>
      </w:r>
      <w:r w:rsidRPr="00EB7418">
        <w:rPr>
          <w:i/>
        </w:rPr>
        <w:t>газьол</w:t>
      </w:r>
      <w:r w:rsidRPr="00EB7418">
        <w:t xml:space="preserve">. Нетните приходи от акциз от газьол за 2013 г. възлизат на 1 337,7 млн. лв. и бележат ръст от 0,5 % (6,9 млн. лв.) спрямо 2012 г. </w:t>
      </w:r>
      <w:r>
        <w:t xml:space="preserve">Брутният размер на събрания акциз през 2013 г. е 1 498,6 </w:t>
      </w:r>
      <w:r w:rsidRPr="001374D9">
        <w:rPr>
          <w:lang w:val="ru-RU"/>
        </w:rPr>
        <w:t>млн.</w:t>
      </w:r>
      <w:r>
        <w:rPr>
          <w:lang w:val="ru-RU"/>
        </w:rPr>
        <w:t xml:space="preserve"> </w:t>
      </w:r>
      <w:r w:rsidRPr="001374D9">
        <w:rPr>
          <w:lang w:val="ru-RU"/>
        </w:rPr>
        <w:t>лв</w:t>
      </w:r>
      <w:r>
        <w:rPr>
          <w:lang w:val="ru-RU"/>
        </w:rPr>
        <w:t>.</w:t>
      </w:r>
      <w:r>
        <w:t xml:space="preserve">, което е с 36,9 </w:t>
      </w:r>
      <w:r w:rsidRPr="001374D9">
        <w:rPr>
          <w:lang w:val="ru-RU"/>
        </w:rPr>
        <w:t>млн.</w:t>
      </w:r>
      <w:r>
        <w:rPr>
          <w:lang w:val="ru-RU"/>
        </w:rPr>
        <w:t xml:space="preserve"> </w:t>
      </w:r>
      <w:r w:rsidRPr="001374D9">
        <w:rPr>
          <w:lang w:val="ru-RU"/>
        </w:rPr>
        <w:t>лв</w:t>
      </w:r>
      <w:r>
        <w:rPr>
          <w:lang w:val="ru-RU"/>
        </w:rPr>
        <w:t>.</w:t>
      </w:r>
      <w:r>
        <w:t xml:space="preserve"> (2,5 %) повече спрямо 2012 година. Произведените и внесени количества газьол, за които е заплатен акциз, през изминалата година възлизат на 2 406,1 млн. литра и спрямо предходната година са без промяна. Размерът на възстановения акциз през 2013 г. за газьол е 160,9 </w:t>
      </w:r>
      <w:r w:rsidRPr="001374D9">
        <w:rPr>
          <w:lang w:val="ru-RU"/>
        </w:rPr>
        <w:t>млн.</w:t>
      </w:r>
      <w:r>
        <w:rPr>
          <w:lang w:val="ru-RU"/>
        </w:rPr>
        <w:t xml:space="preserve"> </w:t>
      </w:r>
      <w:r w:rsidRPr="001374D9">
        <w:rPr>
          <w:lang w:val="ru-RU"/>
        </w:rPr>
        <w:t>лв</w:t>
      </w:r>
      <w:r>
        <w:rPr>
          <w:lang w:val="ru-RU"/>
        </w:rPr>
        <w:t>.</w:t>
      </w:r>
      <w:r>
        <w:t xml:space="preserve"> при 130,8 </w:t>
      </w:r>
      <w:r w:rsidRPr="001374D9">
        <w:rPr>
          <w:lang w:val="ru-RU"/>
        </w:rPr>
        <w:t>млн.</w:t>
      </w:r>
      <w:r>
        <w:rPr>
          <w:lang w:val="ru-RU"/>
        </w:rPr>
        <w:t xml:space="preserve"> </w:t>
      </w:r>
      <w:r w:rsidRPr="001374D9">
        <w:rPr>
          <w:lang w:val="ru-RU"/>
        </w:rPr>
        <w:t>лв</w:t>
      </w:r>
      <w:r>
        <w:rPr>
          <w:lang w:val="ru-RU"/>
        </w:rPr>
        <w:t>.</w:t>
      </w:r>
      <w:r>
        <w:t xml:space="preserve"> година по-рано. Въведеното изискване от 01 януари 2010 г. за маркиране на горива, предназначени за отопление, облагани със ставка 50 лв./1000 л. се запази и през изминалата година. Средната ставка на газьола за 2013 г. е 620,4 лв./1000 л. при 605,3 лв./1000 л. за 2012 г. (с 2,5 % по-висока ставка). Ефектът от по-високата ставка на газьола върху приходите от акцизи през 2013 г. е оценен на 33,3 млн. лева.</w:t>
      </w:r>
      <w:r>
        <w:rPr>
          <w:lang w:val="en-US"/>
        </w:rPr>
        <w:t xml:space="preserve"> </w:t>
      </w:r>
      <w:r w:rsidRPr="007438E3">
        <w:t xml:space="preserve">Приходите от акцизи от </w:t>
      </w:r>
      <w:r w:rsidRPr="007438E3">
        <w:rPr>
          <w:i/>
        </w:rPr>
        <w:t>бензин</w:t>
      </w:r>
      <w:r w:rsidRPr="007438E3">
        <w:t xml:space="preserve"> представляват 22,7 % от приходите от акцизи от горива. Нетните приходи са в размер на 439,2 млн. лв. и намаляват с 5,1 % (23,9 млн. лв.) спрямо 2012 г. </w:t>
      </w:r>
      <w:r>
        <w:t>Намалението се дължи изцяло на спад във физическия обем на обложените с акциз бензини при непроменена акцизна ставка на бензина от 710</w:t>
      </w:r>
      <w:r>
        <w:rPr>
          <w:lang w:val="en-US"/>
        </w:rPr>
        <w:t xml:space="preserve"> </w:t>
      </w:r>
      <w:r>
        <w:t>лв./1000</w:t>
      </w:r>
      <w:r>
        <w:rPr>
          <w:lang w:val="en-US"/>
        </w:rPr>
        <w:t xml:space="preserve"> </w:t>
      </w:r>
      <w:r>
        <w:t xml:space="preserve">л. </w:t>
      </w:r>
      <w:r w:rsidRPr="007438E3">
        <w:t xml:space="preserve">Основните потребители на този вид гориво са предимно домакинствата. Нетните количества бензин за 2013 г. са 618,7 млн. литра и отчитат </w:t>
      </w:r>
      <w:r w:rsidRPr="00435EF3">
        <w:t xml:space="preserve">намаление с 5,1 % спрямо 2012 г. От 01.06.2012 г. е въведена акцизна ставка върху </w:t>
      </w:r>
      <w:r w:rsidRPr="00435EF3">
        <w:rPr>
          <w:i/>
        </w:rPr>
        <w:t>природния газ</w:t>
      </w:r>
      <w:r w:rsidRPr="00435EF3">
        <w:t>, използван като моторно гориво и като гориво за отопление, съответно, 0,85 лв./GJ и 0,10 лв./GJ. Природният газ, използван за битови нужди по смисъла на Закона за енергетиката е с нулев акциз. Приходите от акциз от природен газ  през 2013 г. са в размер на 16,2 млн. лева</w:t>
      </w:r>
      <w:r>
        <w:t>.</w:t>
      </w:r>
    </w:p>
    <w:p w:rsidR="000938C1" w:rsidRPr="00CF1A14" w:rsidRDefault="000938C1" w:rsidP="00F30F79">
      <w:pPr>
        <w:pStyle w:val="BodyText"/>
        <w:jc w:val="both"/>
        <w:rPr>
          <w:i/>
          <w:color w:val="0070C0"/>
        </w:rPr>
      </w:pPr>
      <w:r w:rsidRPr="00FE799F">
        <w:rPr>
          <w:i/>
        </w:rPr>
        <w:t xml:space="preserve">- </w:t>
      </w:r>
      <w:r w:rsidRPr="00FE799F">
        <w:rPr>
          <w:i/>
          <w:u w:val="single"/>
        </w:rPr>
        <w:t>Акцизите от тютюневи изделия</w:t>
      </w:r>
      <w:r>
        <w:rPr>
          <w:i/>
          <w:u w:val="single"/>
        </w:rPr>
        <w:t xml:space="preserve"> </w:t>
      </w:r>
      <w:r w:rsidRPr="00FE799F">
        <w:t>за</w:t>
      </w:r>
      <w:r>
        <w:t xml:space="preserve"> </w:t>
      </w:r>
      <w:r w:rsidRPr="00FE799F">
        <w:t xml:space="preserve">2013 г. са в размер на 1 803,8 млн. лв., </w:t>
      </w:r>
      <w:r>
        <w:t>като запазват нивото си от 2012 г. и формират 44,5 % от общите приходи от акцизи. Количеството на обложените с акциз цигари през 2013 г. намалява с 0,5 % (с 0,057 млн. къса по-малко) - от 11,57 млрд. къса през 2012 г. на 11,51 млрд. къса през 2013 г. Средните ставки на акциза на цигарите за двете сравнявани години са съответно 154,1 лв./1000 къса за 2012 г. и 154,4 лв./1000 къса за 2013 г. (0,2 % ръст на средните ставки). Най-предпочитаните ценови категории цигари за 2013 г. и 2012 г. остават непроменени и са съответно, с продажни цени – 4,30 лв.- 4,70 лв. Ръст в обложените количества цигари се отчита при кутиите с продажна цена 4,30 лв. и 4,60 лв., а спад в количествата с продажна цена  4,40 лв. и 4,70 лева.</w:t>
      </w:r>
      <w:r>
        <w:rPr>
          <w:lang w:val="en-US"/>
        </w:rPr>
        <w:t xml:space="preserve"> </w:t>
      </w:r>
      <w:r>
        <w:t>Акцизната ставка на тютюна за пушене през 2013 г. се запазва (152 лв./кг). Количествата тютюн за пушене, обложени с акциз през 2013 г.  нарастват с 21,6 % спрямо 2012 г. (от 134,7 тона през 2012 г. на 163,8 тона през 2013 г. – с 29,1 тона повече). Увеличението се дължи на факта, че голяма част от населението премина към пушенето на ръчно свити цигари от тютюн. При пурите обложените с акциз количества нарастват с 10,1 % или 0,7 млн. къса (от 7,3 млн. къса през 2012 г. на 8,0 млн. къса през 2013 година).</w:t>
      </w:r>
    </w:p>
    <w:p w:rsidR="000938C1" w:rsidRPr="00CF1A14" w:rsidRDefault="000938C1" w:rsidP="00F30F79">
      <w:pPr>
        <w:jc w:val="both"/>
        <w:rPr>
          <w:color w:val="0070C0"/>
        </w:rPr>
      </w:pPr>
      <w:r w:rsidRPr="009F717C">
        <w:rPr>
          <w:i/>
        </w:rPr>
        <w:t xml:space="preserve">- </w:t>
      </w:r>
      <w:r w:rsidRPr="009F717C">
        <w:rPr>
          <w:i/>
          <w:u w:val="single"/>
        </w:rPr>
        <w:t>Акцизите от алкохолни напитки (високоалкохолни на</w:t>
      </w:r>
      <w:r>
        <w:rPr>
          <w:i/>
          <w:u w:val="single"/>
        </w:rPr>
        <w:t>п</w:t>
      </w:r>
      <w:r w:rsidRPr="009F717C">
        <w:rPr>
          <w:i/>
          <w:u w:val="single"/>
        </w:rPr>
        <w:t>итки и бира)</w:t>
      </w:r>
      <w:r>
        <w:rPr>
          <w:i/>
          <w:u w:val="single"/>
        </w:rPr>
        <w:t xml:space="preserve"> </w:t>
      </w:r>
      <w:r w:rsidRPr="009F717C">
        <w:t>за 2013 г. възлизат на 264,4 млн. лв. и отчитат спад от 1</w:t>
      </w:r>
      <w:r>
        <w:t>,</w:t>
      </w:r>
      <w:r w:rsidRPr="009F717C">
        <w:t>3</w:t>
      </w:r>
      <w:r>
        <w:rPr>
          <w:lang w:val="en-US"/>
        </w:rPr>
        <w:t xml:space="preserve"> </w:t>
      </w:r>
      <w:r w:rsidRPr="009F717C">
        <w:t>% (с 3</w:t>
      </w:r>
      <w:r>
        <w:t>,</w:t>
      </w:r>
      <w:r w:rsidRPr="009F717C">
        <w:t xml:space="preserve">5 </w:t>
      </w:r>
      <w:r w:rsidRPr="009F717C">
        <w:rPr>
          <w:lang w:val="ru-RU"/>
        </w:rPr>
        <w:t>млн.</w:t>
      </w:r>
      <w:r>
        <w:rPr>
          <w:lang w:val="en-US"/>
        </w:rPr>
        <w:t xml:space="preserve"> </w:t>
      </w:r>
      <w:r w:rsidRPr="009F717C">
        <w:rPr>
          <w:lang w:val="ru-RU"/>
        </w:rPr>
        <w:t>лв.</w:t>
      </w:r>
      <w:r w:rsidRPr="009F717C">
        <w:t>) спрямо 2012</w:t>
      </w:r>
      <w:r>
        <w:rPr>
          <w:lang w:val="en-US"/>
        </w:rPr>
        <w:t xml:space="preserve"> </w:t>
      </w:r>
      <w:r w:rsidRPr="009F717C">
        <w:t>г., когато са събрани 267</w:t>
      </w:r>
      <w:r>
        <w:t>,</w:t>
      </w:r>
      <w:r w:rsidRPr="009F717C">
        <w:t xml:space="preserve">9 </w:t>
      </w:r>
      <w:r w:rsidRPr="001374D9">
        <w:rPr>
          <w:lang w:val="ru-RU"/>
        </w:rPr>
        <w:t>млн.</w:t>
      </w:r>
      <w:r>
        <w:rPr>
          <w:lang w:val="en-US"/>
        </w:rPr>
        <w:t xml:space="preserve"> </w:t>
      </w:r>
      <w:r w:rsidRPr="001374D9">
        <w:rPr>
          <w:lang w:val="ru-RU"/>
        </w:rPr>
        <w:t>л</w:t>
      </w:r>
      <w:r>
        <w:rPr>
          <w:lang w:val="ru-RU"/>
        </w:rPr>
        <w:t>е</w:t>
      </w:r>
      <w:r w:rsidRPr="001374D9">
        <w:rPr>
          <w:lang w:val="ru-RU"/>
        </w:rPr>
        <w:t>в</w:t>
      </w:r>
      <w:r>
        <w:rPr>
          <w:lang w:val="ru-RU"/>
        </w:rPr>
        <w:t>а.</w:t>
      </w:r>
      <w:r>
        <w:t xml:space="preserve"> Двете групи стоки формират 6,5 % от общите приходи от акцизи. Основна част от тях са приходите от акциз от </w:t>
      </w:r>
      <w:r w:rsidRPr="00F708CA">
        <w:rPr>
          <w:i/>
        </w:rPr>
        <w:t>високоалкохолни напитки</w:t>
      </w:r>
      <w:r>
        <w:t xml:space="preserve"> (185,7 </w:t>
      </w:r>
      <w:r w:rsidRPr="001374D9">
        <w:rPr>
          <w:lang w:val="ru-RU"/>
        </w:rPr>
        <w:t>млн.</w:t>
      </w:r>
      <w:r>
        <w:rPr>
          <w:lang w:val="en-US"/>
        </w:rPr>
        <w:t xml:space="preserve"> </w:t>
      </w:r>
      <w:r w:rsidRPr="001374D9">
        <w:rPr>
          <w:lang w:val="ru-RU"/>
        </w:rPr>
        <w:t>лв</w:t>
      </w:r>
      <w:r>
        <w:rPr>
          <w:lang w:val="ru-RU"/>
        </w:rPr>
        <w:t>.</w:t>
      </w:r>
      <w:r>
        <w:t xml:space="preserve">), които намаляват с 0,7 % (с 1,3 млн. лева). Количествата, обложени с акциз, намаляват с 0,6 % спрямо 2012 г. (от 170,7 хил. литра чист алкохол на 169,6 хил. литра чист алкохол - с 1,1 хил. литра по-малко). Постъпленията от акциз от </w:t>
      </w:r>
      <w:r w:rsidRPr="00F708CA">
        <w:rPr>
          <w:i/>
        </w:rPr>
        <w:t>бира</w:t>
      </w:r>
      <w:r>
        <w:t xml:space="preserve"> през 2013 г. са 78,7 </w:t>
      </w:r>
      <w:r w:rsidRPr="001374D9">
        <w:rPr>
          <w:lang w:val="ru-RU"/>
        </w:rPr>
        <w:t>млн.</w:t>
      </w:r>
      <w:r>
        <w:rPr>
          <w:lang w:val="en-US"/>
        </w:rPr>
        <w:t xml:space="preserve"> </w:t>
      </w:r>
      <w:r w:rsidRPr="001374D9">
        <w:rPr>
          <w:lang w:val="ru-RU"/>
        </w:rPr>
        <w:t>лв</w:t>
      </w:r>
      <w:r>
        <w:rPr>
          <w:lang w:val="ru-RU"/>
        </w:rPr>
        <w:t>.</w:t>
      </w:r>
      <w:r>
        <w:t xml:space="preserve">, което е с 2,7 % (2,2 </w:t>
      </w:r>
      <w:r w:rsidRPr="001374D9">
        <w:rPr>
          <w:lang w:val="ru-RU"/>
        </w:rPr>
        <w:t>млн.</w:t>
      </w:r>
      <w:r>
        <w:rPr>
          <w:lang w:val="en-US"/>
        </w:rPr>
        <w:t xml:space="preserve"> </w:t>
      </w:r>
      <w:r w:rsidRPr="001374D9">
        <w:rPr>
          <w:lang w:val="ru-RU"/>
        </w:rPr>
        <w:t>лв</w:t>
      </w:r>
      <w:r>
        <w:rPr>
          <w:lang w:val="ru-RU"/>
        </w:rPr>
        <w:t>.</w:t>
      </w:r>
      <w:r>
        <w:t>) по-малко на годишна база. Приходите от акциз от бира имат сравнително малък дял в общите приходи от акцизи (1,9 %). Количествата бира, обложени с акциз през 2013 г. са 54,0 млн. литра и отбелязват спад от 1,8 % (с 1,0 млн. литра по-малко).</w:t>
      </w:r>
    </w:p>
    <w:p w:rsidR="000938C1" w:rsidRPr="00CF1A14" w:rsidRDefault="000938C1" w:rsidP="00F30F79">
      <w:pPr>
        <w:jc w:val="both"/>
        <w:rPr>
          <w:color w:val="0070C0"/>
          <w:sz w:val="4"/>
          <w:szCs w:val="4"/>
        </w:rPr>
      </w:pPr>
    </w:p>
    <w:p w:rsidR="000938C1" w:rsidRPr="00795F19" w:rsidRDefault="000938C1" w:rsidP="00F30F79">
      <w:pPr>
        <w:jc w:val="both"/>
        <w:rPr>
          <w:lang w:val="ru-RU"/>
        </w:rPr>
      </w:pPr>
      <w:r w:rsidRPr="00795F19">
        <w:rPr>
          <w:i/>
        </w:rPr>
        <w:t xml:space="preserve">- </w:t>
      </w:r>
      <w:r w:rsidRPr="00795F19">
        <w:rPr>
          <w:i/>
          <w:u w:val="single"/>
        </w:rPr>
        <w:t>Приходите от други акцизни стоки - електрическа енергия, въглища и кокс</w:t>
      </w:r>
      <w:r w:rsidRPr="00795F19">
        <w:rPr>
          <w:i/>
        </w:rPr>
        <w:t xml:space="preserve"> </w:t>
      </w:r>
      <w:r>
        <w:rPr>
          <w:i/>
        </w:rPr>
        <w:t>–</w:t>
      </w:r>
      <w:r w:rsidRPr="00795F19">
        <w:t xml:space="preserve"> за</w:t>
      </w:r>
      <w:r>
        <w:t xml:space="preserve"> </w:t>
      </w:r>
      <w:r w:rsidRPr="00795F19">
        <w:t>2013 г. са в размер на 38,0 млн. лева.</w:t>
      </w:r>
      <w:r>
        <w:t xml:space="preserve"> </w:t>
      </w:r>
      <w:r w:rsidRPr="00795F19">
        <w:t>Поради спад в потреблението на електроенергия те са по-малки от планираните с 6</w:t>
      </w:r>
      <w:r>
        <w:t>,</w:t>
      </w:r>
      <w:r w:rsidRPr="00795F19">
        <w:t xml:space="preserve">5 млн. лв. През 2013 г. е отчетено увеличение спрямо 2012 г. с 1,8 %. </w:t>
      </w:r>
    </w:p>
    <w:p w:rsidR="000938C1" w:rsidRPr="00795F19" w:rsidRDefault="000938C1" w:rsidP="00F30F79">
      <w:pPr>
        <w:jc w:val="both"/>
        <w:rPr>
          <w:lang w:val="ru-RU"/>
        </w:rPr>
      </w:pPr>
    </w:p>
    <w:p w:rsidR="000938C1" w:rsidRPr="00E800C5" w:rsidRDefault="000938C1" w:rsidP="007D5E67">
      <w:pPr>
        <w:pStyle w:val="Heading3"/>
        <w:numPr>
          <w:ilvl w:val="2"/>
          <w:numId w:val="72"/>
        </w:numPr>
        <w:rPr>
          <w:rFonts w:ascii="Times New Roman" w:hAnsi="Times New Roman" w:cs="Times New Roman"/>
          <w:sz w:val="24"/>
          <w:szCs w:val="24"/>
          <w:lang w:val="bg-BG"/>
        </w:rPr>
      </w:pPr>
      <w:bookmarkStart w:id="140" w:name="_Toc324863410"/>
      <w:bookmarkStart w:id="141" w:name="_Toc326315902"/>
      <w:bookmarkStart w:id="142" w:name="_Toc357527087"/>
      <w:bookmarkStart w:id="143" w:name="_Toc393728061"/>
      <w:r w:rsidRPr="00E800C5">
        <w:rPr>
          <w:rFonts w:ascii="Times New Roman" w:hAnsi="Times New Roman" w:cs="Times New Roman"/>
          <w:sz w:val="24"/>
          <w:szCs w:val="24"/>
          <w:lang w:val="bg-BG"/>
        </w:rPr>
        <w:t>Мита</w:t>
      </w:r>
      <w:bookmarkEnd w:id="139"/>
      <w:bookmarkEnd w:id="140"/>
      <w:bookmarkEnd w:id="141"/>
      <w:bookmarkEnd w:id="142"/>
      <w:bookmarkEnd w:id="143"/>
    </w:p>
    <w:p w:rsidR="000938C1" w:rsidRPr="00CF1A14" w:rsidRDefault="000938C1" w:rsidP="00F30F79">
      <w:pPr>
        <w:jc w:val="both"/>
        <w:rPr>
          <w:b/>
          <w:color w:val="0070C0"/>
          <w:sz w:val="8"/>
          <w:szCs w:val="8"/>
        </w:rPr>
      </w:pPr>
    </w:p>
    <w:p w:rsidR="000938C1" w:rsidRPr="00673D4D" w:rsidRDefault="000938C1" w:rsidP="00F30F79">
      <w:pPr>
        <w:spacing w:before="120"/>
        <w:ind w:firstLine="540"/>
        <w:jc w:val="both"/>
      </w:pPr>
      <w:bookmarkStart w:id="144" w:name="_Toc199730301"/>
      <w:bookmarkStart w:id="145" w:name="_Toc261276575"/>
      <w:r w:rsidRPr="00102C9A">
        <w:t>Постъпленията от мита за 2013 г. възлизат на 146,2 млн. лв., формират 0,2 % от БВП и представляват 121,8 % изпълнение на годишните разчети в ЗДБРБ. Спрямо 2012 г. са постъпили с 28,5 млн. лв. (24,2 %) повече</w:t>
      </w:r>
      <w:r w:rsidRPr="00102C9A">
        <w:rPr>
          <w:color w:val="0070C0"/>
        </w:rPr>
        <w:t xml:space="preserve">. </w:t>
      </w:r>
      <w:bookmarkStart w:id="146" w:name="_Toc324863411"/>
      <w:bookmarkStart w:id="147" w:name="_Toc326315903"/>
      <w:bookmarkStart w:id="148" w:name="_Toc357527088"/>
      <w:r w:rsidRPr="00673D4D">
        <w:t>Повишението на приходите от мита основно се дължи на следните стокови групи: „Захар и захарни изделия” – 7,9 млн. лв., „Машини и апарати” – 2,5 млн. лв., „Облекла и допълнения за облекла, различни от трикотажните или плетените” – 1,9 млн. лв. и „Електрически машини и апарати” – 1,5 млн. лева. Водещи са постъпленията от мита от следните стокови групи: автомобили, машини, захар и захарни изделия, електрически машини и апарати и пластмасови изделия. Техният дял в стоковата структура на приходите възлиза на 40,2 % от общия обем на митата.</w:t>
      </w:r>
      <w:r>
        <w:t xml:space="preserve"> </w:t>
      </w:r>
      <w:r w:rsidRPr="00673D4D">
        <w:t>Приходите от мита през 2013 г. се формират основно от внос на стоки с държави на произход Китай, Бразилия, Русия и Япония. Митата, събрани от внос на стоки с произход Китай, възлизат на 60,0 млн. лв. и са с 9,8 млн. лв. повече от тези за 2012 година. Те формират 4</w:t>
      </w:r>
      <w:r>
        <w:t>1,0</w:t>
      </w:r>
      <w:r w:rsidRPr="00673D4D">
        <w:t xml:space="preserve"> % от общия обем на митата за 2013 г. На второ място по приходи от мита е вноса на стоки с държава на произход Бразилия – 8,2 млн. лв. и относителен дял 6,1 %. Следват Русия – 7,3 млн. лв. (относителен дял 5,4 %) и Япония с 6,9 млн. лв. или 5,1 % относителен дял.</w:t>
      </w:r>
    </w:p>
    <w:p w:rsidR="000938C1" w:rsidRPr="00102C9A" w:rsidRDefault="000938C1" w:rsidP="00F30F79">
      <w:pPr>
        <w:spacing w:before="120"/>
        <w:ind w:firstLine="540"/>
        <w:jc w:val="both"/>
      </w:pPr>
      <w:r w:rsidRPr="00102C9A">
        <w:t>Делът на промишлените и селскостопанските стоки в приходите от мита за 201</w:t>
      </w:r>
      <w:r w:rsidRPr="00673D4D">
        <w:t>3</w:t>
      </w:r>
      <w:r w:rsidRPr="00102C9A">
        <w:t xml:space="preserve"> г. е съответно </w:t>
      </w:r>
      <w:r w:rsidRPr="00673D4D">
        <w:t xml:space="preserve">76 </w:t>
      </w:r>
      <w:r w:rsidRPr="00102C9A">
        <w:t>% и 2</w:t>
      </w:r>
      <w:r w:rsidRPr="00673D4D">
        <w:t xml:space="preserve">4 </w:t>
      </w:r>
      <w:r w:rsidRPr="00102C9A">
        <w:t xml:space="preserve">%. При промишлените стоки се наблюдава увеличение от </w:t>
      </w:r>
      <w:r w:rsidRPr="00673D4D">
        <w:t>9,</w:t>
      </w:r>
      <w:r w:rsidRPr="00102C9A">
        <w:t>8 % за 201</w:t>
      </w:r>
      <w:r w:rsidRPr="00673D4D">
        <w:t>3</w:t>
      </w:r>
      <w:r w:rsidRPr="00102C9A">
        <w:t xml:space="preserve"> г. спрямо предходната година (от 9</w:t>
      </w:r>
      <w:r w:rsidRPr="00673D4D">
        <w:t>3,7</w:t>
      </w:r>
      <w:r w:rsidRPr="00102C9A">
        <w:t xml:space="preserve"> млн. лв. през 201</w:t>
      </w:r>
      <w:r w:rsidRPr="00673D4D">
        <w:t>2</w:t>
      </w:r>
      <w:r w:rsidRPr="00102C9A">
        <w:t xml:space="preserve"> г. на </w:t>
      </w:r>
      <w:r w:rsidRPr="00673D4D">
        <w:t>102,9</w:t>
      </w:r>
      <w:r w:rsidRPr="00102C9A">
        <w:t xml:space="preserve"> млн. лв. през 201</w:t>
      </w:r>
      <w:r w:rsidRPr="00673D4D">
        <w:t>3</w:t>
      </w:r>
      <w:r w:rsidRPr="00102C9A">
        <w:t xml:space="preserve"> г.). При селскостопанските стоки ръстът е </w:t>
      </w:r>
      <w:r w:rsidRPr="00673D4D">
        <w:t>36,7</w:t>
      </w:r>
      <w:r>
        <w:t xml:space="preserve"> </w:t>
      </w:r>
      <w:r w:rsidRPr="00102C9A">
        <w:t xml:space="preserve">% (от </w:t>
      </w:r>
      <w:r w:rsidRPr="00673D4D">
        <w:t>23,9</w:t>
      </w:r>
      <w:r w:rsidRPr="00102C9A">
        <w:t xml:space="preserve"> млн. лв. през 201</w:t>
      </w:r>
      <w:r w:rsidRPr="00673D4D">
        <w:t>2</w:t>
      </w:r>
      <w:r w:rsidRPr="00102C9A">
        <w:t xml:space="preserve"> г. на 3</w:t>
      </w:r>
      <w:r w:rsidRPr="00673D4D">
        <w:t>2,7</w:t>
      </w:r>
      <w:r w:rsidRPr="00102C9A">
        <w:t xml:space="preserve"> млн. лв. през 201</w:t>
      </w:r>
      <w:r w:rsidRPr="00673D4D">
        <w:t>3</w:t>
      </w:r>
      <w:r w:rsidRPr="00102C9A">
        <w:t xml:space="preserve"> г.). Среднопретеглената ставка на митата за всички стоки от митническата тарифа е 5,</w:t>
      </w:r>
      <w:r w:rsidRPr="00673D4D">
        <w:t xml:space="preserve">3 </w:t>
      </w:r>
      <w:r w:rsidRPr="00102C9A">
        <w:t>% за 201</w:t>
      </w:r>
      <w:r w:rsidRPr="00673D4D">
        <w:t>3</w:t>
      </w:r>
      <w:r w:rsidRPr="00102C9A">
        <w:t xml:space="preserve"> г. (5,</w:t>
      </w:r>
      <w:r w:rsidRPr="00673D4D">
        <w:t>1</w:t>
      </w:r>
      <w:r w:rsidRPr="00102C9A">
        <w:t xml:space="preserve"> % за 201</w:t>
      </w:r>
      <w:r w:rsidRPr="00673D4D">
        <w:t>2</w:t>
      </w:r>
      <w:r w:rsidRPr="00102C9A">
        <w:t xml:space="preserve"> г.). Поотделно за селскостопанските и промишлените стоки средната ставка е, както следва:</w:t>
      </w:r>
    </w:p>
    <w:p w:rsidR="000938C1" w:rsidRPr="00102C9A" w:rsidRDefault="000938C1" w:rsidP="00F30F79">
      <w:pPr>
        <w:shd w:val="clear" w:color="auto" w:fill="FFFFFF"/>
        <w:ind w:firstLine="540"/>
        <w:jc w:val="both"/>
      </w:pPr>
      <w:r w:rsidRPr="00102C9A">
        <w:tab/>
        <w:t>- селскостопански стоки – 1</w:t>
      </w:r>
      <w:r w:rsidRPr="00673D4D">
        <w:t>1</w:t>
      </w:r>
      <w:r w:rsidRPr="00102C9A">
        <w:t>,</w:t>
      </w:r>
      <w:r w:rsidRPr="00673D4D">
        <w:t>9</w:t>
      </w:r>
      <w:r w:rsidRPr="00102C9A">
        <w:t xml:space="preserve"> %;</w:t>
      </w:r>
    </w:p>
    <w:p w:rsidR="000938C1" w:rsidRPr="00102C9A" w:rsidRDefault="000938C1" w:rsidP="00F30F79">
      <w:pPr>
        <w:ind w:firstLine="720"/>
        <w:jc w:val="both"/>
      </w:pPr>
      <w:r w:rsidRPr="00D05C99">
        <w:t>- промишлени стоки – 4</w:t>
      </w:r>
      <w:r w:rsidRPr="00102C9A">
        <w:t>,5 %.</w:t>
      </w:r>
    </w:p>
    <w:p w:rsidR="000938C1" w:rsidRPr="00102C9A" w:rsidRDefault="000938C1" w:rsidP="007D5E67">
      <w:pPr>
        <w:pStyle w:val="Heading3"/>
        <w:numPr>
          <w:ilvl w:val="2"/>
          <w:numId w:val="72"/>
        </w:numPr>
        <w:rPr>
          <w:rFonts w:ascii="Times New Roman" w:hAnsi="Times New Roman" w:cs="Times New Roman"/>
          <w:sz w:val="24"/>
          <w:szCs w:val="24"/>
          <w:lang w:val="bg-BG"/>
        </w:rPr>
      </w:pPr>
      <w:bookmarkStart w:id="149" w:name="_Toc393728062"/>
      <w:r w:rsidRPr="00102C9A">
        <w:rPr>
          <w:rFonts w:ascii="Times New Roman" w:hAnsi="Times New Roman" w:cs="Times New Roman"/>
          <w:sz w:val="24"/>
          <w:szCs w:val="24"/>
          <w:lang w:val="bg-BG"/>
        </w:rPr>
        <w:t>Данък върху застрахователните премии</w:t>
      </w:r>
      <w:bookmarkEnd w:id="146"/>
      <w:bookmarkEnd w:id="147"/>
      <w:bookmarkEnd w:id="148"/>
      <w:bookmarkEnd w:id="149"/>
    </w:p>
    <w:p w:rsidR="000938C1" w:rsidRPr="00102C9A" w:rsidRDefault="000938C1" w:rsidP="00F30F79">
      <w:pPr>
        <w:rPr>
          <w:color w:val="0070C0"/>
          <w:sz w:val="8"/>
          <w:szCs w:val="8"/>
        </w:rPr>
      </w:pPr>
    </w:p>
    <w:p w:rsidR="000938C1" w:rsidRPr="00102C9A" w:rsidRDefault="000938C1" w:rsidP="00F30F79">
      <w:pPr>
        <w:ind w:firstLine="720"/>
        <w:jc w:val="both"/>
      </w:pPr>
      <w:r w:rsidRPr="00102C9A">
        <w:t>Приходите от данък върху застрахователните премии по облагаеми застрахователни договори</w:t>
      </w:r>
      <w:r>
        <w:t>,</w:t>
      </w:r>
      <w:r w:rsidRPr="00102C9A">
        <w:t xml:space="preserve"> рисковете </w:t>
      </w:r>
      <w:r>
        <w:t xml:space="preserve">по </w:t>
      </w:r>
      <w:r w:rsidRPr="00102C9A">
        <w:t>които са поети от застрахователи</w:t>
      </w:r>
      <w:r>
        <w:t>,</w:t>
      </w:r>
      <w:r w:rsidRPr="00102C9A">
        <w:t xml:space="preserve"> са в размер на 22,3 млн. лв., при заложени в годишните разчети към ЗДБРБ за 2013 г. 28,1 млн. лева.</w:t>
      </w:r>
    </w:p>
    <w:p w:rsidR="000938C1" w:rsidRPr="00D05C99" w:rsidRDefault="000938C1" w:rsidP="007D5E67">
      <w:pPr>
        <w:pStyle w:val="Heading3"/>
        <w:numPr>
          <w:ilvl w:val="2"/>
          <w:numId w:val="72"/>
        </w:numPr>
        <w:rPr>
          <w:rFonts w:ascii="Times New Roman" w:hAnsi="Times New Roman" w:cs="Times New Roman"/>
          <w:sz w:val="24"/>
          <w:szCs w:val="24"/>
          <w:lang w:val="bg-BG"/>
        </w:rPr>
      </w:pPr>
      <w:bookmarkStart w:id="150" w:name="_Toc324863412"/>
      <w:bookmarkStart w:id="151" w:name="_Toc326315904"/>
      <w:bookmarkStart w:id="152" w:name="_Toc357527089"/>
      <w:bookmarkStart w:id="153" w:name="_Toc393728063"/>
      <w:r w:rsidRPr="00D05C99">
        <w:rPr>
          <w:rFonts w:ascii="Times New Roman" w:hAnsi="Times New Roman" w:cs="Times New Roman"/>
          <w:sz w:val="24"/>
          <w:szCs w:val="24"/>
          <w:lang w:val="bg-BG"/>
        </w:rPr>
        <w:t>Други данъци</w:t>
      </w:r>
      <w:bookmarkEnd w:id="144"/>
      <w:bookmarkEnd w:id="145"/>
      <w:bookmarkEnd w:id="150"/>
      <w:bookmarkEnd w:id="151"/>
      <w:bookmarkEnd w:id="152"/>
      <w:bookmarkEnd w:id="153"/>
    </w:p>
    <w:p w:rsidR="000938C1" w:rsidRPr="00102C9A" w:rsidRDefault="000938C1" w:rsidP="00F30F79">
      <w:pPr>
        <w:ind w:firstLine="900"/>
        <w:jc w:val="both"/>
        <w:rPr>
          <w:b/>
          <w:i/>
          <w:color w:val="0070C0"/>
          <w:sz w:val="12"/>
          <w:szCs w:val="12"/>
          <w:u w:val="single"/>
        </w:rPr>
      </w:pPr>
    </w:p>
    <w:p w:rsidR="000938C1" w:rsidRPr="00102C9A" w:rsidRDefault="000938C1" w:rsidP="00F30F79">
      <w:pPr>
        <w:ind w:firstLine="720"/>
        <w:jc w:val="both"/>
      </w:pPr>
      <w:r w:rsidRPr="00102C9A">
        <w:t xml:space="preserve">Другите данъци включват основно алтернативните данъци по ЗКПО и имуществените данъци по Закона за местните данъци и такси. Приходите от други данъци по КФП за 2013 г. са в размер на 817,9 млн. лв. (1,0 % от БВП) или 101,0 % изпълнение на ЗДБРБ за 2013 година. </w:t>
      </w:r>
    </w:p>
    <w:p w:rsidR="000938C1" w:rsidRPr="00102C9A" w:rsidRDefault="000938C1" w:rsidP="00F30F79">
      <w:pPr>
        <w:ind w:firstLine="360"/>
        <w:jc w:val="both"/>
        <w:rPr>
          <w:color w:val="0070C0"/>
          <w:sz w:val="12"/>
          <w:szCs w:val="12"/>
        </w:rPr>
      </w:pPr>
    </w:p>
    <w:p w:rsidR="000938C1" w:rsidRPr="00102C9A" w:rsidRDefault="000938C1" w:rsidP="00F30F79">
      <w:pPr>
        <w:ind w:firstLine="900"/>
        <w:jc w:val="both"/>
        <w:rPr>
          <w:b/>
          <w:i/>
          <w:u w:val="single"/>
        </w:rPr>
      </w:pPr>
      <w:r w:rsidRPr="00102C9A">
        <w:rPr>
          <w:b/>
          <w:i/>
          <w:u w:val="single"/>
        </w:rPr>
        <w:t>Други данъци по Закона за корпоративното подоходно облагане</w:t>
      </w:r>
    </w:p>
    <w:p w:rsidR="000938C1" w:rsidRPr="00102C9A" w:rsidRDefault="000938C1" w:rsidP="00F30F79">
      <w:pPr>
        <w:jc w:val="both"/>
        <w:rPr>
          <w:b/>
          <w:color w:val="0070C0"/>
          <w:sz w:val="8"/>
          <w:szCs w:val="8"/>
          <w:u w:val="single"/>
        </w:rPr>
      </w:pPr>
    </w:p>
    <w:p w:rsidR="000938C1" w:rsidRDefault="000938C1" w:rsidP="00F30F79">
      <w:pPr>
        <w:pStyle w:val="BodyText3"/>
        <w:tabs>
          <w:tab w:val="left" w:pos="180"/>
          <w:tab w:val="left" w:pos="9540"/>
          <w:tab w:val="left" w:pos="9900"/>
        </w:tabs>
        <w:spacing w:before="120"/>
        <w:ind w:right="3" w:firstLine="540"/>
        <w:jc w:val="both"/>
        <w:rPr>
          <w:sz w:val="24"/>
          <w:szCs w:val="24"/>
        </w:rPr>
      </w:pPr>
      <w:r w:rsidRPr="00102C9A">
        <w:rPr>
          <w:sz w:val="24"/>
          <w:szCs w:val="24"/>
        </w:rPr>
        <w:t>От началото на 2013 г. влязоха в сила законодателни промени, с оглед на които данъкът върху приходите на бюджетните предприятия, данъкът върху дейността от опериране на кораби и данъците върху разходите (социални, представителни, автомобили) стават годишни данъци и се внасят еднократно в срок до 31 март на следващата година.</w:t>
      </w:r>
      <w:r w:rsidRPr="004862DF">
        <w:rPr>
          <w:sz w:val="24"/>
          <w:szCs w:val="24"/>
        </w:rPr>
        <w:t xml:space="preserve"> През 2013</w:t>
      </w:r>
      <w:r>
        <w:rPr>
          <w:sz w:val="24"/>
          <w:szCs w:val="24"/>
        </w:rPr>
        <w:t xml:space="preserve"> </w:t>
      </w:r>
      <w:r w:rsidRPr="004862DF">
        <w:rPr>
          <w:sz w:val="24"/>
          <w:szCs w:val="24"/>
        </w:rPr>
        <w:t>г. от посочените данъци постъпваха само суми, дължими за 2012 г., а ежемесечно се внасяха данъците за хазартна дейност.</w:t>
      </w:r>
    </w:p>
    <w:p w:rsidR="000938C1" w:rsidRPr="008071A4" w:rsidRDefault="000938C1" w:rsidP="00F30F79">
      <w:pPr>
        <w:pStyle w:val="BodyText3"/>
        <w:tabs>
          <w:tab w:val="left" w:pos="180"/>
          <w:tab w:val="left" w:pos="9540"/>
          <w:tab w:val="left" w:pos="9900"/>
        </w:tabs>
        <w:spacing w:before="120"/>
        <w:ind w:right="3" w:firstLine="540"/>
        <w:jc w:val="both"/>
        <w:rPr>
          <w:sz w:val="24"/>
          <w:szCs w:val="24"/>
        </w:rPr>
      </w:pPr>
      <w:r w:rsidRPr="008071A4">
        <w:rPr>
          <w:sz w:val="24"/>
          <w:szCs w:val="24"/>
        </w:rPr>
        <w:t xml:space="preserve">През 2013 г. от други данъци по ЗКПО по </w:t>
      </w:r>
      <w:r>
        <w:rPr>
          <w:sz w:val="24"/>
          <w:szCs w:val="24"/>
        </w:rPr>
        <w:t>КФП</w:t>
      </w:r>
      <w:r w:rsidRPr="008071A4">
        <w:rPr>
          <w:sz w:val="24"/>
          <w:szCs w:val="24"/>
        </w:rPr>
        <w:t xml:space="preserve"> са постъпили 141,2 млн. лв., което представлява 108,4 % от годишния разчет, при 183,9 млн. лв. за 2012 година. Основната част от тези приходи (91,8 %) са формирани от окончателен данък върху залози за хазартни игри и хазартни съоръжения. Приходите от окончателните данъци върху залози за хазартни игри и върху хазартни съоръжения са в размер на 129,6 млн. лв. при 121,0 млн. лв. за 2012 година.</w:t>
      </w:r>
    </w:p>
    <w:p w:rsidR="000938C1" w:rsidRPr="00CF1A14" w:rsidRDefault="000938C1" w:rsidP="00F30F79">
      <w:pPr>
        <w:jc w:val="both"/>
        <w:rPr>
          <w:b/>
          <w:color w:val="0070C0"/>
          <w:sz w:val="8"/>
          <w:szCs w:val="8"/>
          <w:u w:val="single"/>
        </w:rPr>
      </w:pPr>
    </w:p>
    <w:p w:rsidR="000938C1" w:rsidRPr="004862DF" w:rsidRDefault="000938C1" w:rsidP="00F30F79">
      <w:pPr>
        <w:ind w:firstLine="900"/>
        <w:jc w:val="both"/>
        <w:rPr>
          <w:b/>
          <w:i/>
          <w:u w:val="single"/>
        </w:rPr>
      </w:pPr>
      <w:r w:rsidRPr="004862DF">
        <w:rPr>
          <w:b/>
          <w:i/>
          <w:u w:val="single"/>
        </w:rPr>
        <w:t>Имуществени данъци по Закона за местните данъци и такси (ЗМДТ)</w:t>
      </w:r>
    </w:p>
    <w:p w:rsidR="000938C1" w:rsidRPr="00CF1A14" w:rsidRDefault="000938C1" w:rsidP="00F30F79">
      <w:pPr>
        <w:jc w:val="both"/>
        <w:rPr>
          <w:b/>
          <w:color w:val="0070C0"/>
          <w:sz w:val="8"/>
          <w:szCs w:val="8"/>
          <w:u w:val="single"/>
        </w:rPr>
      </w:pPr>
    </w:p>
    <w:p w:rsidR="000938C1" w:rsidRPr="00CF1A14" w:rsidRDefault="000938C1" w:rsidP="00F30F79">
      <w:pPr>
        <w:ind w:right="23" w:firstLine="540"/>
        <w:jc w:val="both"/>
        <w:rPr>
          <w:color w:val="0070C0"/>
          <w:sz w:val="8"/>
          <w:szCs w:val="8"/>
        </w:rPr>
      </w:pPr>
    </w:p>
    <w:p w:rsidR="000938C1" w:rsidRDefault="000938C1" w:rsidP="00F30F79">
      <w:pPr>
        <w:pStyle w:val="BodyText3"/>
        <w:tabs>
          <w:tab w:val="left" w:pos="180"/>
          <w:tab w:val="left" w:pos="9540"/>
          <w:tab w:val="left" w:pos="9900"/>
        </w:tabs>
        <w:spacing w:before="120"/>
        <w:ind w:right="3" w:firstLine="540"/>
        <w:jc w:val="both"/>
        <w:rPr>
          <w:sz w:val="24"/>
          <w:szCs w:val="24"/>
        </w:rPr>
      </w:pPr>
      <w:r w:rsidRPr="00C430AE">
        <w:rPr>
          <w:bCs/>
          <w:sz w:val="24"/>
          <w:szCs w:val="24"/>
        </w:rPr>
        <w:t xml:space="preserve">Имуществените данъци включват данък върху недвижимите имоти, данък върху наследствата, данък върху превозните средства, данък върху придобиването на имущество по дарения и възмезден начин, туристически данък и постъпват по бюджетите на общините. </w:t>
      </w:r>
      <w:r w:rsidRPr="0062602D">
        <w:rPr>
          <w:sz w:val="24"/>
          <w:szCs w:val="24"/>
        </w:rPr>
        <w:t>Ставките на имуществените данъци се определят от общинските съвети в законово (съгласно Закона за местните данъци и такси) фиксирани граници и по ред, определен в Закона за общинските бюджети. Това дава добри възможности за гъвкаво управление на приходните политики от страна на общинската администрация.</w:t>
      </w:r>
    </w:p>
    <w:p w:rsidR="000938C1" w:rsidRDefault="000938C1" w:rsidP="00F30F79">
      <w:pPr>
        <w:pStyle w:val="BodyText3"/>
        <w:tabs>
          <w:tab w:val="left" w:pos="180"/>
          <w:tab w:val="left" w:pos="9540"/>
          <w:tab w:val="left" w:pos="9900"/>
        </w:tabs>
        <w:spacing w:before="120"/>
        <w:ind w:right="3" w:firstLine="540"/>
        <w:jc w:val="both"/>
        <w:rPr>
          <w:sz w:val="24"/>
          <w:szCs w:val="24"/>
        </w:rPr>
      </w:pPr>
    </w:p>
    <w:p w:rsidR="000938C1" w:rsidRPr="00CF1A14" w:rsidRDefault="000938C1" w:rsidP="00F30F79">
      <w:pPr>
        <w:pStyle w:val="BodyText3"/>
        <w:tabs>
          <w:tab w:val="left" w:pos="180"/>
          <w:tab w:val="left" w:pos="9540"/>
          <w:tab w:val="left" w:pos="9900"/>
        </w:tabs>
        <w:spacing w:before="120"/>
        <w:ind w:right="3"/>
        <w:jc w:val="both"/>
        <w:rPr>
          <w:color w:val="0070C0"/>
          <w:szCs w:val="24"/>
        </w:rPr>
      </w:pPr>
      <w:r w:rsidRPr="00656AB5">
        <w:rPr>
          <w:noProof/>
        </w:rPr>
        <w:object w:dxaOrig="9246" w:dyaOrig="5050">
          <v:shape id="Chart 16" o:spid="_x0000_i1041" type="#_x0000_t75" style="width:462pt;height:252.75pt;visibility:visible" o:ole="">
            <v:imagedata r:id="rId41" o:title="" cropbottom="-26f"/>
            <o:lock v:ext="edit" aspectratio="f"/>
          </v:shape>
          <o:OLEObject Type="Embed" ProgID="Excel.Chart.8" ShapeID="Chart 16" DrawAspect="Content" ObjectID="_1467645792" r:id="rId42"/>
        </w:object>
      </w:r>
    </w:p>
    <w:p w:rsidR="000938C1" w:rsidRPr="00296A14" w:rsidRDefault="000938C1" w:rsidP="00F30F79">
      <w:pPr>
        <w:pStyle w:val="BodyText"/>
        <w:widowControl w:val="0"/>
        <w:ind w:firstLine="720"/>
        <w:jc w:val="both"/>
      </w:pPr>
      <w:r>
        <w:rPr>
          <w:noProof/>
        </w:rPr>
        <w:pict>
          <v:rect id="Rectangle 3" o:spid="_x0000_s1026" style="position:absolute;left:0;text-align:left;margin-left:54pt;margin-top:-27pt;width:358pt;height:13.8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" filled="f" stroked="f">
            <v:textbox style="mso-fit-shape-to-text:t" inset="0,0,0,0">
              <w:txbxContent>
                <w:p w:rsidR="000938C1" w:rsidRPr="008A7234" w:rsidRDefault="000938C1" w:rsidP="00F30F79"/>
              </w:txbxContent>
            </v:textbox>
          </v:rect>
        </w:pict>
      </w:r>
      <w:r w:rsidRPr="00296A14">
        <w:rPr>
          <w:bCs/>
        </w:rPr>
        <w:t>От имуществени данъци в местните бюджети през 2013 г. са постъпили общо 673,5 млн. лв., 99,8 % от годишния разчет и с 47,0 млн. лв. (7,5 %) повече от тези за 2012 г. С най-значителен дял в приходите от имуществени данъци е данъкът върху недвижимите имоти – 38,5 %, следват данък при придобиване на имущество по дарения и възмезден начин и данък върху превозните средства – 29,6 % и туристически данък – 2,2 %.</w:t>
      </w:r>
      <w:r w:rsidRPr="00296A14">
        <w:t xml:space="preserve"> Данъкът върху наследствата, освен че има инцидентен характер, предвид нормативно определения изключително ограничен обхват, е от несъществено значение в общите приходи от имуществени данъци. </w:t>
      </w:r>
    </w:p>
    <w:p w:rsidR="000938C1" w:rsidRPr="00A12621" w:rsidRDefault="000938C1" w:rsidP="007D5E67">
      <w:pPr>
        <w:pStyle w:val="Heading3"/>
        <w:numPr>
          <w:ilvl w:val="2"/>
          <w:numId w:val="72"/>
        </w:numPr>
        <w:rPr>
          <w:rFonts w:ascii="Times New Roman" w:hAnsi="Times New Roman" w:cs="Times New Roman"/>
          <w:sz w:val="24"/>
          <w:szCs w:val="24"/>
          <w:lang w:val="bg-BG"/>
        </w:rPr>
      </w:pPr>
      <w:bookmarkStart w:id="154" w:name="_Toc261276576"/>
      <w:bookmarkStart w:id="155" w:name="_Toc324863413"/>
      <w:bookmarkStart w:id="156" w:name="_Toc326315905"/>
      <w:bookmarkStart w:id="157" w:name="_Toc357527090"/>
      <w:bookmarkStart w:id="158" w:name="_Toc393728064"/>
      <w:r w:rsidRPr="00296A14">
        <w:rPr>
          <w:rFonts w:ascii="Times New Roman" w:hAnsi="Times New Roman" w:cs="Times New Roman"/>
          <w:sz w:val="24"/>
          <w:szCs w:val="24"/>
          <w:lang w:val="bg-BG"/>
        </w:rPr>
        <w:t>Неданъчни приходи</w:t>
      </w:r>
      <w:bookmarkEnd w:id="154"/>
      <w:bookmarkEnd w:id="155"/>
      <w:bookmarkEnd w:id="156"/>
      <w:bookmarkEnd w:id="157"/>
      <w:bookmarkEnd w:id="158"/>
    </w:p>
    <w:p w:rsidR="000938C1" w:rsidRPr="00A12621" w:rsidRDefault="000938C1" w:rsidP="00F30F79">
      <w:pPr>
        <w:ind w:right="23" w:firstLine="540"/>
        <w:jc w:val="both"/>
        <w:rPr>
          <w:rFonts w:cs="TimesNewRomanPSMT"/>
        </w:rPr>
      </w:pPr>
      <w:bookmarkStart w:id="159" w:name="_Toc261276577"/>
      <w:r w:rsidRPr="00A12621">
        <w:t>Постъпленията от неданъчни приходи по</w:t>
      </w:r>
      <w:r w:rsidRPr="00A12621">
        <w:rPr>
          <w:i/>
          <w:u w:val="single"/>
        </w:rPr>
        <w:t xml:space="preserve"> КФП</w:t>
      </w:r>
      <w:r w:rsidRPr="00A12621">
        <w:t xml:space="preserve"> за 2013 г. възлизат на 3 950,</w:t>
      </w:r>
      <w:r>
        <w:t>5</w:t>
      </w:r>
      <w:r w:rsidRPr="00A12621">
        <w:t xml:space="preserve"> млн. лв. (104,1 % изпълнение </w:t>
      </w:r>
      <w:r>
        <w:t>спрямо</w:t>
      </w:r>
      <w:r w:rsidRPr="00A12621">
        <w:t xml:space="preserve"> предвидените в ЗДБРБ за 2013 г. и 5,1 % от БВП). Съпоставени с 2012 г. приходите са нараснали с 377,</w:t>
      </w:r>
      <w:r>
        <w:t>6</w:t>
      </w:r>
      <w:r w:rsidRPr="00A12621">
        <w:t xml:space="preserve"> млн. лева. В тази група приходи по КФП се включват </w:t>
      </w:r>
      <w:r w:rsidRPr="00A12621">
        <w:rPr>
          <w:rFonts w:ascii="TimesNewRomanPSMT" w:hAnsi="TimesNewRomanPSMT" w:cs="TimesNewRomanPSMT"/>
        </w:rPr>
        <w:t>държавни, общински и съдебни такси, приходи и доходи от общинска и държавна собственост, глоби, санкции и наказателни лихви, приходи от концесии, от дивидент и др.</w:t>
      </w:r>
    </w:p>
    <w:p w:rsidR="000938C1" w:rsidRPr="00CF1A14" w:rsidRDefault="000938C1" w:rsidP="00F30F79">
      <w:pPr>
        <w:ind w:right="23" w:firstLine="540"/>
        <w:jc w:val="both"/>
        <w:rPr>
          <w:rFonts w:cs="TimesNewRomanPSMT"/>
          <w:color w:val="0070C0"/>
          <w:sz w:val="8"/>
          <w:szCs w:val="8"/>
        </w:rPr>
      </w:pPr>
    </w:p>
    <w:p w:rsidR="000938C1" w:rsidRPr="0037581E" w:rsidRDefault="000938C1" w:rsidP="00F30F79">
      <w:pPr>
        <w:tabs>
          <w:tab w:val="left" w:pos="900"/>
        </w:tabs>
        <w:ind w:right="23" w:firstLine="720"/>
        <w:jc w:val="both"/>
      </w:pPr>
      <w:r w:rsidRPr="0037581E">
        <w:t>Неданъчните приходи по</w:t>
      </w:r>
      <w:r>
        <w:t xml:space="preserve"> </w:t>
      </w:r>
      <w:r w:rsidRPr="0037581E">
        <w:rPr>
          <w:i/>
          <w:u w:val="single"/>
        </w:rPr>
        <w:t>републиканския бюджет</w:t>
      </w:r>
      <w:r w:rsidRPr="0037581E">
        <w:t xml:space="preserve"> за 2013 г. са в размер на 2 218,1 млн. лв. или 107,3 % спрямо планираните за годината. Съпоставени с 2012 г. се отчита нарастване на постъпленията със 17,2 % или 325,7 млн. лв. През 2013 г. по републиканския бюджет постъпи годишната вноска от превишението на приходите над разходите на БНБ за 2012 г.  в размер на 105,8 млн. лева. </w:t>
      </w:r>
    </w:p>
    <w:p w:rsidR="000938C1" w:rsidRPr="0037581E" w:rsidRDefault="000938C1" w:rsidP="00F30F79">
      <w:pPr>
        <w:tabs>
          <w:tab w:val="left" w:pos="900"/>
        </w:tabs>
        <w:ind w:right="23" w:firstLine="720"/>
        <w:jc w:val="both"/>
        <w:rPr>
          <w:sz w:val="4"/>
          <w:szCs w:val="4"/>
        </w:rPr>
      </w:pPr>
    </w:p>
    <w:p w:rsidR="000938C1" w:rsidRPr="00673D4D" w:rsidRDefault="000938C1" w:rsidP="00F30F79">
      <w:pPr>
        <w:tabs>
          <w:tab w:val="left" w:pos="900"/>
        </w:tabs>
        <w:ind w:right="23" w:firstLine="720"/>
        <w:jc w:val="both"/>
        <w:rPr>
          <w:color w:val="0070C0"/>
          <w:lang w:val="en-US"/>
        </w:rPr>
      </w:pPr>
      <w:r w:rsidRPr="001B7EBE">
        <w:t xml:space="preserve">Изпълнението на неданъчните приходи по </w:t>
      </w:r>
      <w:r w:rsidRPr="001B7EBE">
        <w:rPr>
          <w:i/>
          <w:u w:val="single"/>
        </w:rPr>
        <w:t>централния бюджет</w:t>
      </w:r>
      <w:r w:rsidRPr="001B7EBE">
        <w:t xml:space="preserve"> за 2013 г. е в размер на 736,5 млн. лв. или 86,7 % от предвиденото за годината. Дивидентите по централния бюджет за 2013 г. са в размер на 502,4 млн. лв., при заложени в разчетите по ЗДБРБ за 2013 г. 419,2 млн. лв. и формират </w:t>
      </w:r>
      <w:r>
        <w:t>68,2</w:t>
      </w:r>
      <w:r w:rsidRPr="001B7EBE">
        <w:t xml:space="preserve"> % от общия размер на неданъчните приходи. </w:t>
      </w:r>
      <w:r w:rsidRPr="00703BAD">
        <w:t>Основната част от средствата от дивидент, постъпили в централния бюджет, са внесени от: „Български енергиен холдинг” ЕАД – 205,8 млн. лв., „Държавна консолидационна компания” ЕАД – 148,1 млн. лв., Държавно предприятие „Ръководство на въздушното движение” – 54,0 млн. лв., „Летище София” ЕАД – 16,2 млн. лв., „Кинтекс” ЕАД – 8,5 млн. лв. и други</w:t>
      </w:r>
      <w:r>
        <w:t>.</w:t>
      </w:r>
      <w:r>
        <w:rPr>
          <w:lang w:val="en-US"/>
        </w:rPr>
        <w:t xml:space="preserve"> </w:t>
      </w:r>
      <w:r>
        <w:t xml:space="preserve">През 2013 г. е получен дивидент и по линия на международна финансова институция - </w:t>
      </w:r>
      <w:r w:rsidRPr="00F540BF">
        <w:rPr>
          <w:szCs w:val="20"/>
          <w:lang w:eastAsia="en-US"/>
        </w:rPr>
        <w:t xml:space="preserve">Международната банка за икономическо сътрудничество </w:t>
      </w:r>
      <w:r>
        <w:rPr>
          <w:szCs w:val="20"/>
          <w:lang w:eastAsia="en-US"/>
        </w:rPr>
        <w:t>– в размер на</w:t>
      </w:r>
      <w:r w:rsidRPr="00F540BF">
        <w:t xml:space="preserve"> </w:t>
      </w:r>
      <w:r>
        <w:t>1,5 млн. лева</w:t>
      </w:r>
      <w:r w:rsidRPr="00F540BF">
        <w:t>.</w:t>
      </w:r>
    </w:p>
    <w:p w:rsidR="000938C1" w:rsidRPr="00CF1A14" w:rsidRDefault="000938C1" w:rsidP="00F30F79">
      <w:pPr>
        <w:tabs>
          <w:tab w:val="left" w:pos="900"/>
        </w:tabs>
        <w:ind w:right="23"/>
        <w:jc w:val="both"/>
        <w:rPr>
          <w:color w:val="0070C0"/>
          <w:sz w:val="4"/>
          <w:szCs w:val="4"/>
        </w:rPr>
      </w:pPr>
    </w:p>
    <w:p w:rsidR="000938C1" w:rsidRPr="00CF1A14" w:rsidRDefault="000938C1" w:rsidP="00F30F79">
      <w:pPr>
        <w:tabs>
          <w:tab w:val="left" w:pos="900"/>
        </w:tabs>
        <w:ind w:right="23" w:firstLine="720"/>
        <w:jc w:val="both"/>
        <w:rPr>
          <w:color w:val="0070C0"/>
        </w:rPr>
      </w:pPr>
      <w:r w:rsidRPr="0044576F">
        <w:t xml:space="preserve">Изпълнението на неданъчните приходи по бюджетите на </w:t>
      </w:r>
      <w:r w:rsidRPr="0044576F">
        <w:rPr>
          <w:i/>
          <w:u w:val="single"/>
        </w:rPr>
        <w:t>министерствата и ведомствата</w:t>
      </w:r>
      <w:r w:rsidRPr="0044576F">
        <w:t xml:space="preserve"> също е добро, като са постъпили 1 481,6 млн. лв., което е 121,7 % спрямо планираните със ЗИД на ЗДБРБ за 2013 г. средства. Това са главно приходи от държавни такси и приходи и доходи от собственост</w:t>
      </w:r>
      <w:r w:rsidRPr="00CF1A14">
        <w:rPr>
          <w:color w:val="0070C0"/>
        </w:rPr>
        <w:t xml:space="preserve">. </w:t>
      </w:r>
      <w:r w:rsidRPr="00C63B58">
        <w:t>С най-висок относителен дял в неданъчните приходи на министерствата и ведомствата (13,4 %) са приходите от винетни такси. През 201</w:t>
      </w:r>
      <w:r w:rsidRPr="00187783">
        <w:rPr>
          <w:lang w:val="en-US"/>
        </w:rPr>
        <w:t>3</w:t>
      </w:r>
      <w:r w:rsidRPr="00C63B58">
        <w:t xml:space="preserve"> г. те са в размер на </w:t>
      </w:r>
      <w:r w:rsidRPr="00187783">
        <w:rPr>
          <w:lang w:val="en-US"/>
        </w:rPr>
        <w:t>199</w:t>
      </w:r>
      <w:r w:rsidRPr="00C63B58">
        <w:t>,</w:t>
      </w:r>
      <w:r w:rsidRPr="00187783">
        <w:rPr>
          <w:lang w:val="en-US"/>
        </w:rPr>
        <w:t>0</w:t>
      </w:r>
      <w:r w:rsidRPr="00C63B58">
        <w:t xml:space="preserve"> млн. лева. По-голямата част от неданъчните приходи по републиканския бюджет са по бюджетите на следните министерства и ведомства</w:t>
      </w:r>
      <w:r w:rsidRPr="00CF1A14">
        <w:rPr>
          <w:color w:val="0070C0"/>
        </w:rPr>
        <w:t>:</w:t>
      </w:r>
    </w:p>
    <w:p w:rsidR="000938C1" w:rsidRPr="00CF1A14" w:rsidRDefault="000938C1" w:rsidP="00F30F79">
      <w:pPr>
        <w:tabs>
          <w:tab w:val="left" w:pos="900"/>
        </w:tabs>
        <w:ind w:right="23"/>
        <w:jc w:val="both"/>
        <w:rPr>
          <w:color w:val="0070C0"/>
          <w:sz w:val="10"/>
          <w:szCs w:val="10"/>
        </w:rPr>
      </w:pPr>
    </w:p>
    <w:p w:rsidR="000938C1" w:rsidRPr="00CF1A14" w:rsidRDefault="000938C1" w:rsidP="00F30F79">
      <w:pPr>
        <w:ind w:right="23"/>
        <w:jc w:val="center"/>
        <w:rPr>
          <w:color w:val="0070C0"/>
        </w:rPr>
      </w:pPr>
    </w:p>
    <w:p w:rsidR="000938C1" w:rsidRDefault="000938C1" w:rsidP="00F30F79">
      <w:pPr>
        <w:ind w:right="23"/>
        <w:jc w:val="center"/>
        <w:rPr>
          <w:noProof/>
          <w:color w:val="0070C0"/>
          <w:lang w:eastAsia="en-US"/>
        </w:rPr>
      </w:pPr>
      <w:r w:rsidRPr="00656AB5">
        <w:rPr>
          <w:noProof/>
        </w:rPr>
        <w:object w:dxaOrig="9073" w:dyaOrig="4292">
          <v:shape id="Chart 25" o:spid="_x0000_i1042" type="#_x0000_t75" style="width:453.75pt;height:214.5pt;visibility:visible" o:ole="">
            <v:imagedata r:id="rId43" o:title="" cropbottom="-31f"/>
            <o:lock v:ext="edit" aspectratio="f"/>
          </v:shape>
          <o:OLEObject Type="Embed" ProgID="Excel.Chart.8" ShapeID="Chart 25" DrawAspect="Content" ObjectID="_1467645793" r:id="rId44"/>
        </w:object>
      </w:r>
    </w:p>
    <w:p w:rsidR="000938C1" w:rsidRDefault="000938C1" w:rsidP="00F30F79">
      <w:pPr>
        <w:ind w:right="23"/>
        <w:jc w:val="center"/>
        <w:rPr>
          <w:color w:val="0070C0"/>
        </w:rPr>
      </w:pPr>
    </w:p>
    <w:p w:rsidR="000938C1" w:rsidRPr="001A1959" w:rsidRDefault="000938C1" w:rsidP="00F30F79">
      <w:pPr>
        <w:ind w:right="23"/>
        <w:jc w:val="center"/>
        <w:rPr>
          <w:color w:val="0070C0"/>
        </w:rPr>
      </w:pPr>
    </w:p>
    <w:p w:rsidR="000938C1" w:rsidRPr="00F6320D" w:rsidRDefault="000938C1" w:rsidP="00F30F79">
      <w:pPr>
        <w:pStyle w:val="BodyText"/>
        <w:numPr>
          <w:ilvl w:val="0"/>
          <w:numId w:val="16"/>
        </w:numPr>
        <w:spacing w:after="0"/>
        <w:ind w:left="0" w:firstLine="539"/>
        <w:jc w:val="both"/>
        <w:rPr>
          <w:bCs/>
          <w:color w:val="0070C0"/>
        </w:rPr>
      </w:pPr>
      <w:r w:rsidRPr="00F6320D">
        <w:rPr>
          <w:bCs/>
        </w:rPr>
        <w:t xml:space="preserve">МРР – постъпилите неданъчни приходи по бюджета на министерството са в размер на 279,4 млн.лв., в т.ч. 199,0 млн. лв. приходи от винетни такси за ползване на пътната инфраструктура и </w:t>
      </w:r>
      <w:r w:rsidRPr="00F6320D">
        <w:t>други такси по тарифата на АПИ в размер на 54,7 млн. лв., реализирани от кантарни такси, такси за преминаване на Дунав мост в посока Русе-Гюргево, такси за крайпътни обслужващи обекти и рекламни съоръжения, такси за влизане в Република България или транзитно преминаване на пътни превозни средства с чуждестранна регистрация, както и приходи от такси за движение на тежки и извънгабаритни превозни средства по републиканските пътища. Отчетените приходи от  държавни такси по Тарифа № 14</w:t>
      </w:r>
      <w:r>
        <w:t xml:space="preserve"> </w:t>
      </w:r>
      <w:r w:rsidRPr="00F6320D">
        <w:rPr>
          <w:bCs/>
          <w:color w:val="000000"/>
          <w:spacing w:val="-3"/>
        </w:rPr>
        <w:t xml:space="preserve">за определяне на таксите, които се събират в </w:t>
      </w:r>
      <w:r w:rsidRPr="00F6320D">
        <w:rPr>
          <w:bCs/>
          <w:spacing w:val="-3"/>
        </w:rPr>
        <w:t xml:space="preserve">системата на МРР </w:t>
      </w:r>
      <w:r w:rsidRPr="00F6320D">
        <w:rPr>
          <w:bCs/>
          <w:color w:val="000000"/>
          <w:spacing w:val="-3"/>
        </w:rPr>
        <w:t xml:space="preserve">и от областните управители в </w:t>
      </w:r>
      <w:r w:rsidRPr="00F6320D">
        <w:rPr>
          <w:bCs/>
          <w:color w:val="000000"/>
          <w:spacing w:val="-4"/>
        </w:rPr>
        <w:t xml:space="preserve">раздел VI-такси за нанасяне в кадастъра и за справки и услуги по ЗКИР са в размер на </w:t>
      </w:r>
      <w:r w:rsidRPr="00F6320D">
        <w:t>13,7 млн.</w:t>
      </w:r>
      <w:r>
        <w:t xml:space="preserve"> </w:t>
      </w:r>
      <w:r w:rsidRPr="00F6320D">
        <w:t>лв., като след 30.09.2013 г. Агенцията по геодезия, картография и кадастър преминава към Министерството на инвестиционното проектиране</w:t>
      </w:r>
      <w:r w:rsidRPr="00F6320D">
        <w:rPr>
          <w:color w:val="0070C0"/>
        </w:rPr>
        <w:t>;</w:t>
      </w:r>
    </w:p>
    <w:p w:rsidR="000938C1" w:rsidRPr="00F6320D" w:rsidRDefault="000938C1" w:rsidP="00F30F79">
      <w:pPr>
        <w:pStyle w:val="BodyText"/>
        <w:numPr>
          <w:ilvl w:val="0"/>
          <w:numId w:val="16"/>
        </w:numPr>
        <w:spacing w:after="0"/>
        <w:ind w:left="0" w:firstLine="539"/>
        <w:jc w:val="both"/>
        <w:rPr>
          <w:bCs/>
          <w:color w:val="0070C0"/>
        </w:rPr>
      </w:pPr>
      <w:r w:rsidRPr="00F6320D">
        <w:rPr>
          <w:bCs/>
        </w:rPr>
        <w:t>МФ –</w:t>
      </w:r>
      <w:r>
        <w:rPr>
          <w:bCs/>
        </w:rPr>
        <w:t xml:space="preserve"> </w:t>
      </w:r>
      <w:r w:rsidRPr="00F6320D">
        <w:rPr>
          <w:bCs/>
        </w:rPr>
        <w:t xml:space="preserve">постъпилите неданъчни приходи по бюджета на министерството са в размер на 178,3 млн. лв., в т.ч. </w:t>
      </w:r>
      <w:r>
        <w:t xml:space="preserve">постъпили средства в размер на 155,1 млн. лв. от изпълнение на Решение по арбитражно дело № </w:t>
      </w:r>
      <w:r>
        <w:rPr>
          <w:lang w:val="en-US"/>
        </w:rPr>
        <w:t>ICC 17339/GZ/MHM</w:t>
      </w:r>
      <w:r>
        <w:t>, заведено от Република България в Арбитражния съд при Международната търговска палата в Париж,</w:t>
      </w:r>
      <w:r>
        <w:rPr>
          <w:lang w:val="en-US"/>
        </w:rPr>
        <w:t xml:space="preserve"> </w:t>
      </w:r>
      <w:r w:rsidRPr="00F6320D">
        <w:rPr>
          <w:bCs/>
        </w:rPr>
        <w:t xml:space="preserve">администрираните приходи от Агенция „Митници“ по упражняване дейността по контрола и събирането на пътни такси и разрешителни, както и приходите администрирани по Тарифа № 12 по упражняване на финансов контрол при отпечатването на ценни книжа. </w:t>
      </w:r>
      <w:r w:rsidRPr="00F6320D">
        <w:t xml:space="preserve">Отчетените приходи по Тарифата </w:t>
      </w:r>
      <w:r w:rsidRPr="00F6320D">
        <w:rPr>
          <w:bCs/>
        </w:rPr>
        <w:t>за таксите, които се събират по Закона за хазарта</w:t>
      </w:r>
      <w:r w:rsidRPr="00F6320D">
        <w:rPr>
          <w:bCs/>
          <w:color w:val="000000"/>
          <w:spacing w:val="-4"/>
        </w:rPr>
        <w:t xml:space="preserve"> са в размер на </w:t>
      </w:r>
      <w:r w:rsidRPr="00F6320D">
        <w:t xml:space="preserve">7,4 млн. лв., като съществено влияние </w:t>
      </w:r>
      <w:r w:rsidRPr="00F6320D">
        <w:rPr>
          <w:bCs/>
        </w:rPr>
        <w:t>върху размера на събраните приходи оказват увеличения брой подадени писмени искания за увеличение на игралното оборудване, регулация на онлайн залаганията и подадени искания от български и чуждестранни бетинг компании за издаване на лиценз за организиране на тези игри</w:t>
      </w:r>
      <w:r w:rsidRPr="00F6320D">
        <w:rPr>
          <w:color w:val="0070C0"/>
        </w:rPr>
        <w:t>;</w:t>
      </w:r>
    </w:p>
    <w:p w:rsidR="000938C1" w:rsidRPr="00F6320D" w:rsidRDefault="000938C1" w:rsidP="00F30F79">
      <w:pPr>
        <w:pStyle w:val="BodyText"/>
        <w:numPr>
          <w:ilvl w:val="0"/>
          <w:numId w:val="16"/>
        </w:numPr>
        <w:spacing w:after="0"/>
        <w:ind w:left="0" w:firstLine="539"/>
        <w:jc w:val="both"/>
        <w:rPr>
          <w:bCs/>
          <w:color w:val="0070C0"/>
        </w:rPr>
      </w:pPr>
      <w:r w:rsidRPr="00F6320D">
        <w:rPr>
          <w:bCs/>
          <w:color w:val="000000"/>
        </w:rPr>
        <w:t>МВР</w:t>
      </w:r>
      <w:r w:rsidRPr="00F6320D">
        <w:rPr>
          <w:bCs/>
          <w:color w:val="0070C0"/>
        </w:rPr>
        <w:t xml:space="preserve"> – </w:t>
      </w:r>
      <w:r w:rsidRPr="00F6320D">
        <w:t xml:space="preserve">постъпилите неданъчни приходи са в размер на 171,1 млн. лв., които основно са приходи от държавни такси в размер на 83,9 млн. лв., като в т.ч. са и прехвърлените средства от </w:t>
      </w:r>
      <w:r w:rsidRPr="00F6320D">
        <w:rPr>
          <w:bCs/>
        </w:rPr>
        <w:t>такси за издаването на българските документи за самоличност в изпълнение на §</w:t>
      </w:r>
      <w:r>
        <w:rPr>
          <w:bCs/>
        </w:rPr>
        <w:t xml:space="preserve"> </w:t>
      </w:r>
      <w:r w:rsidRPr="00F6320D">
        <w:rPr>
          <w:bCs/>
        </w:rPr>
        <w:t xml:space="preserve">28 от преходните и заключителните разпоредби на Закона за изменение и допълнение на Закона за българските документи за самоличност. </w:t>
      </w:r>
      <w:r w:rsidRPr="00F6320D">
        <w:t>Приходите и доходите от собственост са в размер на 77,6 млн. лв. (приходи от</w:t>
      </w:r>
      <w:r w:rsidRPr="00F6320D">
        <w:rPr>
          <w:bCs/>
        </w:rPr>
        <w:t xml:space="preserve"> продажби на услуги, стоки и продукция</w:t>
      </w:r>
      <w:r w:rsidRPr="00F6320D">
        <w:t>, както и приходи от договори за охрана със СОТ, полиция и пожарна безопасност). През 2013 г. събраните приходи от наложени глоби с електронни фишове са в размер на 15,4 млн. лева</w:t>
      </w:r>
      <w:r w:rsidRPr="00F6320D">
        <w:rPr>
          <w:color w:val="000000"/>
        </w:rPr>
        <w:t>;</w:t>
      </w:r>
    </w:p>
    <w:p w:rsidR="000938C1" w:rsidRPr="00F6320D" w:rsidRDefault="000938C1" w:rsidP="00F30F79">
      <w:pPr>
        <w:pStyle w:val="BodyText"/>
        <w:numPr>
          <w:ilvl w:val="0"/>
          <w:numId w:val="16"/>
        </w:numPr>
        <w:spacing w:after="0"/>
        <w:ind w:left="0" w:firstLine="539"/>
        <w:jc w:val="both"/>
        <w:rPr>
          <w:color w:val="0070C0"/>
        </w:rPr>
      </w:pPr>
      <w:r w:rsidRPr="00F6320D">
        <w:rPr>
          <w:bCs/>
        </w:rPr>
        <w:t>МИЕ - неданъчните приходи са в размер на 155,7 млн. лв. и са в пряка зависимост от броя на извършените от министерството услуги, проверки, издадените удостоверения и др. Най-голям е делът на приходите от вноски на държавни (общински) предприятия и институции във Фонд „Извеждане от експлоатация на ядрени съоръжения” и Фонд „Радиоактивни отпадъци”– 76,2 млн. лв.; приходите от концесии – 59,6 млн. лв., приходите от държавни такси – 21,1 млн. лв. и др. Добрите резултати по отношение събираемостта на неданъчните приходи се дължат на предприетите мерки от съответните ръководители за своевременно събиране на приходите и ограничаване на дела на несъбираемите и трудно събираемите вземания. Част от тези мерки се изразяват в: ежедневен мониторинг на вземанията по клиенти; изпращане на покани за доброволно плащане; извършване на услугата след получаване на плащането; предприемане на съдебни действия срещу длъжници (при точно пресметнати съотношения между очаквани приходи срещу необходими разходи) и разработване и утвърждаване на вътрешни правила за събиране на таксите, определени в Тарифи и ценоразписи</w:t>
      </w:r>
      <w:r w:rsidRPr="00F6320D">
        <w:rPr>
          <w:color w:val="0070C0"/>
        </w:rPr>
        <w:t>;</w:t>
      </w:r>
    </w:p>
    <w:p w:rsidR="000938C1" w:rsidRPr="00F6320D" w:rsidRDefault="000938C1" w:rsidP="00F30F79">
      <w:pPr>
        <w:pStyle w:val="BodyText"/>
        <w:numPr>
          <w:ilvl w:val="0"/>
          <w:numId w:val="16"/>
        </w:numPr>
        <w:spacing w:after="0"/>
        <w:ind w:left="0" w:firstLine="539"/>
        <w:jc w:val="both"/>
        <w:rPr>
          <w:color w:val="0070C0"/>
        </w:rPr>
      </w:pPr>
      <w:r w:rsidRPr="00F6320D">
        <w:rPr>
          <w:bCs/>
        </w:rPr>
        <w:t>МЗХ – постъпилите неданъчни приходи по бюджета на министерството са в размер на 151,4 млн. лв</w:t>
      </w:r>
      <w:r w:rsidRPr="00F6320D">
        <w:t xml:space="preserve">., в т.ч. 72,9 млн. лв. приходи от държавни такси. През 2013 г. е налице неизпълнение на приходите, което </w:t>
      </w:r>
      <w:r w:rsidRPr="00F6320D">
        <w:rPr>
          <w:bCs/>
        </w:rPr>
        <w:t>се дължи главно на по–малкия размер на отчетените приходи от държавни такси и приходи и доходи от собственост, спрямо утвърдените за 2013 година</w:t>
      </w:r>
      <w:r w:rsidRPr="00F6320D">
        <w:rPr>
          <w:color w:val="0070C0"/>
        </w:rPr>
        <w:t>;</w:t>
      </w:r>
    </w:p>
    <w:p w:rsidR="000938C1" w:rsidRPr="00F6320D" w:rsidRDefault="000938C1" w:rsidP="00F30F79">
      <w:pPr>
        <w:pStyle w:val="BodyText"/>
        <w:numPr>
          <w:ilvl w:val="0"/>
          <w:numId w:val="16"/>
        </w:numPr>
        <w:spacing w:after="0"/>
        <w:ind w:left="0" w:firstLine="539"/>
        <w:jc w:val="both"/>
        <w:rPr>
          <w:color w:val="0070C0"/>
        </w:rPr>
      </w:pPr>
      <w:r w:rsidRPr="00F6320D">
        <w:t>МОСВ – постъпилите неданъчни приходи са в размер на 108,3 млн.</w:t>
      </w:r>
      <w:r>
        <w:t xml:space="preserve"> </w:t>
      </w:r>
      <w:r w:rsidRPr="00F6320D">
        <w:t>лв., като с най-голям относителен дял от приходите е делът на приходите от продажба на нефинансови  активи в размер на 103,7 млн. лева. Част от приходите от продажбата на квоти на емисии за парникови газове, постъпили по валутната бюджетна сметка на МОСВ, в размер на 100,0 млн.</w:t>
      </w:r>
      <w:r>
        <w:t xml:space="preserve"> </w:t>
      </w:r>
      <w:r w:rsidRPr="00F6320D">
        <w:t>лв. в изпълнение на ПМС № 217 от 26.09.2013 г. и ПМС № 292 от 18.12.2013 г. са трансферирани към Министерство на икономиката и енергетиката. Средствата са трансферирани с цел компенсиране на разходите на „Националната електрическа компания“ ЕАД като обществен доставчик, произтичащи от задължения към обществото за изкупуване на електрическа енергия от възобновяеми източници. Компенсирането се извършва в съответствие с методиката, приета от ДКЕВР и механизма за прилагане на приетия метод за компенсиране на разходите на обществения доставчик за закупена електрическа енергия от възобновяеми източници по регулирани преференциални цени, утвърден от министъра на икономиката и енергетиката. С изпълнението на постановленията е постигнат положителен ефект върху крайните цени на енергията за клиентите както на регулирания, така и на свободния пазар.</w:t>
      </w:r>
    </w:p>
    <w:p w:rsidR="000938C1" w:rsidRPr="00F6320D" w:rsidRDefault="000938C1" w:rsidP="00F30F79">
      <w:pPr>
        <w:pStyle w:val="BodyText"/>
        <w:spacing w:after="0"/>
        <w:jc w:val="both"/>
        <w:rPr>
          <w:color w:val="0070C0"/>
          <w:sz w:val="8"/>
          <w:szCs w:val="8"/>
        </w:rPr>
      </w:pPr>
    </w:p>
    <w:p w:rsidR="000938C1" w:rsidRPr="00F6320D" w:rsidRDefault="000938C1" w:rsidP="00F30F79">
      <w:pPr>
        <w:pStyle w:val="BodyText"/>
        <w:spacing w:after="0"/>
        <w:ind w:firstLine="720"/>
        <w:jc w:val="both"/>
        <w:rPr>
          <w:color w:val="0070C0"/>
        </w:rPr>
      </w:pPr>
      <w:r w:rsidRPr="00F6320D">
        <w:t>Постъпилите приходи от предоставянето и осъществяването на концесионна дейност от министерствата-концеденти за 2013 г. са общо в размер на 99,1 млн. лева. Приходите от концесионната дейност по министерства-концеденти са както следва: МИЕ – 59,6 млн. лв., МТИТС – 29,4 млн. лв., МРР – 6,8 млн. лв. и МОСВ – 3,3 млн. лева.</w:t>
      </w:r>
    </w:p>
    <w:p w:rsidR="000938C1" w:rsidRPr="00F6320D" w:rsidRDefault="000938C1" w:rsidP="00F30F79">
      <w:pPr>
        <w:pStyle w:val="BodyText"/>
        <w:spacing w:after="0"/>
        <w:ind w:firstLine="539"/>
        <w:jc w:val="both"/>
        <w:rPr>
          <w:color w:val="0070C0"/>
          <w:sz w:val="4"/>
          <w:szCs w:val="4"/>
        </w:rPr>
      </w:pPr>
    </w:p>
    <w:p w:rsidR="000938C1" w:rsidRPr="00F6320D" w:rsidRDefault="000938C1" w:rsidP="00F30F79">
      <w:pPr>
        <w:tabs>
          <w:tab w:val="left" w:pos="9633"/>
        </w:tabs>
        <w:ind w:right="-50" w:firstLine="540"/>
        <w:jc w:val="both"/>
        <w:rPr>
          <w:color w:val="000000"/>
        </w:rPr>
      </w:pPr>
      <w:r w:rsidRPr="00F6320D">
        <w:rPr>
          <w:color w:val="000000"/>
        </w:rPr>
        <w:t xml:space="preserve">Общият размер на неданъчните приходи по </w:t>
      </w:r>
      <w:r w:rsidRPr="00F6320D">
        <w:rPr>
          <w:i/>
          <w:color w:val="000000"/>
          <w:u w:val="single"/>
        </w:rPr>
        <w:t>местните бюджети</w:t>
      </w:r>
      <w:r w:rsidRPr="00F6320D">
        <w:rPr>
          <w:color w:val="000000"/>
        </w:rPr>
        <w:t xml:space="preserve"> е 1 </w:t>
      </w:r>
      <w:r>
        <w:rPr>
          <w:color w:val="000000"/>
        </w:rPr>
        <w:t>0</w:t>
      </w:r>
      <w:r w:rsidRPr="00F6320D">
        <w:rPr>
          <w:color w:val="000000"/>
        </w:rPr>
        <w:t>72,</w:t>
      </w:r>
      <w:r>
        <w:rPr>
          <w:color w:val="000000"/>
        </w:rPr>
        <w:t>3</w:t>
      </w:r>
      <w:r w:rsidRPr="00F6320D">
        <w:rPr>
          <w:color w:val="000000"/>
        </w:rPr>
        <w:t xml:space="preserve"> млн. лв. (96,</w:t>
      </w:r>
      <w:r>
        <w:rPr>
          <w:color w:val="000000"/>
        </w:rPr>
        <w:t>0</w:t>
      </w:r>
      <w:r w:rsidRPr="00F6320D">
        <w:rPr>
          <w:color w:val="000000"/>
        </w:rPr>
        <w:t xml:space="preserve"> % от разчетите към ЗДБРБ за 2013 г.). Най-голям относителен дял заемат приходите от общински такси (692,</w:t>
      </w:r>
      <w:r>
        <w:rPr>
          <w:color w:val="000000"/>
        </w:rPr>
        <w:t>5</w:t>
      </w:r>
      <w:r w:rsidRPr="00F6320D">
        <w:rPr>
          <w:color w:val="000000"/>
        </w:rPr>
        <w:t xml:space="preserve"> млн. лв.) – 64,6 %, следват приходите и доходите от собственост (217,2 млн. лв.) – 20,3 % и постъпленията от продажба на нефинансови активи (113,</w:t>
      </w:r>
      <w:r>
        <w:rPr>
          <w:color w:val="000000"/>
        </w:rPr>
        <w:t>0</w:t>
      </w:r>
      <w:r w:rsidRPr="00F6320D">
        <w:rPr>
          <w:color w:val="000000"/>
        </w:rPr>
        <w:t xml:space="preserve"> млн. лв.) – 10,</w:t>
      </w:r>
      <w:r>
        <w:rPr>
          <w:color w:val="000000"/>
        </w:rPr>
        <w:t>5</w:t>
      </w:r>
      <w:r w:rsidRPr="00F6320D">
        <w:rPr>
          <w:color w:val="000000"/>
        </w:rPr>
        <w:t xml:space="preserve"> %. Съпоставени с предходната година постъпленията нарастват с 58,</w:t>
      </w:r>
      <w:r>
        <w:rPr>
          <w:color w:val="000000"/>
        </w:rPr>
        <w:t>6</w:t>
      </w:r>
      <w:r w:rsidRPr="00F6320D">
        <w:rPr>
          <w:color w:val="000000"/>
        </w:rPr>
        <w:t xml:space="preserve"> млн. лв., 5,8 %. </w:t>
      </w:r>
    </w:p>
    <w:p w:rsidR="000938C1" w:rsidRPr="00F6320D" w:rsidRDefault="000938C1" w:rsidP="00F30F79">
      <w:pPr>
        <w:tabs>
          <w:tab w:val="left" w:pos="9633"/>
        </w:tabs>
        <w:ind w:right="-50" w:firstLine="540"/>
        <w:jc w:val="both"/>
        <w:rPr>
          <w:color w:val="0070C0"/>
        </w:rPr>
      </w:pPr>
      <w:r w:rsidRPr="00F6320D">
        <w:rPr>
          <w:color w:val="000000"/>
        </w:rPr>
        <w:t xml:space="preserve">Със ЗДБРБ за 2013 г. по бюджета на </w:t>
      </w:r>
      <w:r w:rsidRPr="00F6320D">
        <w:rPr>
          <w:i/>
          <w:color w:val="000000"/>
          <w:u w:val="single"/>
        </w:rPr>
        <w:t>съдебната власт</w:t>
      </w:r>
      <w:r w:rsidRPr="00F6320D">
        <w:rPr>
          <w:color w:val="000000"/>
        </w:rPr>
        <w:t xml:space="preserve"> са одобрени неданъчни приходи в размер на 140,0 млн. лв., от които приходи от „Съдебни такси” – 120,0 млн. лева. Отчетените неданъчни приходи за годината са в размер на 140,6 млн. лв., като постъпленията от съдебни такси възлизат на 120,0 млн. лева. От другите неданъчни приходи (10,9 % от общия размер) най-голям относителен дял заемат приходите от вземания по изпълнителни листове, издавани в полза на органите на съдебната власт и събирани от Националната агенция за приходите, от разноски по дела, приходи от предоставяне на обществена информация по </w:t>
      </w:r>
      <w:r>
        <w:rPr>
          <w:color w:val="000000"/>
        </w:rPr>
        <w:t>З</w:t>
      </w:r>
      <w:r w:rsidRPr="00F6320D">
        <w:rPr>
          <w:color w:val="000000"/>
        </w:rPr>
        <w:t>акона за достъп до обществена информация.</w:t>
      </w:r>
    </w:p>
    <w:p w:rsidR="000938C1" w:rsidRPr="00F6320D" w:rsidRDefault="000938C1" w:rsidP="007D5E67">
      <w:pPr>
        <w:pStyle w:val="Heading3"/>
        <w:numPr>
          <w:ilvl w:val="2"/>
          <w:numId w:val="72"/>
        </w:numPr>
        <w:rPr>
          <w:rFonts w:ascii="Times New Roman" w:hAnsi="Times New Roman" w:cs="Times New Roman"/>
          <w:color w:val="000000"/>
          <w:sz w:val="24"/>
          <w:szCs w:val="24"/>
          <w:lang w:val="bg-BG"/>
        </w:rPr>
      </w:pPr>
      <w:bookmarkStart w:id="160" w:name="_Toc324863414"/>
      <w:bookmarkStart w:id="161" w:name="_Toc326315906"/>
      <w:bookmarkStart w:id="162" w:name="_Toc357527091"/>
      <w:bookmarkStart w:id="163" w:name="_Toc393728065"/>
      <w:r w:rsidRPr="00F6320D">
        <w:rPr>
          <w:rFonts w:ascii="Times New Roman" w:hAnsi="Times New Roman" w:cs="Times New Roman"/>
          <w:color w:val="000000"/>
          <w:sz w:val="24"/>
          <w:szCs w:val="24"/>
          <w:lang w:val="bg-BG"/>
        </w:rPr>
        <w:t>Помощи, дарения и други безвъзмездно получени суми</w:t>
      </w:r>
      <w:bookmarkEnd w:id="159"/>
      <w:bookmarkEnd w:id="160"/>
      <w:bookmarkEnd w:id="161"/>
      <w:bookmarkEnd w:id="162"/>
      <w:bookmarkEnd w:id="163"/>
    </w:p>
    <w:p w:rsidR="000938C1" w:rsidRPr="00F6320D" w:rsidRDefault="000938C1" w:rsidP="00F30F79">
      <w:pPr>
        <w:ind w:firstLine="540"/>
        <w:jc w:val="both"/>
        <w:rPr>
          <w:color w:val="000000"/>
          <w:sz w:val="8"/>
          <w:szCs w:val="8"/>
        </w:rPr>
      </w:pPr>
    </w:p>
    <w:p w:rsidR="000938C1" w:rsidRPr="00F6320D" w:rsidRDefault="000938C1" w:rsidP="00F30F79">
      <w:pPr>
        <w:tabs>
          <w:tab w:val="left" w:pos="720"/>
        </w:tabs>
        <w:ind w:firstLine="720"/>
        <w:jc w:val="both"/>
        <w:rPr>
          <w:color w:val="000000"/>
        </w:rPr>
      </w:pPr>
      <w:r w:rsidRPr="00F6320D">
        <w:rPr>
          <w:color w:val="000000"/>
        </w:rPr>
        <w:t xml:space="preserve">Постъпленията от </w:t>
      </w:r>
      <w:r w:rsidRPr="00F6320D">
        <w:rPr>
          <w:b/>
          <w:i/>
          <w:color w:val="000000"/>
        </w:rPr>
        <w:t>помощи</w:t>
      </w:r>
      <w:r w:rsidRPr="00F6320D">
        <w:rPr>
          <w:color w:val="000000"/>
        </w:rPr>
        <w:t xml:space="preserve"> по КФП за 2013 г. са в размер на </w:t>
      </w:r>
      <w:r w:rsidRPr="00F6320D">
        <w:rPr>
          <w:b/>
          <w:color w:val="000000"/>
        </w:rPr>
        <w:t>2 656,3 млн. лв.,</w:t>
      </w:r>
      <w:r w:rsidRPr="00F6320D">
        <w:rPr>
          <w:color w:val="000000"/>
        </w:rPr>
        <w:t xml:space="preserve"> 71,0 % от планираните, в т.ч. постъпилите по сметките на Национален фонд приходи (нето) по СКФ на Европейския съюз, КФ (Регламент 1164/94)/ИСПА, ЕИП, двустранни програми за европейско териториално сътрудничество по външни граници на EС, Финансов механизъм на Европейското икономическо пространство 2009-2014 г., Норвежки финансов механизъм 2009-2014 г. и Българо-</w:t>
      </w:r>
      <w:r w:rsidRPr="00F6320D">
        <w:t xml:space="preserve">швейцарска програма за сътрудничество в размер на 1 786,2 млн. лв. </w:t>
      </w:r>
      <w:r w:rsidRPr="00F6320D">
        <w:rPr>
          <w:color w:val="000000"/>
        </w:rPr>
        <w:t xml:space="preserve">и 679,6 млн. лв., постъпили по бюджета на Разплащателната агенция към ДФ „Земеделие” за 2013 г. от Европейския земеделски фонд за развитие на селските райони (ЕЗФРСР) и Европейския фонд за рибарство (ЕФР). </w:t>
      </w:r>
    </w:p>
    <w:p w:rsidR="000938C1" w:rsidRPr="00F6320D" w:rsidRDefault="000938C1" w:rsidP="00F30F79">
      <w:pPr>
        <w:tabs>
          <w:tab w:val="left" w:pos="720"/>
        </w:tabs>
        <w:ind w:firstLine="720"/>
        <w:jc w:val="both"/>
        <w:rPr>
          <w:color w:val="0070C0"/>
        </w:rPr>
      </w:pPr>
      <w:r w:rsidRPr="00F6320D">
        <w:rPr>
          <w:color w:val="000000"/>
        </w:rPr>
        <w:t>Поради проблеми с ликвидността, в началото на 2013 г. ЕК възстанови разходите от ЕЗФРСР за последното тримесечие на 2012 година на два транша - през март и април, при което вторият транш пресрочи с повече от един месец регла</w:t>
      </w:r>
      <w:r w:rsidRPr="00F6320D">
        <w:t>ментирания 45-дневен срок. Отложено е за по-късен етап възстановяването от ЕК на 1,16 млн.евро за 2013 г. до потвърждаването на допустимостта на разходите. През 2013 г. по Оперативна програма за развитие на сектор „Рибарство” 2007-2013 г. (ОПРСР) са изпратени до ЕК три заявления (осмо, девето и десето) за междинно плащане на обща стойност 17,5 млн. лева. Възстановените средства към 31.12.2013 г. от ЕФР са в размер на общо 11,6 млн. лв., в т.ч. частично възстановени средства в размер на 4,3 млн. лв. по изпратеното през 2012 г. седмо заявление. Десетото заявление за междинно плащане, в размер на 10,2 млн. лв., е изпратено до ЕК на 27.12.2013 г., а средствата са възстановени в срок - на  04.03.2014 г</w:t>
      </w:r>
      <w:r w:rsidRPr="00F6320D">
        <w:rPr>
          <w:color w:val="0070C0"/>
        </w:rPr>
        <w:t>.</w:t>
      </w:r>
    </w:p>
    <w:p w:rsidR="000938C1" w:rsidRPr="00F6320D" w:rsidRDefault="000938C1" w:rsidP="00F30F79">
      <w:pPr>
        <w:tabs>
          <w:tab w:val="left" w:pos="720"/>
        </w:tabs>
        <w:ind w:firstLine="720"/>
        <w:jc w:val="both"/>
        <w:rPr>
          <w:color w:val="0070C0"/>
        </w:rPr>
      </w:pPr>
    </w:p>
    <w:p w:rsidR="000938C1" w:rsidRPr="00F6320D" w:rsidRDefault="000938C1" w:rsidP="00F30F79">
      <w:pPr>
        <w:pStyle w:val="Heading3"/>
        <w:numPr>
          <w:ilvl w:val="1"/>
          <w:numId w:val="72"/>
        </w:numPr>
        <w:rPr>
          <w:rFonts w:ascii="Times New Roman" w:hAnsi="Times New Roman"/>
          <w:sz w:val="24"/>
          <w:lang w:val="bg-BG"/>
        </w:rPr>
      </w:pPr>
      <w:bookmarkStart w:id="164" w:name="_Toc393728066"/>
      <w:bookmarkEnd w:id="109"/>
      <w:bookmarkEnd w:id="110"/>
      <w:bookmarkEnd w:id="111"/>
      <w:r w:rsidRPr="00F6320D">
        <w:rPr>
          <w:rFonts w:ascii="Times New Roman" w:hAnsi="Times New Roman"/>
          <w:sz w:val="24"/>
          <w:lang w:val="bg-BG"/>
        </w:rPr>
        <w:t>Изпълнение на разходите по икономически елементи по консолидираната фискална програма за 2013 г.</w:t>
      </w:r>
      <w:bookmarkEnd w:id="164"/>
    </w:p>
    <w:p w:rsidR="000938C1" w:rsidRPr="00F6320D" w:rsidRDefault="000938C1" w:rsidP="003E03C0">
      <w:pPr>
        <w:tabs>
          <w:tab w:val="left" w:pos="720"/>
        </w:tabs>
        <w:jc w:val="both"/>
        <w:rPr>
          <w:b/>
          <w:sz w:val="12"/>
          <w:szCs w:val="12"/>
        </w:rPr>
      </w:pPr>
    </w:p>
    <w:p w:rsidR="000938C1" w:rsidRPr="00F6320D" w:rsidRDefault="000938C1" w:rsidP="003E03C0">
      <w:pPr>
        <w:tabs>
          <w:tab w:val="left" w:pos="0"/>
        </w:tabs>
        <w:ind w:right="72" w:firstLine="720"/>
        <w:jc w:val="both"/>
        <w:rPr>
          <w:lang w:eastAsia="en-US"/>
        </w:rPr>
      </w:pPr>
      <w:r w:rsidRPr="00F6320D">
        <w:rPr>
          <w:lang w:eastAsia="en-US"/>
        </w:rPr>
        <w:t>Разходите по консолидираната фискална програма по икономически елементи за периода 2010 г. - 2013 г., представени и като процент от БВП са както следва:</w:t>
      </w:r>
    </w:p>
    <w:p w:rsidR="000938C1" w:rsidRPr="00F6320D" w:rsidRDefault="000938C1" w:rsidP="003E03C0">
      <w:pPr>
        <w:tabs>
          <w:tab w:val="left" w:pos="0"/>
        </w:tabs>
        <w:ind w:right="72" w:firstLine="720"/>
        <w:jc w:val="both"/>
        <w:rPr>
          <w:lang w:eastAsia="en-US"/>
        </w:rPr>
      </w:pPr>
    </w:p>
    <w:p w:rsidR="000938C1" w:rsidRPr="00F6320D" w:rsidRDefault="000938C1" w:rsidP="003E03C0">
      <w:pPr>
        <w:tabs>
          <w:tab w:val="left" w:pos="9720"/>
          <w:tab w:val="left" w:pos="9900"/>
        </w:tabs>
        <w:ind w:right="72" w:firstLine="540"/>
        <w:jc w:val="both"/>
        <w:rPr>
          <w:b/>
          <w:i/>
          <w:iCs/>
          <w:sz w:val="12"/>
          <w:szCs w:val="12"/>
        </w:rPr>
      </w:pPr>
    </w:p>
    <w:p w:rsidR="000938C1" w:rsidRPr="00F6320D" w:rsidRDefault="000938C1" w:rsidP="003E03C0">
      <w:pPr>
        <w:tabs>
          <w:tab w:val="left" w:pos="9720"/>
          <w:tab w:val="left" w:pos="9900"/>
        </w:tabs>
        <w:ind w:right="72" w:firstLine="540"/>
        <w:jc w:val="both"/>
        <w:rPr>
          <w:b/>
          <w:i/>
          <w:iCs/>
          <w:sz w:val="26"/>
          <w:szCs w:val="26"/>
        </w:rPr>
      </w:pPr>
      <w:r w:rsidRPr="00F6320D">
        <w:rPr>
          <w:b/>
          <w:i/>
          <w:iCs/>
          <w:sz w:val="26"/>
          <w:szCs w:val="26"/>
        </w:rPr>
        <w:t>Разходи по консолидираната фискална програма за периода 2010-2013 г.</w:t>
      </w:r>
    </w:p>
    <w:p w:rsidR="000938C1" w:rsidRPr="00F6320D" w:rsidRDefault="000938C1" w:rsidP="003E03C0">
      <w:pPr>
        <w:tabs>
          <w:tab w:val="left" w:pos="9720"/>
          <w:tab w:val="left" w:pos="9900"/>
        </w:tabs>
        <w:ind w:right="72" w:firstLine="540"/>
        <w:jc w:val="both"/>
        <w:rPr>
          <w:b/>
          <w:i/>
          <w:iCs/>
          <w:color w:val="0070C0"/>
          <w:sz w:val="12"/>
          <w:szCs w:val="12"/>
        </w:rPr>
      </w:pPr>
    </w:p>
    <w:tbl>
      <w:tblPr>
        <w:tblW w:w="10723" w:type="dxa"/>
        <w:jc w:val="center"/>
        <w:tblInd w:w="-1059" w:type="dxa"/>
        <w:tblCellMar>
          <w:left w:w="70" w:type="dxa"/>
          <w:right w:w="70" w:type="dxa"/>
        </w:tblCellMar>
        <w:tblLook w:val="0000"/>
      </w:tblPr>
      <w:tblGrid>
        <w:gridCol w:w="3703"/>
        <w:gridCol w:w="940"/>
        <w:gridCol w:w="860"/>
        <w:gridCol w:w="900"/>
        <w:gridCol w:w="920"/>
        <w:gridCol w:w="880"/>
        <w:gridCol w:w="920"/>
        <w:gridCol w:w="880"/>
        <w:gridCol w:w="720"/>
      </w:tblGrid>
      <w:tr w:rsidR="000938C1" w:rsidRPr="00F6320D" w:rsidTr="003A57FD">
        <w:trPr>
          <w:trHeight w:val="285"/>
          <w:jc w:val="center"/>
        </w:trPr>
        <w:tc>
          <w:tcPr>
            <w:tcW w:w="3703" w:type="dxa"/>
            <w:vMerge w:val="restart"/>
            <w:tcBorders>
              <w:top w:val="double" w:sz="6" w:space="0" w:color="800000"/>
              <w:left w:val="double" w:sz="6" w:space="0" w:color="800000"/>
              <w:bottom w:val="double" w:sz="6" w:space="0" w:color="800000"/>
              <w:right w:val="single" w:sz="8" w:space="0" w:color="FFFFFF"/>
            </w:tcBorders>
            <w:shd w:val="clear" w:color="auto" w:fill="800000"/>
          </w:tcPr>
          <w:p w:rsidR="000938C1" w:rsidRPr="00F6320D" w:rsidRDefault="000938C1" w:rsidP="003A57FD">
            <w:pPr>
              <w:jc w:val="center"/>
              <w:rPr>
                <w:b/>
                <w:bCs/>
                <w:color w:val="FFFFFF"/>
              </w:rPr>
            </w:pPr>
            <w:r w:rsidRPr="00F6320D">
              <w:rPr>
                <w:b/>
                <w:bCs/>
                <w:color w:val="FFFFFF"/>
                <w:sz w:val="22"/>
                <w:szCs w:val="22"/>
              </w:rPr>
              <w:t>млн. лв.</w:t>
            </w:r>
          </w:p>
        </w:tc>
        <w:tc>
          <w:tcPr>
            <w:tcW w:w="1800" w:type="dxa"/>
            <w:gridSpan w:val="2"/>
            <w:tcBorders>
              <w:top w:val="double" w:sz="6" w:space="0" w:color="800000"/>
              <w:left w:val="nil"/>
              <w:bottom w:val="single" w:sz="8" w:space="0" w:color="FFFFFF"/>
              <w:right w:val="single" w:sz="8" w:space="0" w:color="FFFFFF"/>
            </w:tcBorders>
            <w:shd w:val="clear" w:color="auto" w:fill="800000"/>
          </w:tcPr>
          <w:p w:rsidR="000938C1" w:rsidRPr="00F6320D" w:rsidRDefault="000938C1" w:rsidP="003A57FD">
            <w:pPr>
              <w:tabs>
                <w:tab w:val="left" w:pos="1370"/>
              </w:tabs>
              <w:ind w:left="-470"/>
              <w:jc w:val="center"/>
              <w:rPr>
                <w:b/>
                <w:bCs/>
                <w:color w:val="FFFFFF"/>
                <w:sz w:val="20"/>
                <w:szCs w:val="20"/>
              </w:rPr>
            </w:pPr>
            <w:r w:rsidRPr="00F6320D">
              <w:rPr>
                <w:b/>
                <w:bCs/>
                <w:color w:val="FFFFFF"/>
                <w:sz w:val="20"/>
                <w:szCs w:val="20"/>
              </w:rPr>
              <w:t xml:space="preserve">             2010 г.</w:t>
            </w:r>
          </w:p>
        </w:tc>
        <w:tc>
          <w:tcPr>
            <w:tcW w:w="1820" w:type="dxa"/>
            <w:gridSpan w:val="2"/>
            <w:tcBorders>
              <w:top w:val="double" w:sz="6" w:space="0" w:color="800000"/>
              <w:left w:val="nil"/>
              <w:bottom w:val="single" w:sz="8" w:space="0" w:color="FFFFFF"/>
              <w:right w:val="single" w:sz="8" w:space="0" w:color="FFFFFF"/>
            </w:tcBorders>
            <w:shd w:val="clear" w:color="auto" w:fill="800000"/>
          </w:tcPr>
          <w:p w:rsidR="000938C1" w:rsidRPr="00F6320D" w:rsidRDefault="000938C1" w:rsidP="003A57FD">
            <w:pPr>
              <w:jc w:val="center"/>
              <w:rPr>
                <w:b/>
                <w:bCs/>
                <w:color w:val="FFFFFF"/>
                <w:sz w:val="20"/>
                <w:szCs w:val="20"/>
              </w:rPr>
            </w:pPr>
            <w:r w:rsidRPr="00F6320D">
              <w:rPr>
                <w:b/>
                <w:bCs/>
                <w:color w:val="FFFFFF"/>
                <w:sz w:val="20"/>
                <w:szCs w:val="20"/>
              </w:rPr>
              <w:t xml:space="preserve">2011 г. </w:t>
            </w:r>
          </w:p>
        </w:tc>
        <w:tc>
          <w:tcPr>
            <w:tcW w:w="1800" w:type="dxa"/>
            <w:gridSpan w:val="2"/>
            <w:tcBorders>
              <w:top w:val="double" w:sz="6" w:space="0" w:color="800000"/>
              <w:left w:val="nil"/>
              <w:bottom w:val="single" w:sz="8" w:space="0" w:color="FFFFFF"/>
              <w:right w:val="single" w:sz="4" w:space="0" w:color="FFFFFF"/>
            </w:tcBorders>
            <w:shd w:val="clear" w:color="auto" w:fill="800000"/>
          </w:tcPr>
          <w:p w:rsidR="000938C1" w:rsidRPr="00F6320D" w:rsidRDefault="000938C1" w:rsidP="003A57FD">
            <w:pPr>
              <w:jc w:val="center"/>
              <w:rPr>
                <w:b/>
                <w:bCs/>
                <w:color w:val="FFFFFF"/>
                <w:sz w:val="20"/>
                <w:szCs w:val="20"/>
              </w:rPr>
            </w:pPr>
            <w:r w:rsidRPr="00F6320D">
              <w:rPr>
                <w:b/>
                <w:bCs/>
                <w:color w:val="FFFFFF"/>
                <w:sz w:val="20"/>
                <w:szCs w:val="20"/>
              </w:rPr>
              <w:t>2012 г.</w:t>
            </w:r>
          </w:p>
        </w:tc>
        <w:tc>
          <w:tcPr>
            <w:tcW w:w="1600" w:type="dxa"/>
            <w:gridSpan w:val="2"/>
            <w:tcBorders>
              <w:top w:val="double" w:sz="6" w:space="0" w:color="800000"/>
              <w:left w:val="single" w:sz="8" w:space="0" w:color="FFFFFF"/>
              <w:bottom w:val="single" w:sz="8" w:space="0" w:color="FFFFFF"/>
              <w:right w:val="double" w:sz="6" w:space="0" w:color="800000"/>
            </w:tcBorders>
            <w:shd w:val="clear" w:color="auto" w:fill="800000"/>
          </w:tcPr>
          <w:p w:rsidR="000938C1" w:rsidRPr="00F6320D" w:rsidRDefault="000938C1" w:rsidP="003A57FD">
            <w:pPr>
              <w:jc w:val="center"/>
              <w:rPr>
                <w:b/>
                <w:bCs/>
                <w:color w:val="FFFFFF"/>
                <w:sz w:val="20"/>
                <w:szCs w:val="20"/>
              </w:rPr>
            </w:pPr>
            <w:r w:rsidRPr="00F6320D">
              <w:rPr>
                <w:b/>
                <w:bCs/>
                <w:color w:val="FFFFFF"/>
                <w:sz w:val="20"/>
                <w:szCs w:val="20"/>
              </w:rPr>
              <w:t>2013 г.</w:t>
            </w:r>
          </w:p>
        </w:tc>
      </w:tr>
      <w:tr w:rsidR="000938C1" w:rsidRPr="00F6320D" w:rsidTr="003A57FD">
        <w:trPr>
          <w:trHeight w:val="471"/>
          <w:jc w:val="center"/>
        </w:trPr>
        <w:tc>
          <w:tcPr>
            <w:tcW w:w="3703" w:type="dxa"/>
            <w:vMerge/>
            <w:tcBorders>
              <w:top w:val="double" w:sz="6" w:space="0" w:color="800000"/>
              <w:left w:val="double" w:sz="6" w:space="0" w:color="800000"/>
              <w:bottom w:val="double" w:sz="6" w:space="0" w:color="800000"/>
              <w:right w:val="single" w:sz="8" w:space="0" w:color="FFFFFF"/>
            </w:tcBorders>
            <w:vAlign w:val="center"/>
          </w:tcPr>
          <w:p w:rsidR="000938C1" w:rsidRPr="00F6320D" w:rsidRDefault="000938C1" w:rsidP="003A57FD">
            <w:pPr>
              <w:rPr>
                <w:b/>
                <w:bCs/>
                <w:color w:val="FFFFFF"/>
              </w:rPr>
            </w:pPr>
          </w:p>
        </w:tc>
        <w:tc>
          <w:tcPr>
            <w:tcW w:w="940" w:type="dxa"/>
            <w:tcBorders>
              <w:top w:val="nil"/>
              <w:left w:val="nil"/>
              <w:bottom w:val="double" w:sz="6" w:space="0" w:color="800000"/>
              <w:right w:val="single" w:sz="8" w:space="0" w:color="FFFFFF"/>
            </w:tcBorders>
            <w:shd w:val="clear" w:color="auto" w:fill="800000"/>
          </w:tcPr>
          <w:p w:rsidR="000938C1" w:rsidRPr="00F6320D" w:rsidRDefault="000938C1" w:rsidP="003A57FD">
            <w:pPr>
              <w:jc w:val="center"/>
              <w:rPr>
                <w:b/>
                <w:bCs/>
                <w:color w:val="FFFFFF"/>
                <w:sz w:val="16"/>
                <w:szCs w:val="16"/>
              </w:rPr>
            </w:pPr>
            <w:r w:rsidRPr="00F6320D">
              <w:rPr>
                <w:b/>
                <w:bCs/>
                <w:color w:val="FFFFFF"/>
                <w:sz w:val="16"/>
                <w:szCs w:val="16"/>
              </w:rPr>
              <w:t>ОТЧЕТ</w:t>
            </w:r>
          </w:p>
        </w:tc>
        <w:tc>
          <w:tcPr>
            <w:tcW w:w="860" w:type="dxa"/>
            <w:tcBorders>
              <w:top w:val="nil"/>
              <w:left w:val="nil"/>
              <w:bottom w:val="double" w:sz="6" w:space="0" w:color="800000"/>
              <w:right w:val="single" w:sz="8" w:space="0" w:color="FFFFFF"/>
            </w:tcBorders>
            <w:shd w:val="clear" w:color="auto" w:fill="800000"/>
          </w:tcPr>
          <w:p w:rsidR="000938C1" w:rsidRPr="00F6320D" w:rsidRDefault="000938C1" w:rsidP="003A57FD">
            <w:pPr>
              <w:jc w:val="center"/>
              <w:rPr>
                <w:b/>
                <w:bCs/>
                <w:color w:val="FFFFFF"/>
                <w:sz w:val="16"/>
                <w:szCs w:val="16"/>
              </w:rPr>
            </w:pPr>
            <w:r w:rsidRPr="00F6320D">
              <w:rPr>
                <w:b/>
                <w:bCs/>
                <w:color w:val="FFFFFF"/>
                <w:sz w:val="16"/>
                <w:szCs w:val="16"/>
              </w:rPr>
              <w:t>% БВП</w:t>
            </w:r>
          </w:p>
        </w:tc>
        <w:tc>
          <w:tcPr>
            <w:tcW w:w="900" w:type="dxa"/>
            <w:tcBorders>
              <w:top w:val="nil"/>
              <w:left w:val="nil"/>
              <w:bottom w:val="double" w:sz="6" w:space="0" w:color="800000"/>
              <w:right w:val="single" w:sz="8" w:space="0" w:color="FFFFFF"/>
            </w:tcBorders>
            <w:shd w:val="clear" w:color="auto" w:fill="800000"/>
          </w:tcPr>
          <w:p w:rsidR="000938C1" w:rsidRPr="00F6320D" w:rsidRDefault="000938C1" w:rsidP="003A57FD">
            <w:pPr>
              <w:jc w:val="center"/>
              <w:rPr>
                <w:b/>
                <w:bCs/>
                <w:color w:val="FFFFFF"/>
                <w:sz w:val="16"/>
                <w:szCs w:val="16"/>
              </w:rPr>
            </w:pPr>
            <w:r w:rsidRPr="00F6320D">
              <w:rPr>
                <w:b/>
                <w:bCs/>
                <w:color w:val="FFFFFF"/>
                <w:sz w:val="16"/>
                <w:szCs w:val="16"/>
              </w:rPr>
              <w:t>ОТЧЕТ</w:t>
            </w:r>
          </w:p>
        </w:tc>
        <w:tc>
          <w:tcPr>
            <w:tcW w:w="920" w:type="dxa"/>
            <w:tcBorders>
              <w:top w:val="nil"/>
              <w:left w:val="nil"/>
              <w:bottom w:val="double" w:sz="6" w:space="0" w:color="800000"/>
              <w:right w:val="single" w:sz="8" w:space="0" w:color="FFFFFF"/>
            </w:tcBorders>
            <w:shd w:val="clear" w:color="auto" w:fill="800000"/>
          </w:tcPr>
          <w:p w:rsidR="000938C1" w:rsidRPr="00F6320D" w:rsidRDefault="000938C1" w:rsidP="003A57FD">
            <w:pPr>
              <w:jc w:val="center"/>
              <w:rPr>
                <w:b/>
                <w:bCs/>
                <w:color w:val="FFFFFF"/>
                <w:sz w:val="16"/>
                <w:szCs w:val="16"/>
              </w:rPr>
            </w:pPr>
            <w:r w:rsidRPr="00F6320D">
              <w:rPr>
                <w:b/>
                <w:bCs/>
                <w:color w:val="FFFFFF"/>
                <w:sz w:val="16"/>
                <w:szCs w:val="16"/>
              </w:rPr>
              <w:t>% БВП</w:t>
            </w:r>
          </w:p>
        </w:tc>
        <w:tc>
          <w:tcPr>
            <w:tcW w:w="880" w:type="dxa"/>
            <w:tcBorders>
              <w:top w:val="nil"/>
              <w:left w:val="nil"/>
              <w:bottom w:val="double" w:sz="6" w:space="0" w:color="800000"/>
              <w:right w:val="nil"/>
            </w:tcBorders>
            <w:shd w:val="clear" w:color="auto" w:fill="800000"/>
          </w:tcPr>
          <w:p w:rsidR="000938C1" w:rsidRPr="00F6320D" w:rsidRDefault="000938C1" w:rsidP="003A57FD">
            <w:pPr>
              <w:jc w:val="center"/>
              <w:rPr>
                <w:b/>
                <w:bCs/>
                <w:color w:val="FFFFFF"/>
                <w:sz w:val="16"/>
                <w:szCs w:val="16"/>
              </w:rPr>
            </w:pPr>
            <w:r w:rsidRPr="00F6320D">
              <w:rPr>
                <w:b/>
                <w:bCs/>
                <w:color w:val="FFFFFF"/>
                <w:sz w:val="16"/>
                <w:szCs w:val="16"/>
              </w:rPr>
              <w:t>ОТЧЕТ</w:t>
            </w:r>
          </w:p>
        </w:tc>
        <w:tc>
          <w:tcPr>
            <w:tcW w:w="920" w:type="dxa"/>
            <w:tcBorders>
              <w:top w:val="nil"/>
              <w:left w:val="single" w:sz="8" w:space="0" w:color="FFFFFF"/>
              <w:bottom w:val="double" w:sz="6" w:space="0" w:color="800000"/>
              <w:right w:val="nil"/>
            </w:tcBorders>
            <w:shd w:val="clear" w:color="auto" w:fill="800000"/>
          </w:tcPr>
          <w:p w:rsidR="000938C1" w:rsidRPr="00F6320D" w:rsidRDefault="000938C1" w:rsidP="003A57FD">
            <w:pPr>
              <w:jc w:val="center"/>
              <w:rPr>
                <w:b/>
                <w:bCs/>
                <w:color w:val="FFFFFF"/>
                <w:sz w:val="16"/>
                <w:szCs w:val="16"/>
              </w:rPr>
            </w:pPr>
            <w:r w:rsidRPr="00F6320D">
              <w:rPr>
                <w:b/>
                <w:bCs/>
                <w:color w:val="FFFFFF"/>
                <w:sz w:val="16"/>
                <w:szCs w:val="16"/>
              </w:rPr>
              <w:t>% БВП</w:t>
            </w:r>
          </w:p>
        </w:tc>
        <w:tc>
          <w:tcPr>
            <w:tcW w:w="880" w:type="dxa"/>
            <w:tcBorders>
              <w:top w:val="nil"/>
              <w:left w:val="single" w:sz="8" w:space="0" w:color="FFFFFF"/>
              <w:bottom w:val="double" w:sz="6" w:space="0" w:color="800000"/>
              <w:right w:val="nil"/>
            </w:tcBorders>
            <w:shd w:val="clear" w:color="auto" w:fill="800000"/>
          </w:tcPr>
          <w:p w:rsidR="000938C1" w:rsidRPr="00F6320D" w:rsidRDefault="000938C1" w:rsidP="003A57FD">
            <w:pPr>
              <w:jc w:val="center"/>
              <w:rPr>
                <w:b/>
                <w:bCs/>
                <w:color w:val="FFFFFF"/>
                <w:sz w:val="16"/>
                <w:szCs w:val="16"/>
              </w:rPr>
            </w:pPr>
            <w:r w:rsidRPr="00F6320D">
              <w:rPr>
                <w:b/>
                <w:bCs/>
                <w:color w:val="FFFFFF"/>
                <w:sz w:val="16"/>
                <w:szCs w:val="16"/>
              </w:rPr>
              <w:t>ОТЧЕТ</w:t>
            </w:r>
          </w:p>
        </w:tc>
        <w:tc>
          <w:tcPr>
            <w:tcW w:w="720" w:type="dxa"/>
            <w:tcBorders>
              <w:top w:val="nil"/>
              <w:left w:val="single" w:sz="8" w:space="0" w:color="FFFFFF"/>
              <w:bottom w:val="double" w:sz="6" w:space="0" w:color="800000"/>
              <w:right w:val="double" w:sz="6" w:space="0" w:color="800000"/>
            </w:tcBorders>
            <w:shd w:val="clear" w:color="auto" w:fill="800000"/>
          </w:tcPr>
          <w:p w:rsidR="000938C1" w:rsidRPr="00F6320D" w:rsidRDefault="000938C1" w:rsidP="003A57FD">
            <w:pPr>
              <w:jc w:val="center"/>
              <w:rPr>
                <w:b/>
                <w:bCs/>
                <w:color w:val="FFFFFF"/>
                <w:sz w:val="16"/>
                <w:szCs w:val="16"/>
              </w:rPr>
            </w:pPr>
            <w:r w:rsidRPr="00F6320D">
              <w:rPr>
                <w:b/>
                <w:bCs/>
                <w:color w:val="FFFFFF"/>
                <w:sz w:val="16"/>
                <w:szCs w:val="16"/>
              </w:rPr>
              <w:t>% БВП</w:t>
            </w:r>
          </w:p>
        </w:tc>
      </w:tr>
      <w:tr w:rsidR="000938C1" w:rsidRPr="00F6320D" w:rsidTr="003A57FD">
        <w:trPr>
          <w:trHeight w:val="300"/>
          <w:jc w:val="center"/>
        </w:trPr>
        <w:tc>
          <w:tcPr>
            <w:tcW w:w="3703" w:type="dxa"/>
            <w:tcBorders>
              <w:top w:val="double" w:sz="6" w:space="0" w:color="800000"/>
              <w:left w:val="double" w:sz="6" w:space="0" w:color="800000"/>
              <w:bottom w:val="nil"/>
              <w:right w:val="nil"/>
            </w:tcBorders>
            <w:shd w:val="clear" w:color="auto" w:fill="FFFFCC"/>
            <w:vAlign w:val="bottom"/>
          </w:tcPr>
          <w:p w:rsidR="000938C1" w:rsidRPr="00F6320D" w:rsidRDefault="000938C1" w:rsidP="003A57FD">
            <w:pPr>
              <w:rPr>
                <w:b/>
                <w:bCs/>
              </w:rPr>
            </w:pPr>
            <w:r w:rsidRPr="00F6320D">
              <w:rPr>
                <w:b/>
                <w:bCs/>
                <w:sz w:val="22"/>
                <w:szCs w:val="22"/>
              </w:rPr>
              <w:t>ОБЩО РАЗХОДИ</w:t>
            </w:r>
          </w:p>
        </w:tc>
        <w:tc>
          <w:tcPr>
            <w:tcW w:w="940" w:type="dxa"/>
            <w:tcBorders>
              <w:top w:val="double" w:sz="6" w:space="0" w:color="800000"/>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26 755,4</w:t>
            </w:r>
          </w:p>
        </w:tc>
        <w:tc>
          <w:tcPr>
            <w:tcW w:w="860" w:type="dxa"/>
            <w:tcBorders>
              <w:top w:val="double" w:sz="6" w:space="0" w:color="800000"/>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37,9%</w:t>
            </w:r>
          </w:p>
        </w:tc>
        <w:tc>
          <w:tcPr>
            <w:tcW w:w="900" w:type="dxa"/>
            <w:tcBorders>
              <w:top w:val="double" w:sz="6" w:space="0" w:color="800000"/>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26 866,6</w:t>
            </w:r>
          </w:p>
        </w:tc>
        <w:tc>
          <w:tcPr>
            <w:tcW w:w="920" w:type="dxa"/>
            <w:tcBorders>
              <w:top w:val="double" w:sz="6" w:space="0" w:color="800000"/>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35,7%</w:t>
            </w:r>
          </w:p>
        </w:tc>
        <w:tc>
          <w:tcPr>
            <w:tcW w:w="880" w:type="dxa"/>
            <w:tcBorders>
              <w:top w:val="double" w:sz="6" w:space="0" w:color="800000"/>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27 828,3</w:t>
            </w:r>
          </w:p>
        </w:tc>
        <w:tc>
          <w:tcPr>
            <w:tcW w:w="920" w:type="dxa"/>
            <w:tcBorders>
              <w:top w:val="double" w:sz="6" w:space="0" w:color="800000"/>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35,6%</w:t>
            </w:r>
          </w:p>
        </w:tc>
        <w:tc>
          <w:tcPr>
            <w:tcW w:w="880" w:type="dxa"/>
            <w:tcBorders>
              <w:top w:val="double" w:sz="6" w:space="0" w:color="800000"/>
              <w:left w:val="single" w:sz="8" w:space="0" w:color="800000"/>
              <w:bottom w:val="nil"/>
              <w:right w:val="nil"/>
            </w:tcBorders>
            <w:shd w:val="clear" w:color="auto" w:fill="FFFFCC"/>
            <w:vAlign w:val="bottom"/>
          </w:tcPr>
          <w:p w:rsidR="000938C1" w:rsidRPr="0052476D" w:rsidRDefault="000938C1" w:rsidP="00BF7A00">
            <w:pPr>
              <w:spacing w:before="100" w:beforeAutospacing="1" w:after="100" w:afterAutospacing="1"/>
              <w:jc w:val="right"/>
              <w:rPr>
                <w:b/>
                <w:bCs/>
                <w:sz w:val="20"/>
                <w:szCs w:val="20"/>
                <w:lang w:val="en-US"/>
              </w:rPr>
            </w:pPr>
            <w:r w:rsidRPr="00F6320D">
              <w:rPr>
                <w:b/>
                <w:bCs/>
                <w:sz w:val="20"/>
                <w:szCs w:val="20"/>
              </w:rPr>
              <w:t>30 41</w:t>
            </w:r>
            <w:r>
              <w:rPr>
                <w:b/>
                <w:bCs/>
                <w:sz w:val="20"/>
                <w:szCs w:val="20"/>
                <w:lang w:val="en-US"/>
              </w:rPr>
              <w:t>7</w:t>
            </w:r>
            <w:r w:rsidRPr="00F6320D">
              <w:rPr>
                <w:b/>
                <w:bCs/>
                <w:sz w:val="20"/>
                <w:szCs w:val="20"/>
              </w:rPr>
              <w:t>,</w:t>
            </w:r>
            <w:r>
              <w:rPr>
                <w:b/>
                <w:bCs/>
                <w:sz w:val="20"/>
                <w:szCs w:val="20"/>
                <w:lang w:val="en-US"/>
              </w:rPr>
              <w:t>9</w:t>
            </w:r>
          </w:p>
        </w:tc>
        <w:tc>
          <w:tcPr>
            <w:tcW w:w="720" w:type="dxa"/>
            <w:tcBorders>
              <w:top w:val="double" w:sz="6" w:space="0" w:color="800000"/>
              <w:left w:val="single" w:sz="8" w:space="0" w:color="800000"/>
              <w:bottom w:val="nil"/>
              <w:right w:val="double" w:sz="6" w:space="0" w:color="800000"/>
            </w:tcBorders>
            <w:shd w:val="clear" w:color="auto" w:fill="FFFFCC"/>
            <w:vAlign w:val="bottom"/>
          </w:tcPr>
          <w:p w:rsidR="000938C1" w:rsidRPr="00F6320D" w:rsidRDefault="000938C1" w:rsidP="00BD093E">
            <w:pPr>
              <w:jc w:val="right"/>
              <w:rPr>
                <w:b/>
                <w:bCs/>
                <w:sz w:val="20"/>
                <w:szCs w:val="20"/>
              </w:rPr>
            </w:pPr>
            <w:r w:rsidRPr="00F6320D">
              <w:rPr>
                <w:b/>
                <w:bCs/>
                <w:sz w:val="20"/>
                <w:szCs w:val="20"/>
              </w:rPr>
              <w:t>38,9%</w:t>
            </w:r>
          </w:p>
        </w:tc>
      </w:tr>
      <w:tr w:rsidR="000938C1" w:rsidRPr="00F6320D" w:rsidTr="003A57FD">
        <w:trPr>
          <w:trHeight w:val="80"/>
          <w:jc w:val="center"/>
        </w:trPr>
        <w:tc>
          <w:tcPr>
            <w:tcW w:w="3703" w:type="dxa"/>
            <w:tcBorders>
              <w:top w:val="nil"/>
              <w:left w:val="double" w:sz="6" w:space="0" w:color="800000"/>
              <w:bottom w:val="nil"/>
              <w:right w:val="nil"/>
            </w:tcBorders>
            <w:shd w:val="clear" w:color="auto" w:fill="FFFFCC"/>
          </w:tcPr>
          <w:p w:rsidR="000938C1" w:rsidRPr="00F6320D" w:rsidRDefault="000938C1" w:rsidP="003A57FD">
            <w:pPr>
              <w:rPr>
                <w:b/>
                <w:bCs/>
                <w:sz w:val="4"/>
                <w:szCs w:val="4"/>
              </w:rPr>
            </w:pPr>
            <w:r w:rsidRPr="00F6320D">
              <w:rPr>
                <w:b/>
                <w:bCs/>
                <w:sz w:val="4"/>
                <w:szCs w:val="4"/>
              </w:rPr>
              <w:t> </w:t>
            </w:r>
          </w:p>
        </w:tc>
        <w:tc>
          <w:tcPr>
            <w:tcW w:w="940" w:type="dxa"/>
            <w:tcBorders>
              <w:top w:val="nil"/>
              <w:left w:val="single" w:sz="8" w:space="0" w:color="800000"/>
              <w:bottom w:val="nil"/>
              <w:right w:val="single" w:sz="8" w:space="0" w:color="800000"/>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860" w:type="dxa"/>
            <w:tcBorders>
              <w:top w:val="nil"/>
              <w:left w:val="nil"/>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90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720" w:type="dxa"/>
            <w:tcBorders>
              <w:top w:val="nil"/>
              <w:left w:val="single" w:sz="8" w:space="0" w:color="800000"/>
              <w:bottom w:val="nil"/>
              <w:right w:val="double" w:sz="6" w:space="0" w:color="800000"/>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r>
      <w:tr w:rsidR="000938C1" w:rsidRPr="00F6320D" w:rsidTr="003A57FD">
        <w:trPr>
          <w:trHeight w:val="255"/>
          <w:jc w:val="center"/>
        </w:trPr>
        <w:tc>
          <w:tcPr>
            <w:tcW w:w="3703" w:type="dxa"/>
            <w:tcBorders>
              <w:top w:val="nil"/>
              <w:left w:val="double" w:sz="6" w:space="0" w:color="800000"/>
              <w:bottom w:val="nil"/>
              <w:right w:val="nil"/>
            </w:tcBorders>
            <w:shd w:val="clear" w:color="auto" w:fill="FFFFCC"/>
          </w:tcPr>
          <w:p w:rsidR="000938C1" w:rsidRPr="00F6320D" w:rsidRDefault="000938C1" w:rsidP="003A57FD">
            <w:pPr>
              <w:rPr>
                <w:b/>
                <w:bCs/>
                <w:sz w:val="20"/>
                <w:szCs w:val="20"/>
              </w:rPr>
            </w:pPr>
            <w:r w:rsidRPr="00F6320D">
              <w:rPr>
                <w:b/>
                <w:bCs/>
                <w:sz w:val="20"/>
                <w:szCs w:val="20"/>
              </w:rPr>
              <w:t>Общо нелихвени разходи</w:t>
            </w:r>
          </w:p>
        </w:tc>
        <w:tc>
          <w:tcPr>
            <w:tcW w:w="94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25 599,8</w:t>
            </w:r>
          </w:p>
        </w:tc>
        <w:tc>
          <w:tcPr>
            <w:tcW w:w="86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36,3%</w:t>
            </w:r>
          </w:p>
        </w:tc>
        <w:tc>
          <w:tcPr>
            <w:tcW w:w="90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25 540,4</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33,9%</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26 446,3</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33,9%</w:t>
            </w:r>
          </w:p>
        </w:tc>
        <w:tc>
          <w:tcPr>
            <w:tcW w:w="880" w:type="dxa"/>
            <w:tcBorders>
              <w:top w:val="nil"/>
              <w:left w:val="single" w:sz="8" w:space="0" w:color="800000"/>
              <w:bottom w:val="nil"/>
              <w:right w:val="nil"/>
            </w:tcBorders>
            <w:shd w:val="clear" w:color="auto" w:fill="FFFFCC"/>
            <w:vAlign w:val="bottom"/>
          </w:tcPr>
          <w:p w:rsidR="000938C1" w:rsidRPr="0052476D" w:rsidRDefault="000938C1" w:rsidP="00BF7A00">
            <w:pPr>
              <w:spacing w:before="100" w:beforeAutospacing="1" w:after="100" w:afterAutospacing="1"/>
              <w:jc w:val="right"/>
              <w:rPr>
                <w:b/>
                <w:bCs/>
                <w:sz w:val="20"/>
                <w:szCs w:val="20"/>
                <w:lang w:val="en-US"/>
              </w:rPr>
            </w:pPr>
            <w:r w:rsidRPr="00F6320D">
              <w:rPr>
                <w:b/>
                <w:bCs/>
                <w:sz w:val="20"/>
                <w:szCs w:val="20"/>
              </w:rPr>
              <w:t>28 795,</w:t>
            </w:r>
            <w:r>
              <w:rPr>
                <w:b/>
                <w:bCs/>
                <w:sz w:val="20"/>
                <w:szCs w:val="20"/>
                <w:lang w:val="en-US"/>
              </w:rPr>
              <w:t>0</w:t>
            </w:r>
          </w:p>
        </w:tc>
        <w:tc>
          <w:tcPr>
            <w:tcW w:w="720" w:type="dxa"/>
            <w:tcBorders>
              <w:top w:val="nil"/>
              <w:left w:val="single" w:sz="8" w:space="0" w:color="800000"/>
              <w:bottom w:val="nil"/>
              <w:right w:val="double" w:sz="6" w:space="0" w:color="800000"/>
            </w:tcBorders>
            <w:shd w:val="clear" w:color="auto" w:fill="FFFFCC"/>
            <w:vAlign w:val="bottom"/>
          </w:tcPr>
          <w:p w:rsidR="000938C1" w:rsidRPr="00F6320D" w:rsidRDefault="000938C1" w:rsidP="00BD093E">
            <w:pPr>
              <w:jc w:val="right"/>
              <w:rPr>
                <w:b/>
                <w:bCs/>
                <w:sz w:val="20"/>
                <w:szCs w:val="20"/>
              </w:rPr>
            </w:pPr>
            <w:r w:rsidRPr="00F6320D">
              <w:rPr>
                <w:b/>
                <w:bCs/>
                <w:sz w:val="20"/>
                <w:szCs w:val="20"/>
              </w:rPr>
              <w:t>36,9%</w:t>
            </w:r>
          </w:p>
        </w:tc>
      </w:tr>
      <w:tr w:rsidR="000938C1" w:rsidRPr="00F6320D" w:rsidTr="003A57FD">
        <w:trPr>
          <w:trHeight w:val="80"/>
          <w:jc w:val="center"/>
        </w:trPr>
        <w:tc>
          <w:tcPr>
            <w:tcW w:w="3703" w:type="dxa"/>
            <w:tcBorders>
              <w:top w:val="nil"/>
              <w:left w:val="double" w:sz="6" w:space="0" w:color="800000"/>
              <w:bottom w:val="nil"/>
              <w:right w:val="nil"/>
            </w:tcBorders>
            <w:shd w:val="clear" w:color="auto" w:fill="FFFFCC"/>
          </w:tcPr>
          <w:p w:rsidR="000938C1" w:rsidRPr="00F6320D" w:rsidRDefault="000938C1" w:rsidP="003A57FD">
            <w:pPr>
              <w:rPr>
                <w:b/>
                <w:bCs/>
                <w:sz w:val="4"/>
                <w:szCs w:val="4"/>
              </w:rPr>
            </w:pPr>
          </w:p>
        </w:tc>
        <w:tc>
          <w:tcPr>
            <w:tcW w:w="94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86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90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c>
          <w:tcPr>
            <w:tcW w:w="720" w:type="dxa"/>
            <w:tcBorders>
              <w:top w:val="nil"/>
              <w:left w:val="single" w:sz="8" w:space="0" w:color="800000"/>
              <w:bottom w:val="nil"/>
              <w:right w:val="double" w:sz="6" w:space="0" w:color="800000"/>
            </w:tcBorders>
            <w:shd w:val="clear" w:color="auto" w:fill="FFFFCC"/>
            <w:vAlign w:val="bottom"/>
          </w:tcPr>
          <w:p w:rsidR="000938C1" w:rsidRPr="00F6320D" w:rsidRDefault="000938C1" w:rsidP="00BD093E">
            <w:pPr>
              <w:jc w:val="right"/>
              <w:rPr>
                <w:b/>
                <w:bCs/>
                <w:sz w:val="4"/>
                <w:szCs w:val="4"/>
              </w:rPr>
            </w:pPr>
            <w:r w:rsidRPr="00F6320D">
              <w:rPr>
                <w:b/>
                <w:bCs/>
                <w:sz w:val="4"/>
                <w:szCs w:val="4"/>
              </w:rPr>
              <w:t> </w:t>
            </w:r>
          </w:p>
        </w:tc>
      </w:tr>
      <w:tr w:rsidR="000938C1" w:rsidRPr="00F6320D" w:rsidTr="003A57FD">
        <w:trPr>
          <w:trHeight w:val="270"/>
          <w:jc w:val="center"/>
        </w:trPr>
        <w:tc>
          <w:tcPr>
            <w:tcW w:w="3703" w:type="dxa"/>
            <w:tcBorders>
              <w:top w:val="nil"/>
              <w:left w:val="double" w:sz="6" w:space="0" w:color="800000"/>
              <w:bottom w:val="nil"/>
              <w:right w:val="single" w:sz="8" w:space="0" w:color="800000"/>
            </w:tcBorders>
            <w:shd w:val="clear" w:color="auto" w:fill="FFFFCC"/>
          </w:tcPr>
          <w:p w:rsidR="000938C1" w:rsidRPr="00F6320D" w:rsidRDefault="000938C1" w:rsidP="003A57FD">
            <w:pPr>
              <w:rPr>
                <w:b/>
                <w:bCs/>
                <w:i/>
                <w:iCs/>
                <w:sz w:val="20"/>
                <w:szCs w:val="20"/>
              </w:rPr>
            </w:pPr>
            <w:r w:rsidRPr="00F6320D">
              <w:rPr>
                <w:b/>
                <w:bCs/>
                <w:i/>
                <w:iCs/>
                <w:sz w:val="20"/>
                <w:szCs w:val="20"/>
              </w:rPr>
              <w:t xml:space="preserve">  Текущи нелихвени разходи</w:t>
            </w:r>
          </w:p>
        </w:tc>
        <w:tc>
          <w:tcPr>
            <w:tcW w:w="94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21 932,9</w:t>
            </w:r>
          </w:p>
        </w:tc>
        <w:tc>
          <w:tcPr>
            <w:tcW w:w="860" w:type="dxa"/>
            <w:tcBorders>
              <w:top w:val="nil"/>
              <w:left w:val="single" w:sz="8" w:space="0" w:color="800000"/>
              <w:bottom w:val="nil"/>
              <w:right w:val="single" w:sz="8" w:space="0" w:color="800000"/>
            </w:tcBorders>
            <w:shd w:val="clear" w:color="auto" w:fill="FFFFCC"/>
            <w:vAlign w:val="bottom"/>
          </w:tcPr>
          <w:p w:rsidR="000938C1" w:rsidRPr="00F6320D" w:rsidRDefault="000938C1" w:rsidP="00BD093E">
            <w:pPr>
              <w:jc w:val="right"/>
              <w:rPr>
                <w:b/>
                <w:bCs/>
                <w:sz w:val="20"/>
                <w:szCs w:val="20"/>
              </w:rPr>
            </w:pPr>
            <w:r w:rsidRPr="00F6320D">
              <w:rPr>
                <w:b/>
                <w:bCs/>
                <w:sz w:val="20"/>
                <w:szCs w:val="20"/>
              </w:rPr>
              <w:t>31,1%</w:t>
            </w:r>
          </w:p>
        </w:tc>
        <w:tc>
          <w:tcPr>
            <w:tcW w:w="900" w:type="dxa"/>
            <w:tcBorders>
              <w:top w:val="nil"/>
              <w:left w:val="nil"/>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22 465,0</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29,8%</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22 765,2</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b/>
                <w:bCs/>
                <w:sz w:val="20"/>
                <w:szCs w:val="20"/>
              </w:rPr>
            </w:pPr>
            <w:r w:rsidRPr="00F6320D">
              <w:rPr>
                <w:b/>
                <w:bCs/>
                <w:sz w:val="20"/>
                <w:szCs w:val="20"/>
              </w:rPr>
              <w:t>29,2%</w:t>
            </w:r>
          </w:p>
        </w:tc>
        <w:tc>
          <w:tcPr>
            <w:tcW w:w="880" w:type="dxa"/>
            <w:tcBorders>
              <w:top w:val="nil"/>
              <w:left w:val="single" w:sz="8" w:space="0" w:color="800000"/>
              <w:bottom w:val="nil"/>
              <w:right w:val="single" w:sz="8" w:space="0" w:color="800000"/>
            </w:tcBorders>
            <w:shd w:val="clear" w:color="auto" w:fill="FFFFCC"/>
            <w:vAlign w:val="bottom"/>
          </w:tcPr>
          <w:p w:rsidR="000938C1" w:rsidRPr="0052476D" w:rsidRDefault="000938C1" w:rsidP="00BF7A00">
            <w:pPr>
              <w:spacing w:before="100" w:beforeAutospacing="1" w:after="100" w:afterAutospacing="1"/>
              <w:jc w:val="right"/>
              <w:rPr>
                <w:b/>
                <w:bCs/>
                <w:sz w:val="20"/>
                <w:szCs w:val="20"/>
                <w:lang w:val="en-US"/>
              </w:rPr>
            </w:pPr>
            <w:r w:rsidRPr="00F6320D">
              <w:rPr>
                <w:b/>
                <w:bCs/>
                <w:sz w:val="20"/>
                <w:szCs w:val="20"/>
              </w:rPr>
              <w:t>24 68</w:t>
            </w:r>
            <w:r>
              <w:rPr>
                <w:b/>
                <w:bCs/>
                <w:sz w:val="20"/>
                <w:szCs w:val="20"/>
                <w:lang w:val="en-US"/>
              </w:rPr>
              <w:t>1</w:t>
            </w:r>
            <w:r w:rsidRPr="00F6320D">
              <w:rPr>
                <w:b/>
                <w:bCs/>
                <w:sz w:val="20"/>
                <w:szCs w:val="20"/>
              </w:rPr>
              <w:t>,</w:t>
            </w:r>
            <w:r>
              <w:rPr>
                <w:b/>
                <w:bCs/>
                <w:sz w:val="20"/>
                <w:szCs w:val="20"/>
                <w:lang w:val="en-US"/>
              </w:rPr>
              <w:t>9</w:t>
            </w:r>
          </w:p>
        </w:tc>
        <w:tc>
          <w:tcPr>
            <w:tcW w:w="720" w:type="dxa"/>
            <w:tcBorders>
              <w:top w:val="nil"/>
              <w:left w:val="nil"/>
              <w:bottom w:val="nil"/>
              <w:right w:val="double" w:sz="6" w:space="0" w:color="800000"/>
            </w:tcBorders>
            <w:shd w:val="clear" w:color="auto" w:fill="FFFFCC"/>
            <w:vAlign w:val="bottom"/>
          </w:tcPr>
          <w:p w:rsidR="000938C1" w:rsidRPr="00F6320D" w:rsidRDefault="000938C1" w:rsidP="00BD093E">
            <w:pPr>
              <w:jc w:val="right"/>
              <w:rPr>
                <w:b/>
                <w:bCs/>
                <w:sz w:val="20"/>
                <w:szCs w:val="20"/>
              </w:rPr>
            </w:pPr>
            <w:r w:rsidRPr="00F6320D">
              <w:rPr>
                <w:b/>
                <w:bCs/>
                <w:sz w:val="20"/>
                <w:szCs w:val="20"/>
              </w:rPr>
              <w:t>31,6%</w:t>
            </w:r>
          </w:p>
        </w:tc>
      </w:tr>
      <w:tr w:rsidR="000938C1" w:rsidRPr="00F6320D" w:rsidTr="003A57FD">
        <w:trPr>
          <w:trHeight w:val="255"/>
          <w:jc w:val="center"/>
        </w:trPr>
        <w:tc>
          <w:tcPr>
            <w:tcW w:w="3703" w:type="dxa"/>
            <w:tcBorders>
              <w:top w:val="nil"/>
              <w:left w:val="double" w:sz="6" w:space="0" w:color="800000"/>
              <w:bottom w:val="nil"/>
              <w:right w:val="nil"/>
            </w:tcBorders>
            <w:shd w:val="clear" w:color="auto" w:fill="FFFFCC"/>
          </w:tcPr>
          <w:p w:rsidR="000938C1" w:rsidRPr="00F6320D" w:rsidRDefault="000938C1" w:rsidP="003A57FD">
            <w:pPr>
              <w:ind w:right="-304"/>
              <w:rPr>
                <w:sz w:val="20"/>
                <w:szCs w:val="20"/>
              </w:rPr>
            </w:pPr>
            <w:r w:rsidRPr="00F6320D">
              <w:rPr>
                <w:sz w:val="20"/>
                <w:szCs w:val="20"/>
              </w:rPr>
              <w:t xml:space="preserve">Заплати и възнаграждения за персонал </w:t>
            </w:r>
          </w:p>
        </w:tc>
        <w:tc>
          <w:tcPr>
            <w:tcW w:w="94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4 064,7</w:t>
            </w:r>
          </w:p>
        </w:tc>
        <w:tc>
          <w:tcPr>
            <w:tcW w:w="86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5,8%</w:t>
            </w:r>
          </w:p>
        </w:tc>
        <w:tc>
          <w:tcPr>
            <w:tcW w:w="90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4 069,3</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5,4%</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4 140,1</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5,3%</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4 453,7</w:t>
            </w:r>
          </w:p>
        </w:tc>
        <w:tc>
          <w:tcPr>
            <w:tcW w:w="720" w:type="dxa"/>
            <w:tcBorders>
              <w:top w:val="nil"/>
              <w:left w:val="single" w:sz="8" w:space="0" w:color="800000"/>
              <w:bottom w:val="nil"/>
              <w:right w:val="double" w:sz="6" w:space="0" w:color="800000"/>
            </w:tcBorders>
            <w:shd w:val="clear" w:color="auto" w:fill="FFFFCC"/>
            <w:vAlign w:val="bottom"/>
          </w:tcPr>
          <w:p w:rsidR="000938C1" w:rsidRPr="00F6320D" w:rsidRDefault="000938C1" w:rsidP="00BD093E">
            <w:pPr>
              <w:jc w:val="right"/>
              <w:rPr>
                <w:sz w:val="20"/>
                <w:szCs w:val="20"/>
              </w:rPr>
            </w:pPr>
            <w:r w:rsidRPr="00F6320D">
              <w:rPr>
                <w:sz w:val="20"/>
                <w:szCs w:val="20"/>
              </w:rPr>
              <w:t>5,7%</w:t>
            </w:r>
          </w:p>
        </w:tc>
      </w:tr>
      <w:tr w:rsidR="000938C1" w:rsidRPr="00F6320D" w:rsidTr="003A57FD">
        <w:trPr>
          <w:trHeight w:val="255"/>
          <w:jc w:val="center"/>
        </w:trPr>
        <w:tc>
          <w:tcPr>
            <w:tcW w:w="3703" w:type="dxa"/>
            <w:tcBorders>
              <w:top w:val="nil"/>
              <w:left w:val="double" w:sz="6" w:space="0" w:color="800000"/>
              <w:bottom w:val="nil"/>
              <w:right w:val="nil"/>
            </w:tcBorders>
            <w:shd w:val="clear" w:color="auto" w:fill="FFFFCC"/>
          </w:tcPr>
          <w:p w:rsidR="000938C1" w:rsidRPr="00F6320D" w:rsidRDefault="000938C1" w:rsidP="003A57FD">
            <w:pPr>
              <w:rPr>
                <w:b/>
                <w:bCs/>
                <w:sz w:val="20"/>
                <w:szCs w:val="20"/>
              </w:rPr>
            </w:pPr>
            <w:r w:rsidRPr="00F6320D">
              <w:rPr>
                <w:sz w:val="20"/>
                <w:szCs w:val="20"/>
              </w:rPr>
              <w:t>Осигурителни вноски</w:t>
            </w:r>
          </w:p>
        </w:tc>
        <w:tc>
          <w:tcPr>
            <w:tcW w:w="94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 xml:space="preserve"> 982,7</w:t>
            </w:r>
          </w:p>
        </w:tc>
        <w:tc>
          <w:tcPr>
            <w:tcW w:w="86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1,4%</w:t>
            </w:r>
          </w:p>
        </w:tc>
        <w:tc>
          <w:tcPr>
            <w:tcW w:w="90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 xml:space="preserve"> 1 051,3</w:t>
            </w:r>
          </w:p>
        </w:tc>
        <w:tc>
          <w:tcPr>
            <w:tcW w:w="92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1,4%</w:t>
            </w:r>
          </w:p>
        </w:tc>
        <w:tc>
          <w:tcPr>
            <w:tcW w:w="880" w:type="dxa"/>
            <w:tcBorders>
              <w:top w:val="nil"/>
              <w:left w:val="single" w:sz="8" w:space="0" w:color="800000"/>
              <w:bottom w:val="nil"/>
              <w:right w:val="single" w:sz="8" w:space="0" w:color="800000"/>
            </w:tcBorders>
            <w:shd w:val="clear" w:color="auto" w:fill="FFFFCC"/>
            <w:vAlign w:val="bottom"/>
          </w:tcPr>
          <w:p w:rsidR="000938C1" w:rsidRPr="00F6320D" w:rsidRDefault="000938C1" w:rsidP="00BD093E">
            <w:pPr>
              <w:jc w:val="right"/>
              <w:rPr>
                <w:sz w:val="20"/>
                <w:szCs w:val="20"/>
              </w:rPr>
            </w:pPr>
            <w:r w:rsidRPr="00F6320D">
              <w:rPr>
                <w:sz w:val="20"/>
                <w:szCs w:val="20"/>
              </w:rPr>
              <w:t xml:space="preserve"> 1 067,5</w:t>
            </w:r>
          </w:p>
        </w:tc>
        <w:tc>
          <w:tcPr>
            <w:tcW w:w="920" w:type="dxa"/>
            <w:tcBorders>
              <w:top w:val="nil"/>
              <w:left w:val="nil"/>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1,4%</w:t>
            </w:r>
          </w:p>
        </w:tc>
        <w:tc>
          <w:tcPr>
            <w:tcW w:w="880" w:type="dxa"/>
            <w:tcBorders>
              <w:top w:val="nil"/>
              <w:left w:val="single" w:sz="8" w:space="0" w:color="800000"/>
              <w:bottom w:val="nil"/>
              <w:right w:val="nil"/>
            </w:tcBorders>
            <w:shd w:val="clear" w:color="auto" w:fill="FFFFCC"/>
            <w:vAlign w:val="bottom"/>
          </w:tcPr>
          <w:p w:rsidR="000938C1" w:rsidRPr="00F6320D" w:rsidRDefault="000938C1" w:rsidP="00BD093E">
            <w:pPr>
              <w:jc w:val="right"/>
              <w:rPr>
                <w:sz w:val="20"/>
                <w:szCs w:val="20"/>
              </w:rPr>
            </w:pPr>
            <w:r w:rsidRPr="00F6320D">
              <w:rPr>
                <w:sz w:val="20"/>
                <w:szCs w:val="20"/>
              </w:rPr>
              <w:t xml:space="preserve"> 1 369,2</w:t>
            </w:r>
          </w:p>
        </w:tc>
        <w:tc>
          <w:tcPr>
            <w:tcW w:w="720" w:type="dxa"/>
            <w:tcBorders>
              <w:top w:val="nil"/>
              <w:left w:val="single" w:sz="8" w:space="0" w:color="800000"/>
              <w:bottom w:val="nil"/>
              <w:right w:val="double" w:sz="6" w:space="0" w:color="800000"/>
            </w:tcBorders>
            <w:shd w:val="clear" w:color="auto" w:fill="FFFFCC"/>
            <w:vAlign w:val="bottom"/>
          </w:tcPr>
          <w:p w:rsidR="000938C1" w:rsidRPr="00F6320D" w:rsidRDefault="000938C1" w:rsidP="00BD093E">
            <w:pPr>
              <w:jc w:val="right"/>
              <w:rPr>
                <w:sz w:val="20"/>
                <w:szCs w:val="20"/>
              </w:rPr>
            </w:pPr>
            <w:r w:rsidRPr="00F6320D">
              <w:rPr>
                <w:sz w:val="20"/>
                <w:szCs w:val="20"/>
              </w:rPr>
              <w:t>1,8%</w:t>
            </w:r>
          </w:p>
        </w:tc>
      </w:tr>
      <w:tr w:rsidR="000938C1" w:rsidRPr="00CF1A14" w:rsidTr="003A57FD">
        <w:trPr>
          <w:trHeight w:val="255"/>
          <w:jc w:val="center"/>
        </w:trPr>
        <w:tc>
          <w:tcPr>
            <w:tcW w:w="3703" w:type="dxa"/>
            <w:tcBorders>
              <w:top w:val="nil"/>
              <w:left w:val="double" w:sz="6" w:space="0" w:color="800000"/>
              <w:bottom w:val="nil"/>
              <w:right w:val="nil"/>
            </w:tcBorders>
            <w:shd w:val="clear" w:color="auto" w:fill="FFFFCC"/>
          </w:tcPr>
          <w:p w:rsidR="000938C1" w:rsidRPr="00C57139" w:rsidRDefault="000938C1" w:rsidP="003A57FD">
            <w:pPr>
              <w:rPr>
                <w:sz w:val="20"/>
                <w:szCs w:val="20"/>
              </w:rPr>
            </w:pPr>
            <w:r w:rsidRPr="00C57139">
              <w:rPr>
                <w:sz w:val="20"/>
                <w:szCs w:val="20"/>
              </w:rPr>
              <w:t xml:space="preserve">    Стипендии</w:t>
            </w:r>
          </w:p>
        </w:tc>
        <w:tc>
          <w:tcPr>
            <w:tcW w:w="94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81,9</w:t>
            </w:r>
          </w:p>
        </w:tc>
        <w:tc>
          <w:tcPr>
            <w:tcW w:w="86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0,1%</w:t>
            </w:r>
          </w:p>
        </w:tc>
        <w:tc>
          <w:tcPr>
            <w:tcW w:w="90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sz w:val="20"/>
                <w:szCs w:val="20"/>
              </w:rPr>
            </w:pPr>
            <w:r w:rsidRPr="00C57139">
              <w:rPr>
                <w:sz w:val="20"/>
                <w:szCs w:val="20"/>
              </w:rPr>
              <w:t>83,0</w:t>
            </w:r>
          </w:p>
        </w:tc>
        <w:tc>
          <w:tcPr>
            <w:tcW w:w="920" w:type="dxa"/>
            <w:tcBorders>
              <w:top w:val="nil"/>
              <w:left w:val="nil"/>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0,1%</w:t>
            </w:r>
          </w:p>
        </w:tc>
        <w:tc>
          <w:tcPr>
            <w:tcW w:w="88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99,0</w:t>
            </w:r>
          </w:p>
        </w:tc>
        <w:tc>
          <w:tcPr>
            <w:tcW w:w="92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0,1%</w:t>
            </w:r>
          </w:p>
        </w:tc>
        <w:tc>
          <w:tcPr>
            <w:tcW w:w="880" w:type="dxa"/>
            <w:tcBorders>
              <w:top w:val="nil"/>
              <w:left w:val="single" w:sz="8" w:space="0" w:color="800000"/>
              <w:bottom w:val="nil"/>
              <w:right w:val="nil"/>
            </w:tcBorders>
            <w:shd w:val="clear" w:color="auto" w:fill="FFFFCC"/>
            <w:vAlign w:val="bottom"/>
          </w:tcPr>
          <w:p w:rsidR="000938C1" w:rsidRPr="00C230B0" w:rsidRDefault="000938C1" w:rsidP="00BD093E">
            <w:pPr>
              <w:jc w:val="right"/>
              <w:rPr>
                <w:sz w:val="20"/>
                <w:szCs w:val="20"/>
              </w:rPr>
            </w:pPr>
            <w:r w:rsidRPr="00C230B0">
              <w:rPr>
                <w:sz w:val="20"/>
                <w:szCs w:val="20"/>
              </w:rPr>
              <w:t>106,2</w:t>
            </w:r>
          </w:p>
        </w:tc>
        <w:tc>
          <w:tcPr>
            <w:tcW w:w="720" w:type="dxa"/>
            <w:tcBorders>
              <w:top w:val="nil"/>
              <w:left w:val="single" w:sz="8" w:space="0" w:color="800000"/>
              <w:bottom w:val="nil"/>
              <w:right w:val="double" w:sz="6" w:space="0" w:color="800000"/>
            </w:tcBorders>
            <w:shd w:val="clear" w:color="auto" w:fill="FFFFCC"/>
            <w:vAlign w:val="bottom"/>
          </w:tcPr>
          <w:p w:rsidR="000938C1" w:rsidRPr="00C230B0" w:rsidRDefault="000938C1" w:rsidP="00BD093E">
            <w:pPr>
              <w:jc w:val="right"/>
              <w:rPr>
                <w:sz w:val="20"/>
                <w:szCs w:val="20"/>
              </w:rPr>
            </w:pPr>
            <w:r w:rsidRPr="00C230B0">
              <w:rPr>
                <w:sz w:val="20"/>
                <w:szCs w:val="20"/>
              </w:rPr>
              <w:t>0,1%</w:t>
            </w:r>
          </w:p>
        </w:tc>
      </w:tr>
      <w:tr w:rsidR="000938C1" w:rsidRPr="00CF1A14" w:rsidTr="003A57FD">
        <w:trPr>
          <w:trHeight w:val="157"/>
          <w:jc w:val="center"/>
        </w:trPr>
        <w:tc>
          <w:tcPr>
            <w:tcW w:w="3703" w:type="dxa"/>
            <w:tcBorders>
              <w:top w:val="nil"/>
              <w:left w:val="double" w:sz="6" w:space="0" w:color="800000"/>
              <w:bottom w:val="nil"/>
              <w:right w:val="nil"/>
            </w:tcBorders>
            <w:shd w:val="clear" w:color="auto" w:fill="FFFFCC"/>
            <w:vAlign w:val="bottom"/>
          </w:tcPr>
          <w:p w:rsidR="000938C1" w:rsidRPr="00C57139" w:rsidRDefault="000938C1" w:rsidP="003A57FD">
            <w:r w:rsidRPr="00C57139">
              <w:rPr>
                <w:sz w:val="20"/>
                <w:szCs w:val="20"/>
              </w:rPr>
              <w:t xml:space="preserve">Издръжка* </w:t>
            </w:r>
          </w:p>
        </w:tc>
        <w:tc>
          <w:tcPr>
            <w:tcW w:w="94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4 441,7</w:t>
            </w:r>
          </w:p>
        </w:tc>
        <w:tc>
          <w:tcPr>
            <w:tcW w:w="86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6,3%</w:t>
            </w:r>
          </w:p>
        </w:tc>
        <w:tc>
          <w:tcPr>
            <w:tcW w:w="90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sz w:val="20"/>
                <w:szCs w:val="20"/>
                <w:lang w:val="en-US"/>
              </w:rPr>
            </w:pPr>
            <w:r w:rsidRPr="00C57139">
              <w:rPr>
                <w:sz w:val="20"/>
                <w:szCs w:val="20"/>
              </w:rPr>
              <w:t xml:space="preserve">4 </w:t>
            </w:r>
            <w:r w:rsidRPr="00C57139">
              <w:rPr>
                <w:sz w:val="20"/>
                <w:szCs w:val="20"/>
                <w:lang w:val="en-US"/>
              </w:rPr>
              <w:t>453</w:t>
            </w:r>
            <w:r w:rsidRPr="00C57139">
              <w:rPr>
                <w:sz w:val="20"/>
                <w:szCs w:val="20"/>
              </w:rPr>
              <w:t>,</w:t>
            </w:r>
            <w:r w:rsidRPr="00C57139">
              <w:rPr>
                <w:sz w:val="20"/>
                <w:szCs w:val="20"/>
                <w:lang w:val="en-US"/>
              </w:rPr>
              <w:t>8</w:t>
            </w:r>
          </w:p>
        </w:tc>
        <w:tc>
          <w:tcPr>
            <w:tcW w:w="920" w:type="dxa"/>
            <w:tcBorders>
              <w:top w:val="nil"/>
              <w:left w:val="nil"/>
              <w:bottom w:val="nil"/>
              <w:right w:val="single" w:sz="8" w:space="0" w:color="800000"/>
            </w:tcBorders>
            <w:shd w:val="clear" w:color="auto" w:fill="FFFFCC"/>
            <w:vAlign w:val="bottom"/>
          </w:tcPr>
          <w:p w:rsidR="000938C1" w:rsidRPr="00C57139" w:rsidRDefault="000938C1" w:rsidP="00BD093E">
            <w:pPr>
              <w:jc w:val="right"/>
              <w:rPr>
                <w:sz w:val="20"/>
                <w:szCs w:val="20"/>
              </w:rPr>
            </w:pPr>
            <w:r w:rsidRPr="00C57139">
              <w:rPr>
                <w:sz w:val="20"/>
                <w:szCs w:val="20"/>
              </w:rPr>
              <w:t>5,9%</w:t>
            </w:r>
          </w:p>
        </w:tc>
        <w:tc>
          <w:tcPr>
            <w:tcW w:w="880" w:type="dxa"/>
            <w:tcBorders>
              <w:top w:val="nil"/>
              <w:left w:val="nil"/>
              <w:bottom w:val="nil"/>
              <w:right w:val="single" w:sz="8" w:space="0" w:color="800000"/>
            </w:tcBorders>
            <w:shd w:val="clear" w:color="auto" w:fill="FFFFCC"/>
            <w:vAlign w:val="bottom"/>
          </w:tcPr>
          <w:p w:rsidR="000938C1" w:rsidRPr="00C57139" w:rsidRDefault="000938C1" w:rsidP="00BD093E">
            <w:pPr>
              <w:jc w:val="right"/>
              <w:rPr>
                <w:sz w:val="20"/>
                <w:szCs w:val="20"/>
                <w:lang w:val="en-US"/>
              </w:rPr>
            </w:pPr>
            <w:r w:rsidRPr="00C57139">
              <w:rPr>
                <w:sz w:val="20"/>
                <w:szCs w:val="20"/>
              </w:rPr>
              <w:t xml:space="preserve">4 </w:t>
            </w:r>
            <w:r w:rsidRPr="00C57139">
              <w:rPr>
                <w:sz w:val="20"/>
                <w:szCs w:val="20"/>
                <w:lang w:val="en-US"/>
              </w:rPr>
              <w:t>4</w:t>
            </w:r>
            <w:r w:rsidRPr="00C57139">
              <w:rPr>
                <w:sz w:val="20"/>
                <w:szCs w:val="20"/>
              </w:rPr>
              <w:t>81,6</w:t>
            </w:r>
          </w:p>
        </w:tc>
        <w:tc>
          <w:tcPr>
            <w:tcW w:w="920" w:type="dxa"/>
            <w:tcBorders>
              <w:top w:val="nil"/>
              <w:left w:val="nil"/>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5,7%</w:t>
            </w:r>
          </w:p>
        </w:tc>
        <w:tc>
          <w:tcPr>
            <w:tcW w:w="880" w:type="dxa"/>
            <w:tcBorders>
              <w:top w:val="nil"/>
              <w:left w:val="single" w:sz="8" w:space="0" w:color="800000"/>
              <w:bottom w:val="nil"/>
              <w:right w:val="nil"/>
            </w:tcBorders>
            <w:shd w:val="clear" w:color="auto" w:fill="FFFFCC"/>
            <w:vAlign w:val="bottom"/>
          </w:tcPr>
          <w:p w:rsidR="000938C1" w:rsidRPr="0052476D" w:rsidRDefault="000938C1" w:rsidP="00BF7A00">
            <w:pPr>
              <w:spacing w:before="100" w:beforeAutospacing="1" w:after="100" w:afterAutospacing="1"/>
              <w:jc w:val="right"/>
              <w:rPr>
                <w:sz w:val="20"/>
                <w:szCs w:val="20"/>
                <w:lang w:val="en-US"/>
              </w:rPr>
            </w:pPr>
            <w:r w:rsidRPr="00C230B0">
              <w:rPr>
                <w:sz w:val="20"/>
                <w:szCs w:val="20"/>
              </w:rPr>
              <w:t>4 69</w:t>
            </w:r>
            <w:r>
              <w:rPr>
                <w:sz w:val="20"/>
                <w:szCs w:val="20"/>
                <w:lang w:val="en-US"/>
              </w:rPr>
              <w:t>5</w:t>
            </w:r>
            <w:r w:rsidRPr="00C230B0">
              <w:rPr>
                <w:sz w:val="20"/>
                <w:szCs w:val="20"/>
              </w:rPr>
              <w:t>,</w:t>
            </w:r>
            <w:r>
              <w:rPr>
                <w:sz w:val="20"/>
                <w:szCs w:val="20"/>
                <w:lang w:val="en-US"/>
              </w:rPr>
              <w:t>9</w:t>
            </w:r>
          </w:p>
        </w:tc>
        <w:tc>
          <w:tcPr>
            <w:tcW w:w="720" w:type="dxa"/>
            <w:tcBorders>
              <w:top w:val="nil"/>
              <w:left w:val="single" w:sz="8" w:space="0" w:color="800000"/>
              <w:bottom w:val="nil"/>
              <w:right w:val="double" w:sz="6" w:space="0" w:color="800000"/>
            </w:tcBorders>
            <w:shd w:val="clear" w:color="auto" w:fill="FFFFCC"/>
            <w:vAlign w:val="bottom"/>
          </w:tcPr>
          <w:p w:rsidR="000938C1" w:rsidRPr="00C230B0" w:rsidRDefault="000938C1" w:rsidP="00BD093E">
            <w:pPr>
              <w:jc w:val="right"/>
              <w:rPr>
                <w:sz w:val="20"/>
                <w:szCs w:val="20"/>
              </w:rPr>
            </w:pPr>
            <w:r w:rsidRPr="00C230B0">
              <w:rPr>
                <w:sz w:val="20"/>
                <w:szCs w:val="20"/>
              </w:rPr>
              <w:t>6,0%</w:t>
            </w:r>
          </w:p>
        </w:tc>
      </w:tr>
      <w:tr w:rsidR="000938C1" w:rsidRPr="00CF1A14" w:rsidTr="003A57FD">
        <w:trPr>
          <w:trHeight w:val="255"/>
          <w:jc w:val="center"/>
        </w:trPr>
        <w:tc>
          <w:tcPr>
            <w:tcW w:w="3703" w:type="dxa"/>
            <w:tcBorders>
              <w:top w:val="nil"/>
              <w:left w:val="double" w:sz="6" w:space="0" w:color="800000"/>
              <w:bottom w:val="nil"/>
              <w:right w:val="single" w:sz="8" w:space="0" w:color="800000"/>
            </w:tcBorders>
            <w:shd w:val="clear" w:color="auto" w:fill="FFFFCC"/>
          </w:tcPr>
          <w:p w:rsidR="000938C1" w:rsidRPr="00C57139" w:rsidRDefault="000938C1" w:rsidP="003A57FD">
            <w:pPr>
              <w:rPr>
                <w:b/>
                <w:bCs/>
                <w:sz w:val="20"/>
                <w:szCs w:val="20"/>
              </w:rPr>
            </w:pPr>
            <w:r w:rsidRPr="00C57139">
              <w:rPr>
                <w:sz w:val="20"/>
                <w:szCs w:val="20"/>
              </w:rPr>
              <w:t>Субсидии</w:t>
            </w:r>
          </w:p>
        </w:tc>
        <w:tc>
          <w:tcPr>
            <w:tcW w:w="94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1 485,0</w:t>
            </w:r>
          </w:p>
        </w:tc>
        <w:tc>
          <w:tcPr>
            <w:tcW w:w="86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2,1%</w:t>
            </w:r>
          </w:p>
        </w:tc>
        <w:tc>
          <w:tcPr>
            <w:tcW w:w="90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sz w:val="20"/>
                <w:szCs w:val="20"/>
                <w:lang w:val="en-US"/>
              </w:rPr>
            </w:pPr>
            <w:r w:rsidRPr="00C57139">
              <w:rPr>
                <w:sz w:val="20"/>
                <w:szCs w:val="20"/>
              </w:rPr>
              <w:t xml:space="preserve">1 </w:t>
            </w:r>
            <w:r w:rsidRPr="00C57139">
              <w:rPr>
                <w:sz w:val="20"/>
                <w:szCs w:val="20"/>
                <w:lang w:val="en-US"/>
              </w:rPr>
              <w:t>595</w:t>
            </w:r>
            <w:r w:rsidRPr="00C57139">
              <w:rPr>
                <w:sz w:val="20"/>
                <w:szCs w:val="20"/>
              </w:rPr>
              <w:t>,</w:t>
            </w:r>
            <w:r w:rsidRPr="00C57139">
              <w:rPr>
                <w:sz w:val="20"/>
                <w:szCs w:val="20"/>
                <w:lang w:val="en-US"/>
              </w:rPr>
              <w:t>1</w:t>
            </w:r>
          </w:p>
        </w:tc>
        <w:tc>
          <w:tcPr>
            <w:tcW w:w="920" w:type="dxa"/>
            <w:tcBorders>
              <w:top w:val="nil"/>
              <w:left w:val="nil"/>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2,1%</w:t>
            </w:r>
          </w:p>
        </w:tc>
        <w:tc>
          <w:tcPr>
            <w:tcW w:w="88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lang w:val="en-US"/>
              </w:rPr>
            </w:pPr>
            <w:r w:rsidRPr="00C57139">
              <w:rPr>
                <w:sz w:val="20"/>
                <w:szCs w:val="20"/>
              </w:rPr>
              <w:t>1 233,2</w:t>
            </w:r>
          </w:p>
        </w:tc>
        <w:tc>
          <w:tcPr>
            <w:tcW w:w="92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1,6%</w:t>
            </w:r>
          </w:p>
        </w:tc>
        <w:tc>
          <w:tcPr>
            <w:tcW w:w="880" w:type="dxa"/>
            <w:tcBorders>
              <w:top w:val="nil"/>
              <w:left w:val="single" w:sz="8" w:space="0" w:color="800000"/>
              <w:bottom w:val="nil"/>
              <w:right w:val="nil"/>
            </w:tcBorders>
            <w:shd w:val="clear" w:color="auto" w:fill="FFFFCC"/>
            <w:vAlign w:val="bottom"/>
          </w:tcPr>
          <w:p w:rsidR="000938C1" w:rsidRPr="00BF7A00" w:rsidRDefault="000938C1" w:rsidP="00BF7A00">
            <w:pPr>
              <w:jc w:val="right"/>
              <w:rPr>
                <w:sz w:val="20"/>
                <w:szCs w:val="20"/>
                <w:lang w:val="en-US"/>
              </w:rPr>
            </w:pPr>
            <w:r w:rsidRPr="00C230B0">
              <w:rPr>
                <w:sz w:val="20"/>
                <w:szCs w:val="20"/>
              </w:rPr>
              <w:t>1</w:t>
            </w:r>
            <w:r>
              <w:rPr>
                <w:sz w:val="20"/>
                <w:szCs w:val="20"/>
              </w:rPr>
              <w:t> </w:t>
            </w:r>
            <w:r w:rsidRPr="00C230B0">
              <w:rPr>
                <w:sz w:val="20"/>
                <w:szCs w:val="20"/>
              </w:rPr>
              <w:t>4</w:t>
            </w:r>
            <w:r>
              <w:rPr>
                <w:sz w:val="20"/>
                <w:szCs w:val="20"/>
              </w:rPr>
              <w:t>16,</w:t>
            </w:r>
            <w:r>
              <w:rPr>
                <w:sz w:val="20"/>
                <w:szCs w:val="20"/>
                <w:lang w:val="en-US"/>
              </w:rPr>
              <w:t>3</w:t>
            </w:r>
          </w:p>
        </w:tc>
        <w:tc>
          <w:tcPr>
            <w:tcW w:w="720" w:type="dxa"/>
            <w:tcBorders>
              <w:top w:val="nil"/>
              <w:left w:val="single" w:sz="8" w:space="0" w:color="800000"/>
              <w:bottom w:val="nil"/>
              <w:right w:val="double" w:sz="6" w:space="0" w:color="800000"/>
            </w:tcBorders>
            <w:shd w:val="clear" w:color="auto" w:fill="FFFFCC"/>
            <w:vAlign w:val="bottom"/>
          </w:tcPr>
          <w:p w:rsidR="000938C1" w:rsidRPr="00C230B0" w:rsidRDefault="000938C1" w:rsidP="00BD093E">
            <w:pPr>
              <w:jc w:val="right"/>
              <w:rPr>
                <w:sz w:val="20"/>
                <w:szCs w:val="20"/>
              </w:rPr>
            </w:pPr>
            <w:r w:rsidRPr="00C230B0">
              <w:rPr>
                <w:sz w:val="20"/>
                <w:szCs w:val="20"/>
              </w:rPr>
              <w:t>1,8%</w:t>
            </w:r>
          </w:p>
        </w:tc>
      </w:tr>
      <w:tr w:rsidR="000938C1" w:rsidRPr="00CF1A14" w:rsidTr="003A57FD">
        <w:trPr>
          <w:trHeight w:val="255"/>
          <w:jc w:val="center"/>
        </w:trPr>
        <w:tc>
          <w:tcPr>
            <w:tcW w:w="3703" w:type="dxa"/>
            <w:tcBorders>
              <w:top w:val="nil"/>
              <w:left w:val="double" w:sz="6" w:space="0" w:color="800000"/>
              <w:bottom w:val="nil"/>
              <w:right w:val="nil"/>
            </w:tcBorders>
            <w:shd w:val="clear" w:color="auto" w:fill="FFFFCC"/>
          </w:tcPr>
          <w:p w:rsidR="000938C1" w:rsidRPr="00C57139" w:rsidRDefault="000938C1" w:rsidP="003A57FD">
            <w:pPr>
              <w:rPr>
                <w:sz w:val="20"/>
                <w:szCs w:val="20"/>
              </w:rPr>
            </w:pPr>
            <w:r w:rsidRPr="00C57139">
              <w:rPr>
                <w:sz w:val="20"/>
                <w:szCs w:val="20"/>
              </w:rPr>
              <w:t>Социално и здравноосигурителни р-ди</w:t>
            </w:r>
          </w:p>
        </w:tc>
        <w:tc>
          <w:tcPr>
            <w:tcW w:w="94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10 876,8</w:t>
            </w:r>
          </w:p>
        </w:tc>
        <w:tc>
          <w:tcPr>
            <w:tcW w:w="86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15,4%</w:t>
            </w:r>
          </w:p>
        </w:tc>
        <w:tc>
          <w:tcPr>
            <w:tcW w:w="90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sz w:val="20"/>
                <w:szCs w:val="20"/>
                <w:lang w:val="en-US"/>
              </w:rPr>
            </w:pPr>
            <w:r w:rsidRPr="00C57139">
              <w:rPr>
                <w:sz w:val="20"/>
                <w:szCs w:val="20"/>
              </w:rPr>
              <w:t xml:space="preserve">11 </w:t>
            </w:r>
            <w:r w:rsidRPr="00C57139">
              <w:rPr>
                <w:sz w:val="20"/>
                <w:szCs w:val="20"/>
                <w:lang w:val="en-US"/>
              </w:rPr>
              <w:t>212</w:t>
            </w:r>
            <w:r w:rsidRPr="00C57139">
              <w:rPr>
                <w:sz w:val="20"/>
                <w:szCs w:val="20"/>
              </w:rPr>
              <w:t>,</w:t>
            </w:r>
            <w:r w:rsidRPr="00C57139">
              <w:rPr>
                <w:sz w:val="20"/>
                <w:szCs w:val="20"/>
                <w:lang w:val="en-US"/>
              </w:rPr>
              <w:t>5</w:t>
            </w:r>
          </w:p>
        </w:tc>
        <w:tc>
          <w:tcPr>
            <w:tcW w:w="920" w:type="dxa"/>
            <w:tcBorders>
              <w:top w:val="nil"/>
              <w:left w:val="nil"/>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14,9%</w:t>
            </w:r>
          </w:p>
        </w:tc>
        <w:tc>
          <w:tcPr>
            <w:tcW w:w="88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sz w:val="20"/>
                <w:szCs w:val="20"/>
                <w:lang w:val="en-US"/>
              </w:rPr>
            </w:pPr>
            <w:r w:rsidRPr="00C57139">
              <w:rPr>
                <w:sz w:val="20"/>
                <w:szCs w:val="20"/>
              </w:rPr>
              <w:t>11 743,8</w:t>
            </w:r>
          </w:p>
        </w:tc>
        <w:tc>
          <w:tcPr>
            <w:tcW w:w="920" w:type="dxa"/>
            <w:tcBorders>
              <w:top w:val="nil"/>
              <w:left w:val="nil"/>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15,0%</w:t>
            </w:r>
          </w:p>
        </w:tc>
        <w:tc>
          <w:tcPr>
            <w:tcW w:w="880" w:type="dxa"/>
            <w:tcBorders>
              <w:top w:val="nil"/>
              <w:left w:val="single" w:sz="8" w:space="0" w:color="800000"/>
              <w:bottom w:val="nil"/>
              <w:right w:val="nil"/>
            </w:tcBorders>
            <w:shd w:val="clear" w:color="auto" w:fill="FFFFCC"/>
            <w:vAlign w:val="bottom"/>
          </w:tcPr>
          <w:p w:rsidR="000938C1" w:rsidRPr="00C230B0" w:rsidRDefault="000938C1" w:rsidP="00BD093E">
            <w:pPr>
              <w:jc w:val="right"/>
              <w:rPr>
                <w:sz w:val="20"/>
                <w:szCs w:val="20"/>
                <w:lang w:val="en-US"/>
              </w:rPr>
            </w:pPr>
            <w:r w:rsidRPr="00C230B0">
              <w:rPr>
                <w:sz w:val="20"/>
                <w:szCs w:val="20"/>
              </w:rPr>
              <w:t>12 640,7</w:t>
            </w:r>
          </w:p>
        </w:tc>
        <w:tc>
          <w:tcPr>
            <w:tcW w:w="720" w:type="dxa"/>
            <w:tcBorders>
              <w:top w:val="nil"/>
              <w:left w:val="single" w:sz="8" w:space="0" w:color="800000"/>
              <w:bottom w:val="nil"/>
              <w:right w:val="double" w:sz="6" w:space="0" w:color="800000"/>
            </w:tcBorders>
            <w:shd w:val="clear" w:color="auto" w:fill="FFFFCC"/>
            <w:vAlign w:val="bottom"/>
          </w:tcPr>
          <w:p w:rsidR="000938C1" w:rsidRPr="00C230B0" w:rsidRDefault="000938C1" w:rsidP="00BD093E">
            <w:pPr>
              <w:jc w:val="right"/>
              <w:rPr>
                <w:sz w:val="20"/>
                <w:szCs w:val="20"/>
              </w:rPr>
            </w:pPr>
            <w:r w:rsidRPr="00C230B0">
              <w:rPr>
                <w:sz w:val="20"/>
                <w:szCs w:val="20"/>
              </w:rPr>
              <w:t>16,2%</w:t>
            </w:r>
          </w:p>
        </w:tc>
      </w:tr>
      <w:tr w:rsidR="000938C1" w:rsidRPr="00CF1A14" w:rsidTr="003A57FD">
        <w:trPr>
          <w:trHeight w:val="255"/>
          <w:jc w:val="center"/>
        </w:trPr>
        <w:tc>
          <w:tcPr>
            <w:tcW w:w="3703" w:type="dxa"/>
            <w:tcBorders>
              <w:top w:val="nil"/>
              <w:left w:val="double" w:sz="6" w:space="0" w:color="800000"/>
              <w:right w:val="nil"/>
            </w:tcBorders>
            <w:shd w:val="clear" w:color="auto" w:fill="FFFFCC"/>
          </w:tcPr>
          <w:p w:rsidR="000938C1" w:rsidRPr="00C57139" w:rsidRDefault="000938C1" w:rsidP="003A57FD">
            <w:pPr>
              <w:rPr>
                <w:b/>
                <w:bCs/>
                <w:sz w:val="20"/>
                <w:szCs w:val="20"/>
              </w:rPr>
            </w:pPr>
            <w:r w:rsidRPr="00C57139">
              <w:rPr>
                <w:bCs/>
                <w:sz w:val="20"/>
                <w:szCs w:val="20"/>
              </w:rPr>
              <w:t>в т.ч.</w:t>
            </w:r>
            <w:r w:rsidRPr="00C57139">
              <w:rPr>
                <w:sz w:val="20"/>
                <w:szCs w:val="20"/>
              </w:rPr>
              <w:t>пенсии</w:t>
            </w:r>
          </w:p>
        </w:tc>
        <w:tc>
          <w:tcPr>
            <w:tcW w:w="94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6 995,5</w:t>
            </w:r>
          </w:p>
        </w:tc>
        <w:tc>
          <w:tcPr>
            <w:tcW w:w="86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9,9%</w:t>
            </w:r>
          </w:p>
        </w:tc>
        <w:tc>
          <w:tcPr>
            <w:tcW w:w="90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7 107,8</w:t>
            </w:r>
          </w:p>
        </w:tc>
        <w:tc>
          <w:tcPr>
            <w:tcW w:w="92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sz w:val="20"/>
                <w:szCs w:val="20"/>
              </w:rPr>
            </w:pPr>
            <w:r w:rsidRPr="00C57139">
              <w:rPr>
                <w:sz w:val="20"/>
                <w:szCs w:val="20"/>
              </w:rPr>
              <w:t>9,4%</w:t>
            </w:r>
          </w:p>
        </w:tc>
        <w:tc>
          <w:tcPr>
            <w:tcW w:w="880" w:type="dxa"/>
            <w:tcBorders>
              <w:top w:val="nil"/>
              <w:left w:val="nil"/>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7 234,3</w:t>
            </w:r>
          </w:p>
        </w:tc>
        <w:tc>
          <w:tcPr>
            <w:tcW w:w="92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sz w:val="20"/>
                <w:szCs w:val="20"/>
              </w:rPr>
            </w:pPr>
            <w:r w:rsidRPr="00C57139">
              <w:rPr>
                <w:sz w:val="20"/>
                <w:szCs w:val="20"/>
              </w:rPr>
              <w:t>9,3%</w:t>
            </w:r>
          </w:p>
        </w:tc>
        <w:tc>
          <w:tcPr>
            <w:tcW w:w="880" w:type="dxa"/>
            <w:tcBorders>
              <w:top w:val="nil"/>
              <w:left w:val="single" w:sz="8" w:space="0" w:color="800000"/>
              <w:bottom w:val="nil"/>
              <w:right w:val="single" w:sz="8" w:space="0" w:color="800000"/>
            </w:tcBorders>
            <w:shd w:val="clear" w:color="auto" w:fill="FFFFCC"/>
            <w:vAlign w:val="bottom"/>
          </w:tcPr>
          <w:p w:rsidR="000938C1" w:rsidRPr="00C230B0" w:rsidRDefault="000938C1" w:rsidP="00BD093E">
            <w:pPr>
              <w:jc w:val="right"/>
              <w:rPr>
                <w:sz w:val="20"/>
                <w:szCs w:val="20"/>
              </w:rPr>
            </w:pPr>
            <w:r w:rsidRPr="00C230B0">
              <w:rPr>
                <w:sz w:val="20"/>
                <w:szCs w:val="20"/>
              </w:rPr>
              <w:t>7 762,2</w:t>
            </w:r>
          </w:p>
        </w:tc>
        <w:tc>
          <w:tcPr>
            <w:tcW w:w="720" w:type="dxa"/>
            <w:tcBorders>
              <w:top w:val="nil"/>
              <w:left w:val="nil"/>
              <w:bottom w:val="nil"/>
              <w:right w:val="double" w:sz="6" w:space="0" w:color="800000"/>
            </w:tcBorders>
            <w:shd w:val="clear" w:color="auto" w:fill="FFFFCC"/>
            <w:vAlign w:val="bottom"/>
          </w:tcPr>
          <w:p w:rsidR="000938C1" w:rsidRPr="00C230B0" w:rsidRDefault="000938C1" w:rsidP="00BD093E">
            <w:pPr>
              <w:jc w:val="right"/>
              <w:rPr>
                <w:sz w:val="20"/>
                <w:szCs w:val="20"/>
              </w:rPr>
            </w:pPr>
            <w:r w:rsidRPr="00C230B0">
              <w:rPr>
                <w:sz w:val="20"/>
                <w:szCs w:val="20"/>
              </w:rPr>
              <w:t>9,9%</w:t>
            </w:r>
          </w:p>
        </w:tc>
      </w:tr>
      <w:tr w:rsidR="000938C1" w:rsidRPr="00CF1A14" w:rsidTr="003A57FD">
        <w:trPr>
          <w:trHeight w:val="255"/>
          <w:jc w:val="center"/>
        </w:trPr>
        <w:tc>
          <w:tcPr>
            <w:tcW w:w="3703" w:type="dxa"/>
            <w:tcBorders>
              <w:top w:val="nil"/>
              <w:left w:val="double" w:sz="6" w:space="0" w:color="800000"/>
              <w:bottom w:val="nil"/>
              <w:right w:val="nil"/>
            </w:tcBorders>
            <w:shd w:val="clear" w:color="auto" w:fill="FFFFCC"/>
          </w:tcPr>
          <w:p w:rsidR="000938C1" w:rsidRPr="00C57139" w:rsidRDefault="000938C1" w:rsidP="003A57FD">
            <w:pPr>
              <w:ind w:left="227" w:hanging="180"/>
              <w:rPr>
                <w:b/>
                <w:bCs/>
                <w:i/>
                <w:iCs/>
                <w:sz w:val="20"/>
                <w:szCs w:val="20"/>
              </w:rPr>
            </w:pPr>
            <w:r w:rsidRPr="00C57139">
              <w:rPr>
                <w:b/>
                <w:bCs/>
                <w:i/>
                <w:iCs/>
                <w:sz w:val="20"/>
                <w:szCs w:val="20"/>
              </w:rPr>
              <w:t xml:space="preserve">  Капиталови р-ди и  прираст на държ. резерв</w:t>
            </w:r>
          </w:p>
        </w:tc>
        <w:tc>
          <w:tcPr>
            <w:tcW w:w="94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b/>
                <w:bCs/>
                <w:sz w:val="20"/>
                <w:szCs w:val="20"/>
              </w:rPr>
            </w:pPr>
            <w:r w:rsidRPr="00C57139">
              <w:rPr>
                <w:b/>
                <w:bCs/>
                <w:sz w:val="20"/>
                <w:szCs w:val="20"/>
              </w:rPr>
              <w:t>3 666,9</w:t>
            </w:r>
          </w:p>
        </w:tc>
        <w:tc>
          <w:tcPr>
            <w:tcW w:w="86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b/>
                <w:bCs/>
                <w:sz w:val="20"/>
                <w:szCs w:val="20"/>
              </w:rPr>
            </w:pPr>
            <w:r w:rsidRPr="00C57139">
              <w:rPr>
                <w:b/>
                <w:bCs/>
                <w:sz w:val="20"/>
                <w:szCs w:val="20"/>
              </w:rPr>
              <w:t>5,2%</w:t>
            </w:r>
          </w:p>
        </w:tc>
        <w:tc>
          <w:tcPr>
            <w:tcW w:w="900" w:type="dxa"/>
            <w:tcBorders>
              <w:top w:val="nil"/>
              <w:left w:val="nil"/>
              <w:bottom w:val="nil"/>
              <w:right w:val="nil"/>
            </w:tcBorders>
            <w:shd w:val="clear" w:color="auto" w:fill="FFFFCC"/>
            <w:vAlign w:val="bottom"/>
          </w:tcPr>
          <w:p w:rsidR="000938C1" w:rsidRPr="00C57139" w:rsidRDefault="000938C1" w:rsidP="00BD093E">
            <w:pPr>
              <w:jc w:val="right"/>
              <w:rPr>
                <w:b/>
                <w:bCs/>
                <w:sz w:val="20"/>
                <w:szCs w:val="20"/>
                <w:lang w:val="en-US"/>
              </w:rPr>
            </w:pPr>
            <w:r w:rsidRPr="00C57139">
              <w:rPr>
                <w:b/>
                <w:bCs/>
                <w:sz w:val="20"/>
                <w:szCs w:val="20"/>
              </w:rPr>
              <w:t xml:space="preserve">3 </w:t>
            </w:r>
            <w:r w:rsidRPr="00C57139">
              <w:rPr>
                <w:b/>
                <w:bCs/>
                <w:sz w:val="20"/>
                <w:szCs w:val="20"/>
                <w:lang w:val="en-US"/>
              </w:rPr>
              <w:t>075</w:t>
            </w:r>
            <w:r w:rsidRPr="00C57139">
              <w:rPr>
                <w:b/>
                <w:bCs/>
                <w:sz w:val="20"/>
                <w:szCs w:val="20"/>
              </w:rPr>
              <w:t>,</w:t>
            </w:r>
            <w:r w:rsidRPr="00C57139">
              <w:rPr>
                <w:b/>
                <w:bCs/>
                <w:sz w:val="20"/>
                <w:szCs w:val="20"/>
                <w:lang w:val="en-US"/>
              </w:rPr>
              <w:t>4</w:t>
            </w:r>
          </w:p>
        </w:tc>
        <w:tc>
          <w:tcPr>
            <w:tcW w:w="92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b/>
                <w:bCs/>
                <w:sz w:val="20"/>
                <w:szCs w:val="20"/>
              </w:rPr>
            </w:pPr>
            <w:r w:rsidRPr="00C57139">
              <w:rPr>
                <w:b/>
                <w:bCs/>
                <w:sz w:val="20"/>
                <w:szCs w:val="20"/>
              </w:rPr>
              <w:t>4,1%</w:t>
            </w:r>
          </w:p>
        </w:tc>
        <w:tc>
          <w:tcPr>
            <w:tcW w:w="88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b/>
                <w:bCs/>
                <w:sz w:val="20"/>
                <w:szCs w:val="20"/>
                <w:lang w:val="en-US"/>
              </w:rPr>
            </w:pPr>
            <w:r w:rsidRPr="00C57139">
              <w:rPr>
                <w:b/>
                <w:bCs/>
                <w:sz w:val="20"/>
                <w:szCs w:val="20"/>
              </w:rPr>
              <w:t>3 681,1</w:t>
            </w:r>
          </w:p>
        </w:tc>
        <w:tc>
          <w:tcPr>
            <w:tcW w:w="920" w:type="dxa"/>
            <w:tcBorders>
              <w:top w:val="nil"/>
              <w:left w:val="nil"/>
              <w:bottom w:val="nil"/>
              <w:right w:val="nil"/>
            </w:tcBorders>
            <w:shd w:val="clear" w:color="auto" w:fill="FFFFCC"/>
            <w:vAlign w:val="bottom"/>
          </w:tcPr>
          <w:p w:rsidR="000938C1" w:rsidRPr="00C57139" w:rsidRDefault="000938C1" w:rsidP="00BD093E">
            <w:pPr>
              <w:jc w:val="right"/>
              <w:rPr>
                <w:b/>
                <w:bCs/>
                <w:sz w:val="20"/>
                <w:szCs w:val="20"/>
              </w:rPr>
            </w:pPr>
            <w:r w:rsidRPr="00C57139">
              <w:rPr>
                <w:b/>
                <w:bCs/>
                <w:sz w:val="20"/>
                <w:szCs w:val="20"/>
              </w:rPr>
              <w:t>4,7%</w:t>
            </w:r>
          </w:p>
        </w:tc>
        <w:tc>
          <w:tcPr>
            <w:tcW w:w="880" w:type="dxa"/>
            <w:tcBorders>
              <w:top w:val="nil"/>
              <w:left w:val="single" w:sz="8" w:space="0" w:color="800000"/>
              <w:bottom w:val="nil"/>
              <w:right w:val="nil"/>
            </w:tcBorders>
            <w:shd w:val="clear" w:color="auto" w:fill="FFFFCC"/>
            <w:vAlign w:val="bottom"/>
          </w:tcPr>
          <w:p w:rsidR="000938C1" w:rsidRPr="00BF7A00" w:rsidRDefault="000938C1" w:rsidP="00BF7A00">
            <w:pPr>
              <w:jc w:val="right"/>
              <w:rPr>
                <w:b/>
                <w:bCs/>
                <w:sz w:val="20"/>
                <w:szCs w:val="20"/>
                <w:lang w:val="en-US"/>
              </w:rPr>
            </w:pPr>
            <w:r w:rsidRPr="00C230B0">
              <w:rPr>
                <w:b/>
                <w:bCs/>
                <w:sz w:val="20"/>
                <w:szCs w:val="20"/>
              </w:rPr>
              <w:t>4 1</w:t>
            </w:r>
            <w:r>
              <w:rPr>
                <w:b/>
                <w:bCs/>
                <w:sz w:val="20"/>
                <w:szCs w:val="20"/>
              </w:rPr>
              <w:t>1</w:t>
            </w:r>
            <w:r>
              <w:rPr>
                <w:b/>
                <w:bCs/>
                <w:sz w:val="20"/>
                <w:szCs w:val="20"/>
                <w:lang w:val="en-US"/>
              </w:rPr>
              <w:t>3</w:t>
            </w:r>
            <w:r>
              <w:rPr>
                <w:b/>
                <w:bCs/>
                <w:sz w:val="20"/>
                <w:szCs w:val="20"/>
              </w:rPr>
              <w:t>,</w:t>
            </w:r>
            <w:r>
              <w:rPr>
                <w:b/>
                <w:bCs/>
                <w:sz w:val="20"/>
                <w:szCs w:val="20"/>
                <w:lang w:val="en-US"/>
              </w:rPr>
              <w:t>1</w:t>
            </w:r>
          </w:p>
        </w:tc>
        <w:tc>
          <w:tcPr>
            <w:tcW w:w="720" w:type="dxa"/>
            <w:tcBorders>
              <w:top w:val="nil"/>
              <w:left w:val="single" w:sz="8" w:space="0" w:color="800000"/>
              <w:bottom w:val="nil"/>
              <w:right w:val="double" w:sz="6" w:space="0" w:color="800000"/>
            </w:tcBorders>
            <w:shd w:val="clear" w:color="auto" w:fill="FFFFCC"/>
            <w:vAlign w:val="bottom"/>
          </w:tcPr>
          <w:p w:rsidR="000938C1" w:rsidRPr="00C230B0" w:rsidRDefault="000938C1" w:rsidP="00BD093E">
            <w:pPr>
              <w:jc w:val="right"/>
              <w:rPr>
                <w:b/>
                <w:bCs/>
                <w:sz w:val="20"/>
                <w:szCs w:val="20"/>
              </w:rPr>
            </w:pPr>
            <w:r w:rsidRPr="00C230B0">
              <w:rPr>
                <w:b/>
                <w:bCs/>
                <w:sz w:val="20"/>
                <w:szCs w:val="20"/>
              </w:rPr>
              <w:t>5,3%</w:t>
            </w:r>
          </w:p>
        </w:tc>
      </w:tr>
      <w:tr w:rsidR="000938C1" w:rsidRPr="00CF1A14" w:rsidTr="003A57FD">
        <w:trPr>
          <w:trHeight w:val="255"/>
          <w:jc w:val="center"/>
        </w:trPr>
        <w:tc>
          <w:tcPr>
            <w:tcW w:w="3703" w:type="dxa"/>
            <w:tcBorders>
              <w:top w:val="nil"/>
              <w:left w:val="double" w:sz="6" w:space="0" w:color="800000"/>
              <w:bottom w:val="nil"/>
              <w:right w:val="nil"/>
            </w:tcBorders>
            <w:shd w:val="clear" w:color="auto" w:fill="FFFFCC"/>
          </w:tcPr>
          <w:p w:rsidR="000938C1" w:rsidRPr="00C57139" w:rsidRDefault="000938C1" w:rsidP="003A57FD">
            <w:pPr>
              <w:rPr>
                <w:b/>
                <w:bCs/>
                <w:sz w:val="20"/>
                <w:szCs w:val="20"/>
              </w:rPr>
            </w:pPr>
            <w:r w:rsidRPr="00C57139">
              <w:rPr>
                <w:b/>
                <w:bCs/>
                <w:sz w:val="20"/>
                <w:szCs w:val="20"/>
              </w:rPr>
              <w:t>Лихвени разходи</w:t>
            </w:r>
          </w:p>
        </w:tc>
        <w:tc>
          <w:tcPr>
            <w:tcW w:w="94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b/>
                <w:bCs/>
                <w:sz w:val="18"/>
                <w:szCs w:val="18"/>
              </w:rPr>
            </w:pPr>
            <w:r w:rsidRPr="00C57139">
              <w:rPr>
                <w:b/>
                <w:bCs/>
                <w:sz w:val="18"/>
                <w:szCs w:val="18"/>
              </w:rPr>
              <w:t>485,9</w:t>
            </w:r>
          </w:p>
        </w:tc>
        <w:tc>
          <w:tcPr>
            <w:tcW w:w="86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b/>
                <w:bCs/>
                <w:sz w:val="20"/>
                <w:szCs w:val="20"/>
              </w:rPr>
            </w:pPr>
            <w:r w:rsidRPr="00C57139">
              <w:rPr>
                <w:b/>
                <w:bCs/>
                <w:sz w:val="20"/>
                <w:szCs w:val="20"/>
              </w:rPr>
              <w:t>0,7%</w:t>
            </w:r>
          </w:p>
        </w:tc>
        <w:tc>
          <w:tcPr>
            <w:tcW w:w="900" w:type="dxa"/>
            <w:tcBorders>
              <w:top w:val="nil"/>
              <w:left w:val="nil"/>
              <w:bottom w:val="nil"/>
              <w:right w:val="nil"/>
            </w:tcBorders>
            <w:shd w:val="clear" w:color="auto" w:fill="FFFFCC"/>
            <w:vAlign w:val="bottom"/>
          </w:tcPr>
          <w:p w:rsidR="000938C1" w:rsidRPr="00C57139" w:rsidRDefault="000938C1" w:rsidP="00BD093E">
            <w:pPr>
              <w:jc w:val="right"/>
              <w:rPr>
                <w:b/>
                <w:bCs/>
                <w:sz w:val="18"/>
                <w:szCs w:val="18"/>
              </w:rPr>
            </w:pPr>
            <w:r w:rsidRPr="00C57139">
              <w:rPr>
                <w:b/>
                <w:bCs/>
                <w:sz w:val="18"/>
                <w:szCs w:val="18"/>
              </w:rPr>
              <w:t>547,0</w:t>
            </w:r>
          </w:p>
        </w:tc>
        <w:tc>
          <w:tcPr>
            <w:tcW w:w="920" w:type="dxa"/>
            <w:tcBorders>
              <w:top w:val="nil"/>
              <w:left w:val="single" w:sz="8" w:space="0" w:color="800000"/>
              <w:bottom w:val="nil"/>
              <w:right w:val="nil"/>
            </w:tcBorders>
            <w:shd w:val="clear" w:color="auto" w:fill="FFFFCC"/>
            <w:vAlign w:val="bottom"/>
          </w:tcPr>
          <w:p w:rsidR="000938C1" w:rsidRPr="00C57139" w:rsidRDefault="000938C1" w:rsidP="00BD093E">
            <w:pPr>
              <w:jc w:val="right"/>
              <w:rPr>
                <w:b/>
                <w:bCs/>
                <w:sz w:val="20"/>
                <w:szCs w:val="20"/>
              </w:rPr>
            </w:pPr>
            <w:r w:rsidRPr="00C57139">
              <w:rPr>
                <w:b/>
                <w:bCs/>
                <w:sz w:val="20"/>
                <w:szCs w:val="20"/>
              </w:rPr>
              <w:t>0,7%</w:t>
            </w:r>
          </w:p>
        </w:tc>
        <w:tc>
          <w:tcPr>
            <w:tcW w:w="880" w:type="dxa"/>
            <w:tcBorders>
              <w:top w:val="nil"/>
              <w:left w:val="single" w:sz="8" w:space="0" w:color="800000"/>
              <w:bottom w:val="nil"/>
              <w:right w:val="single" w:sz="8" w:space="0" w:color="800000"/>
            </w:tcBorders>
            <w:shd w:val="clear" w:color="auto" w:fill="FFFFCC"/>
            <w:vAlign w:val="bottom"/>
          </w:tcPr>
          <w:p w:rsidR="000938C1" w:rsidRPr="00C57139" w:rsidRDefault="000938C1" w:rsidP="00BD093E">
            <w:pPr>
              <w:jc w:val="right"/>
              <w:rPr>
                <w:b/>
                <w:bCs/>
                <w:sz w:val="18"/>
                <w:szCs w:val="18"/>
              </w:rPr>
            </w:pPr>
            <w:r w:rsidRPr="00C57139">
              <w:rPr>
                <w:b/>
                <w:bCs/>
                <w:sz w:val="18"/>
                <w:szCs w:val="18"/>
              </w:rPr>
              <w:t>572,7</w:t>
            </w:r>
          </w:p>
        </w:tc>
        <w:tc>
          <w:tcPr>
            <w:tcW w:w="920" w:type="dxa"/>
            <w:tcBorders>
              <w:top w:val="nil"/>
              <w:left w:val="nil"/>
              <w:bottom w:val="nil"/>
              <w:right w:val="nil"/>
            </w:tcBorders>
            <w:shd w:val="clear" w:color="auto" w:fill="FFFFCC"/>
            <w:vAlign w:val="bottom"/>
          </w:tcPr>
          <w:p w:rsidR="000938C1" w:rsidRPr="00C57139" w:rsidRDefault="000938C1" w:rsidP="00BD093E">
            <w:pPr>
              <w:jc w:val="right"/>
              <w:rPr>
                <w:b/>
                <w:bCs/>
                <w:sz w:val="20"/>
                <w:szCs w:val="20"/>
              </w:rPr>
            </w:pPr>
            <w:r w:rsidRPr="00C57139">
              <w:rPr>
                <w:b/>
                <w:bCs/>
                <w:sz w:val="20"/>
                <w:szCs w:val="20"/>
              </w:rPr>
              <w:t>0,7%</w:t>
            </w:r>
          </w:p>
        </w:tc>
        <w:tc>
          <w:tcPr>
            <w:tcW w:w="880" w:type="dxa"/>
            <w:tcBorders>
              <w:top w:val="nil"/>
              <w:left w:val="single" w:sz="8" w:space="0" w:color="800000"/>
              <w:bottom w:val="nil"/>
              <w:right w:val="nil"/>
            </w:tcBorders>
            <w:shd w:val="clear" w:color="auto" w:fill="FFFFCC"/>
            <w:vAlign w:val="bottom"/>
          </w:tcPr>
          <w:p w:rsidR="000938C1" w:rsidRPr="00C230B0" w:rsidRDefault="000938C1" w:rsidP="00BD093E">
            <w:pPr>
              <w:jc w:val="right"/>
              <w:rPr>
                <w:b/>
                <w:bCs/>
                <w:sz w:val="18"/>
                <w:szCs w:val="18"/>
              </w:rPr>
            </w:pPr>
            <w:r w:rsidRPr="00C230B0">
              <w:rPr>
                <w:b/>
                <w:bCs/>
                <w:sz w:val="18"/>
                <w:szCs w:val="18"/>
              </w:rPr>
              <w:t>688,8</w:t>
            </w:r>
          </w:p>
        </w:tc>
        <w:tc>
          <w:tcPr>
            <w:tcW w:w="720" w:type="dxa"/>
            <w:tcBorders>
              <w:top w:val="nil"/>
              <w:left w:val="single" w:sz="8" w:space="0" w:color="800000"/>
              <w:bottom w:val="nil"/>
              <w:right w:val="double" w:sz="6" w:space="0" w:color="800000"/>
            </w:tcBorders>
            <w:shd w:val="clear" w:color="auto" w:fill="FFFFCC"/>
            <w:vAlign w:val="bottom"/>
          </w:tcPr>
          <w:p w:rsidR="000938C1" w:rsidRPr="00C230B0" w:rsidRDefault="000938C1" w:rsidP="00BD093E">
            <w:pPr>
              <w:jc w:val="right"/>
              <w:rPr>
                <w:b/>
                <w:bCs/>
                <w:sz w:val="20"/>
                <w:szCs w:val="20"/>
              </w:rPr>
            </w:pPr>
            <w:r w:rsidRPr="00C230B0">
              <w:rPr>
                <w:b/>
                <w:bCs/>
                <w:sz w:val="20"/>
                <w:szCs w:val="20"/>
              </w:rPr>
              <w:t>0,9%</w:t>
            </w:r>
          </w:p>
        </w:tc>
      </w:tr>
      <w:tr w:rsidR="000938C1" w:rsidRPr="00CF1A14" w:rsidTr="003A57FD">
        <w:trPr>
          <w:trHeight w:val="270"/>
          <w:jc w:val="center"/>
        </w:trPr>
        <w:tc>
          <w:tcPr>
            <w:tcW w:w="3703" w:type="dxa"/>
            <w:tcBorders>
              <w:top w:val="nil"/>
              <w:left w:val="double" w:sz="6" w:space="0" w:color="800000"/>
              <w:bottom w:val="double" w:sz="6" w:space="0" w:color="800000"/>
              <w:right w:val="nil"/>
            </w:tcBorders>
            <w:shd w:val="clear" w:color="auto" w:fill="FFFFCC"/>
          </w:tcPr>
          <w:p w:rsidR="000938C1" w:rsidRPr="00C57139" w:rsidRDefault="000938C1" w:rsidP="003A57FD">
            <w:pPr>
              <w:rPr>
                <w:b/>
                <w:bCs/>
                <w:sz w:val="20"/>
                <w:szCs w:val="20"/>
              </w:rPr>
            </w:pPr>
            <w:r w:rsidRPr="00C57139">
              <w:rPr>
                <w:b/>
                <w:bCs/>
                <w:sz w:val="20"/>
                <w:szCs w:val="20"/>
              </w:rPr>
              <w:t>Вноска в общия бюджет на ЕС</w:t>
            </w:r>
          </w:p>
        </w:tc>
        <w:tc>
          <w:tcPr>
            <w:tcW w:w="940" w:type="dxa"/>
            <w:tcBorders>
              <w:top w:val="nil"/>
              <w:left w:val="single" w:sz="8" w:space="0" w:color="800000"/>
              <w:bottom w:val="double" w:sz="6" w:space="0" w:color="800000"/>
              <w:right w:val="nil"/>
            </w:tcBorders>
            <w:shd w:val="clear" w:color="auto" w:fill="FFFFCC"/>
            <w:vAlign w:val="bottom"/>
          </w:tcPr>
          <w:p w:rsidR="000938C1" w:rsidRPr="00C57139" w:rsidRDefault="000938C1" w:rsidP="00BD093E">
            <w:pPr>
              <w:jc w:val="right"/>
              <w:rPr>
                <w:b/>
                <w:bCs/>
                <w:sz w:val="18"/>
                <w:szCs w:val="18"/>
              </w:rPr>
            </w:pPr>
            <w:r w:rsidRPr="00C57139">
              <w:rPr>
                <w:b/>
                <w:bCs/>
                <w:sz w:val="18"/>
                <w:szCs w:val="18"/>
              </w:rPr>
              <w:t>669,7</w:t>
            </w:r>
          </w:p>
        </w:tc>
        <w:tc>
          <w:tcPr>
            <w:tcW w:w="860" w:type="dxa"/>
            <w:tcBorders>
              <w:top w:val="nil"/>
              <w:left w:val="single" w:sz="8" w:space="0" w:color="800000"/>
              <w:bottom w:val="double" w:sz="6" w:space="0" w:color="800000"/>
              <w:right w:val="single" w:sz="8" w:space="0" w:color="800000"/>
            </w:tcBorders>
            <w:shd w:val="clear" w:color="auto" w:fill="FFFFCC"/>
            <w:vAlign w:val="bottom"/>
          </w:tcPr>
          <w:p w:rsidR="000938C1" w:rsidRPr="00C57139" w:rsidRDefault="000938C1" w:rsidP="00BD093E">
            <w:pPr>
              <w:jc w:val="right"/>
              <w:rPr>
                <w:b/>
                <w:bCs/>
                <w:sz w:val="18"/>
                <w:szCs w:val="18"/>
              </w:rPr>
            </w:pPr>
            <w:r w:rsidRPr="00C57139">
              <w:rPr>
                <w:b/>
                <w:bCs/>
                <w:sz w:val="18"/>
                <w:szCs w:val="18"/>
              </w:rPr>
              <w:t>0,9%</w:t>
            </w:r>
          </w:p>
        </w:tc>
        <w:tc>
          <w:tcPr>
            <w:tcW w:w="900" w:type="dxa"/>
            <w:tcBorders>
              <w:top w:val="nil"/>
              <w:left w:val="nil"/>
              <w:bottom w:val="double" w:sz="6" w:space="0" w:color="800000"/>
              <w:right w:val="nil"/>
            </w:tcBorders>
            <w:shd w:val="clear" w:color="auto" w:fill="FFFFCC"/>
            <w:vAlign w:val="bottom"/>
          </w:tcPr>
          <w:p w:rsidR="000938C1" w:rsidRPr="00C57139" w:rsidRDefault="000938C1" w:rsidP="00BD093E">
            <w:pPr>
              <w:jc w:val="right"/>
              <w:rPr>
                <w:b/>
                <w:bCs/>
                <w:sz w:val="18"/>
                <w:szCs w:val="18"/>
              </w:rPr>
            </w:pPr>
            <w:r w:rsidRPr="00C57139">
              <w:rPr>
                <w:b/>
                <w:bCs/>
                <w:sz w:val="18"/>
                <w:szCs w:val="18"/>
              </w:rPr>
              <w:t>779,2</w:t>
            </w:r>
          </w:p>
        </w:tc>
        <w:tc>
          <w:tcPr>
            <w:tcW w:w="920" w:type="dxa"/>
            <w:tcBorders>
              <w:top w:val="nil"/>
              <w:left w:val="single" w:sz="8" w:space="0" w:color="800000"/>
              <w:bottom w:val="double" w:sz="6" w:space="0" w:color="800000"/>
              <w:right w:val="nil"/>
            </w:tcBorders>
            <w:shd w:val="clear" w:color="auto" w:fill="FFFFCC"/>
            <w:vAlign w:val="bottom"/>
          </w:tcPr>
          <w:p w:rsidR="000938C1" w:rsidRPr="00C57139" w:rsidRDefault="000938C1" w:rsidP="00BD093E">
            <w:pPr>
              <w:jc w:val="right"/>
              <w:rPr>
                <w:b/>
                <w:bCs/>
                <w:sz w:val="18"/>
                <w:szCs w:val="18"/>
              </w:rPr>
            </w:pPr>
            <w:r w:rsidRPr="00C57139">
              <w:rPr>
                <w:b/>
                <w:bCs/>
                <w:sz w:val="18"/>
                <w:szCs w:val="18"/>
              </w:rPr>
              <w:t>1,</w:t>
            </w:r>
            <w:r w:rsidRPr="00C57139">
              <w:rPr>
                <w:b/>
                <w:bCs/>
                <w:sz w:val="20"/>
                <w:szCs w:val="20"/>
              </w:rPr>
              <w:t>0%</w:t>
            </w:r>
          </w:p>
        </w:tc>
        <w:tc>
          <w:tcPr>
            <w:tcW w:w="880" w:type="dxa"/>
            <w:tcBorders>
              <w:top w:val="nil"/>
              <w:left w:val="single" w:sz="8" w:space="0" w:color="800000"/>
              <w:bottom w:val="double" w:sz="6" w:space="0" w:color="800000"/>
              <w:right w:val="nil"/>
            </w:tcBorders>
            <w:shd w:val="clear" w:color="auto" w:fill="FFFFCC"/>
            <w:vAlign w:val="bottom"/>
          </w:tcPr>
          <w:p w:rsidR="000938C1" w:rsidRPr="00C57139" w:rsidRDefault="000938C1" w:rsidP="00BD093E">
            <w:pPr>
              <w:jc w:val="right"/>
              <w:rPr>
                <w:b/>
                <w:bCs/>
                <w:sz w:val="18"/>
                <w:szCs w:val="18"/>
              </w:rPr>
            </w:pPr>
            <w:r w:rsidRPr="00C57139">
              <w:rPr>
                <w:b/>
                <w:bCs/>
                <w:sz w:val="18"/>
                <w:szCs w:val="18"/>
              </w:rPr>
              <w:t>809,3</w:t>
            </w:r>
          </w:p>
        </w:tc>
        <w:tc>
          <w:tcPr>
            <w:tcW w:w="920" w:type="dxa"/>
            <w:tcBorders>
              <w:top w:val="nil"/>
              <w:left w:val="single" w:sz="8" w:space="0" w:color="800000"/>
              <w:bottom w:val="double" w:sz="6" w:space="0" w:color="800000"/>
              <w:right w:val="nil"/>
            </w:tcBorders>
            <w:shd w:val="clear" w:color="auto" w:fill="FFFFCC"/>
            <w:vAlign w:val="bottom"/>
          </w:tcPr>
          <w:p w:rsidR="000938C1" w:rsidRPr="00C57139" w:rsidRDefault="000938C1" w:rsidP="00BD093E">
            <w:pPr>
              <w:jc w:val="right"/>
              <w:rPr>
                <w:b/>
                <w:bCs/>
                <w:sz w:val="18"/>
                <w:szCs w:val="18"/>
              </w:rPr>
            </w:pPr>
            <w:r w:rsidRPr="00C57139">
              <w:rPr>
                <w:b/>
                <w:bCs/>
                <w:sz w:val="18"/>
                <w:szCs w:val="18"/>
              </w:rPr>
              <w:t>1</w:t>
            </w:r>
            <w:r w:rsidRPr="00C57139">
              <w:rPr>
                <w:b/>
                <w:bCs/>
                <w:sz w:val="20"/>
                <w:szCs w:val="20"/>
              </w:rPr>
              <w:t>,0%</w:t>
            </w:r>
          </w:p>
        </w:tc>
        <w:tc>
          <w:tcPr>
            <w:tcW w:w="880" w:type="dxa"/>
            <w:tcBorders>
              <w:top w:val="nil"/>
              <w:left w:val="single" w:sz="8" w:space="0" w:color="800000"/>
              <w:bottom w:val="double" w:sz="6" w:space="0" w:color="800000"/>
              <w:right w:val="nil"/>
            </w:tcBorders>
            <w:shd w:val="clear" w:color="auto" w:fill="FFFFCC"/>
            <w:vAlign w:val="bottom"/>
          </w:tcPr>
          <w:p w:rsidR="000938C1" w:rsidRPr="00C230B0" w:rsidRDefault="000938C1" w:rsidP="00BD093E">
            <w:pPr>
              <w:jc w:val="right"/>
              <w:rPr>
                <w:b/>
                <w:bCs/>
                <w:sz w:val="18"/>
                <w:szCs w:val="18"/>
              </w:rPr>
            </w:pPr>
            <w:r w:rsidRPr="00C230B0">
              <w:rPr>
                <w:b/>
                <w:bCs/>
                <w:sz w:val="18"/>
                <w:szCs w:val="18"/>
              </w:rPr>
              <w:t>934,1</w:t>
            </w:r>
          </w:p>
        </w:tc>
        <w:tc>
          <w:tcPr>
            <w:tcW w:w="720" w:type="dxa"/>
            <w:tcBorders>
              <w:top w:val="nil"/>
              <w:left w:val="single" w:sz="8" w:space="0" w:color="800000"/>
              <w:bottom w:val="double" w:sz="6" w:space="0" w:color="800000"/>
              <w:right w:val="double" w:sz="6" w:space="0" w:color="800000"/>
            </w:tcBorders>
            <w:shd w:val="clear" w:color="auto" w:fill="FFFFCC"/>
            <w:vAlign w:val="bottom"/>
          </w:tcPr>
          <w:p w:rsidR="000938C1" w:rsidRPr="00C230B0" w:rsidRDefault="000938C1" w:rsidP="00BD093E">
            <w:pPr>
              <w:jc w:val="right"/>
              <w:rPr>
                <w:b/>
                <w:bCs/>
                <w:sz w:val="18"/>
                <w:szCs w:val="18"/>
              </w:rPr>
            </w:pPr>
            <w:r w:rsidRPr="00C230B0">
              <w:rPr>
                <w:b/>
                <w:bCs/>
                <w:sz w:val="18"/>
                <w:szCs w:val="18"/>
              </w:rPr>
              <w:t>1</w:t>
            </w:r>
            <w:r w:rsidRPr="00C230B0">
              <w:rPr>
                <w:b/>
                <w:bCs/>
                <w:sz w:val="20"/>
                <w:szCs w:val="20"/>
              </w:rPr>
              <w:t>,2%</w:t>
            </w:r>
          </w:p>
        </w:tc>
      </w:tr>
    </w:tbl>
    <w:p w:rsidR="000938C1" w:rsidRPr="00C57139" w:rsidRDefault="000938C1" w:rsidP="003E03C0">
      <w:pPr>
        <w:pStyle w:val="Default"/>
        <w:jc w:val="both"/>
        <w:rPr>
          <w:rFonts w:ascii="Times New Roman" w:hAnsi="Times New Roman" w:cs="Times New Roman"/>
          <w:color w:val="auto"/>
          <w:sz w:val="18"/>
          <w:szCs w:val="18"/>
        </w:rPr>
      </w:pPr>
      <w:r w:rsidRPr="00C57139">
        <w:rPr>
          <w:rFonts w:ascii="Times New Roman" w:hAnsi="Times New Roman" w:cs="Times New Roman"/>
          <w:color w:val="auto"/>
          <w:sz w:val="18"/>
          <w:szCs w:val="18"/>
        </w:rPr>
        <w:t>* вкл. разходите за други възнаграждения и плащания за персонала и разходите за членски внос и участия в нетърговски организации и дейности</w:t>
      </w:r>
    </w:p>
    <w:p w:rsidR="000938C1" w:rsidRPr="00CF1A14" w:rsidRDefault="000938C1" w:rsidP="003E03C0">
      <w:pPr>
        <w:pStyle w:val="Default"/>
        <w:ind w:firstLine="720"/>
        <w:jc w:val="both"/>
        <w:rPr>
          <w:rFonts w:ascii="Times New Roman" w:hAnsi="Times New Roman" w:cs="Times New Roman"/>
          <w:bCs/>
          <w:color w:val="0070C0"/>
          <w:highlight w:val="yellow"/>
        </w:rPr>
      </w:pPr>
    </w:p>
    <w:p w:rsidR="000938C1" w:rsidRPr="00CF1A14" w:rsidRDefault="000938C1" w:rsidP="00187783">
      <w:pPr>
        <w:tabs>
          <w:tab w:val="left" w:pos="6840"/>
          <w:tab w:val="left" w:pos="8280"/>
        </w:tabs>
        <w:ind w:firstLine="709"/>
        <w:jc w:val="both"/>
        <w:rPr>
          <w:color w:val="0070C0"/>
        </w:rPr>
      </w:pPr>
      <w:r w:rsidRPr="00D87650">
        <w:rPr>
          <w:bCs/>
        </w:rPr>
        <w:t>Разходите</w:t>
      </w:r>
      <w:r w:rsidRPr="00D87650">
        <w:t xml:space="preserve"> (вкл. вноската в бюджета на ЕС) по </w:t>
      </w:r>
      <w:r>
        <w:t>КФП</w:t>
      </w:r>
      <w:r w:rsidRPr="00D87650">
        <w:t xml:space="preserve"> за 201</w:t>
      </w:r>
      <w:r w:rsidRPr="00187783">
        <w:rPr>
          <w:lang w:val="en-US"/>
        </w:rPr>
        <w:t>3</w:t>
      </w:r>
      <w:r w:rsidRPr="00D87650">
        <w:t xml:space="preserve"> г. са в размер на </w:t>
      </w:r>
      <w:r w:rsidRPr="00E601D4">
        <w:rPr>
          <w:lang w:val="en-US"/>
        </w:rPr>
        <w:t>30</w:t>
      </w:r>
      <w:r w:rsidRPr="00E601D4">
        <w:t> </w:t>
      </w:r>
      <w:r w:rsidRPr="00E601D4">
        <w:rPr>
          <w:lang w:val="en-US"/>
        </w:rPr>
        <w:t>4</w:t>
      </w:r>
      <w:r w:rsidRPr="00E601D4">
        <w:t>1</w:t>
      </w:r>
      <w:r>
        <w:rPr>
          <w:lang w:val="en-US"/>
        </w:rPr>
        <w:t>7</w:t>
      </w:r>
      <w:r>
        <w:t>,</w:t>
      </w:r>
      <w:r>
        <w:rPr>
          <w:lang w:val="en-US"/>
        </w:rPr>
        <w:t>9</w:t>
      </w:r>
      <w:r w:rsidRPr="00E601D4">
        <w:t xml:space="preserve"> млн. лв. или 95,1 % </w:t>
      </w:r>
      <w:r w:rsidRPr="00D87650">
        <w:t xml:space="preserve">от разчета за годината. </w:t>
      </w:r>
      <w:r w:rsidRPr="00DD4A6E">
        <w:t>Общите разходи, отнесени като процент от БВП представляват 3</w:t>
      </w:r>
      <w:r>
        <w:t>8,9</w:t>
      </w:r>
      <w:r w:rsidRPr="00DD4A6E">
        <w:t xml:space="preserve"> % от БВП при 35,6 % от БВП за 2012 г. В структурно отношение ръст се наблюдава </w:t>
      </w:r>
      <w:r>
        <w:t xml:space="preserve">основно </w:t>
      </w:r>
      <w:r w:rsidRPr="00DD4A6E">
        <w:t>при социалните и здравноосигурителни плащания, капиталовите разходи, лихвените разходи</w:t>
      </w:r>
      <w:r>
        <w:t xml:space="preserve"> </w:t>
      </w:r>
      <w:r w:rsidRPr="00DD4A6E">
        <w:t xml:space="preserve">и други. </w:t>
      </w:r>
      <w:r w:rsidRPr="0036426B">
        <w:t xml:space="preserve">В резултат на </w:t>
      </w:r>
      <w:r>
        <w:t>извеждането на политиките за насърчаване на икономическия растеж сред приоритетите в програмата за годината, капиталовите разходи, подкрепени и от разходите по</w:t>
      </w:r>
      <w:r w:rsidRPr="0036426B">
        <w:t xml:space="preserve"> европейските </w:t>
      </w:r>
      <w:r>
        <w:t xml:space="preserve">програми и </w:t>
      </w:r>
      <w:r w:rsidRPr="0036426B">
        <w:t>фондове</w:t>
      </w:r>
      <w:r>
        <w:t>,</w:t>
      </w:r>
      <w:r w:rsidRPr="0036426B">
        <w:t xml:space="preserve"> </w:t>
      </w:r>
      <w:r>
        <w:t xml:space="preserve">отчитат значителен ръст – от 4, 7 % от БВП за 2012 г. на </w:t>
      </w:r>
      <w:r w:rsidRPr="0036426B">
        <w:t>5,3 %</w:t>
      </w:r>
      <w:r>
        <w:t xml:space="preserve"> от БВП за 2013 г</w:t>
      </w:r>
      <w:r w:rsidRPr="0036426B">
        <w:t xml:space="preserve">. </w:t>
      </w:r>
      <w:r>
        <w:t>Друг основен приоритет в програмата</w:t>
      </w:r>
      <w:r w:rsidRPr="00981624">
        <w:t xml:space="preserve">, свързан с изпълнение на поетите социални отговорности </w:t>
      </w:r>
      <w:r>
        <w:t>доведе</w:t>
      </w:r>
      <w:r w:rsidRPr="00981624">
        <w:t xml:space="preserve"> до ръст от 1,2 </w:t>
      </w:r>
      <w:r>
        <w:t>п.п.</w:t>
      </w:r>
      <w:r w:rsidRPr="00981624">
        <w:t xml:space="preserve"> от БВП на социалните </w:t>
      </w:r>
      <w:r w:rsidRPr="00DD4A6E">
        <w:t>и здравноосигурителни плащания</w:t>
      </w:r>
      <w:r>
        <w:t xml:space="preserve">. </w:t>
      </w:r>
    </w:p>
    <w:p w:rsidR="000938C1" w:rsidRPr="00D87650" w:rsidRDefault="000938C1" w:rsidP="00F30F79">
      <w:pPr>
        <w:pStyle w:val="Heading3"/>
        <w:numPr>
          <w:ilvl w:val="2"/>
          <w:numId w:val="72"/>
        </w:numPr>
        <w:rPr>
          <w:rFonts w:ascii="Times New Roman" w:hAnsi="Times New Roman" w:cs="Times New Roman"/>
          <w:sz w:val="24"/>
          <w:szCs w:val="24"/>
          <w:lang w:val="bg-BG"/>
        </w:rPr>
      </w:pPr>
      <w:bookmarkStart w:id="165" w:name="_Toc393728067"/>
      <w:r w:rsidRPr="00D87650">
        <w:rPr>
          <w:rFonts w:ascii="Times New Roman" w:hAnsi="Times New Roman" w:cs="Times New Roman"/>
          <w:sz w:val="24"/>
          <w:szCs w:val="24"/>
          <w:lang w:val="bg-BG"/>
        </w:rPr>
        <w:t>Текущи нелихвени разходи</w:t>
      </w:r>
      <w:bookmarkEnd w:id="165"/>
    </w:p>
    <w:p w:rsidR="000938C1" w:rsidRPr="00D87650" w:rsidRDefault="000938C1" w:rsidP="003E03C0">
      <w:pPr>
        <w:rPr>
          <w:sz w:val="12"/>
          <w:szCs w:val="12"/>
        </w:rPr>
      </w:pPr>
    </w:p>
    <w:p w:rsidR="000938C1" w:rsidRPr="00CF1A14" w:rsidRDefault="000938C1" w:rsidP="003E03C0">
      <w:pPr>
        <w:ind w:firstLine="720"/>
        <w:jc w:val="both"/>
        <w:rPr>
          <w:color w:val="0070C0"/>
        </w:rPr>
      </w:pPr>
      <w:r w:rsidRPr="00D87650">
        <w:t>Отчетените текущи нелихвени разходи по консолидираната фискална програма за 201</w:t>
      </w:r>
      <w:r w:rsidRPr="00D87650">
        <w:rPr>
          <w:lang w:val="ru-RU"/>
        </w:rPr>
        <w:t>3</w:t>
      </w:r>
      <w:r w:rsidRPr="00D87650">
        <w:t xml:space="preserve"> г. са в размер на </w:t>
      </w:r>
      <w:r w:rsidRPr="0048495D">
        <w:t>24 68</w:t>
      </w:r>
      <w:r>
        <w:t>1,9</w:t>
      </w:r>
      <w:r w:rsidRPr="0048495D">
        <w:t xml:space="preserve"> </w:t>
      </w:r>
      <w:r w:rsidRPr="00D87650">
        <w:t xml:space="preserve">млн. лв. или </w:t>
      </w:r>
      <w:r w:rsidRPr="00D87650">
        <w:rPr>
          <w:lang w:val="ru-RU"/>
        </w:rPr>
        <w:t>31,6</w:t>
      </w:r>
      <w:r w:rsidRPr="00D87650">
        <w:t xml:space="preserve"> % от БВП. </w:t>
      </w:r>
    </w:p>
    <w:p w:rsidR="000938C1" w:rsidRPr="00D87650" w:rsidRDefault="000938C1" w:rsidP="003E03C0">
      <w:pPr>
        <w:pStyle w:val="Heading4"/>
        <w:ind w:firstLine="360"/>
        <w:rPr>
          <w:i/>
          <w:sz w:val="24"/>
          <w:szCs w:val="24"/>
        </w:rPr>
      </w:pPr>
      <w:r w:rsidRPr="00D87650">
        <w:rPr>
          <w:i/>
          <w:sz w:val="24"/>
          <w:szCs w:val="24"/>
        </w:rPr>
        <w:t xml:space="preserve">      Заплати и възнаграждения за персонала </w:t>
      </w:r>
    </w:p>
    <w:p w:rsidR="000938C1" w:rsidRPr="00D87650" w:rsidRDefault="000938C1" w:rsidP="003E03C0">
      <w:pPr>
        <w:autoSpaceDE w:val="0"/>
        <w:autoSpaceDN w:val="0"/>
        <w:adjustRightInd w:val="0"/>
        <w:rPr>
          <w:b/>
          <w:bCs/>
          <w:sz w:val="8"/>
          <w:szCs w:val="8"/>
        </w:rPr>
      </w:pPr>
    </w:p>
    <w:p w:rsidR="000938C1" w:rsidRPr="00D87650" w:rsidRDefault="000938C1" w:rsidP="003E03C0">
      <w:pPr>
        <w:autoSpaceDE w:val="0"/>
        <w:autoSpaceDN w:val="0"/>
        <w:adjustRightInd w:val="0"/>
        <w:rPr>
          <w:b/>
          <w:bCs/>
          <w:sz w:val="2"/>
          <w:szCs w:val="2"/>
        </w:rPr>
      </w:pPr>
    </w:p>
    <w:p w:rsidR="000938C1" w:rsidRPr="00420FBA" w:rsidRDefault="000938C1" w:rsidP="003E03C0">
      <w:pPr>
        <w:autoSpaceDE w:val="0"/>
        <w:autoSpaceDN w:val="0"/>
        <w:adjustRightInd w:val="0"/>
        <w:ind w:firstLine="720"/>
        <w:jc w:val="both"/>
      </w:pPr>
      <w:r w:rsidRPr="00D87650">
        <w:t xml:space="preserve">През 2013 г. за заплати и възнаграждения на персонала, нает по трудови и служебни правоотношения </w:t>
      </w:r>
      <w:r w:rsidRPr="00187783">
        <w:t xml:space="preserve">на консолидирано ниво, са изразходвани 4 453,7 млн. лв., което представлява 5,7 % от БВП. </w:t>
      </w:r>
      <w:r w:rsidRPr="002255D3">
        <w:rPr>
          <w:rFonts w:cs="Arial"/>
          <w:bCs/>
          <w:szCs w:val="26"/>
        </w:rPr>
        <w:t xml:space="preserve">Динамиката на заплатите в бюджетната  сфера следваше общото икономическо развитие и не оказа натиск върху средните доходи в страната. През </w:t>
      </w:r>
      <w:r w:rsidRPr="0086569F">
        <w:rPr>
          <w:rFonts w:cs="Arial"/>
          <w:bCs/>
          <w:szCs w:val="26"/>
        </w:rPr>
        <w:t>201</w:t>
      </w:r>
      <w:r w:rsidRPr="0086569F">
        <w:rPr>
          <w:rFonts w:cs="Arial"/>
          <w:bCs/>
          <w:szCs w:val="26"/>
          <w:lang w:val="en-US"/>
        </w:rPr>
        <w:t>3</w:t>
      </w:r>
      <w:r w:rsidRPr="0086569F">
        <w:rPr>
          <w:rFonts w:cs="Arial"/>
          <w:bCs/>
          <w:szCs w:val="26"/>
        </w:rPr>
        <w:t xml:space="preserve"> г. номиналното годишно увеличение на общите разходи за заплати и възнаграждения</w:t>
      </w:r>
      <w:r w:rsidRPr="002255D3">
        <w:rPr>
          <w:rFonts w:cs="Arial"/>
          <w:bCs/>
          <w:szCs w:val="26"/>
        </w:rPr>
        <w:t xml:space="preserve"> на персонала възлиза на 7,</w:t>
      </w:r>
      <w:r>
        <w:rPr>
          <w:rFonts w:cs="Arial"/>
          <w:bCs/>
          <w:szCs w:val="26"/>
          <w:lang w:val="en-US"/>
        </w:rPr>
        <w:t>6</w:t>
      </w:r>
      <w:r w:rsidRPr="002255D3">
        <w:rPr>
          <w:rFonts w:cs="Arial"/>
          <w:bCs/>
          <w:szCs w:val="26"/>
        </w:rPr>
        <w:t xml:space="preserve"> %, докато номиналния растеж на средната работна заплата в страната бе 10,5 %. </w:t>
      </w:r>
      <w:r w:rsidRPr="002255D3">
        <w:t>В структурно отношение с най-голям относителен дял от съставните бюджети са разходите за заплати по републиканския бюджет и по бюджетите на общините, свързано с обхвата и спецификата на делегираните им функции. Най-значителен ръст в разходите за заплати спрямо 2012 г. се отчита в структурите, работещи за усвояване на еврофондове и в общините.</w:t>
      </w:r>
    </w:p>
    <w:p w:rsidR="000938C1" w:rsidRPr="00D87650" w:rsidRDefault="000938C1" w:rsidP="003E03C0">
      <w:pPr>
        <w:pStyle w:val="Heading4"/>
        <w:ind w:firstLine="540"/>
        <w:rPr>
          <w:i/>
          <w:sz w:val="24"/>
          <w:szCs w:val="24"/>
        </w:rPr>
      </w:pPr>
      <w:r w:rsidRPr="00D87650">
        <w:rPr>
          <w:i/>
          <w:sz w:val="24"/>
          <w:szCs w:val="24"/>
        </w:rPr>
        <w:t xml:space="preserve">   Осигурителни вноски </w:t>
      </w:r>
    </w:p>
    <w:p w:rsidR="000938C1" w:rsidRPr="00D87650" w:rsidRDefault="000938C1" w:rsidP="003E03C0">
      <w:pPr>
        <w:autoSpaceDE w:val="0"/>
        <w:autoSpaceDN w:val="0"/>
        <w:adjustRightInd w:val="0"/>
        <w:jc w:val="both"/>
        <w:rPr>
          <w:sz w:val="2"/>
          <w:szCs w:val="2"/>
        </w:rPr>
      </w:pPr>
    </w:p>
    <w:p w:rsidR="000938C1" w:rsidRPr="00D87650" w:rsidRDefault="000938C1" w:rsidP="003E03C0">
      <w:pPr>
        <w:ind w:firstLine="540"/>
        <w:jc w:val="both"/>
        <w:rPr>
          <w:sz w:val="12"/>
          <w:szCs w:val="12"/>
        </w:rPr>
      </w:pPr>
    </w:p>
    <w:p w:rsidR="000938C1" w:rsidRPr="00CF1A14" w:rsidRDefault="000938C1" w:rsidP="003E03C0">
      <w:pPr>
        <w:ind w:firstLine="720"/>
        <w:jc w:val="both"/>
        <w:rPr>
          <w:color w:val="0070C0"/>
        </w:rPr>
      </w:pPr>
      <w:r w:rsidRPr="00D87650">
        <w:t xml:space="preserve">Разходите за пенсионни и здравноосигурителни вноски на заетите в бюджетния сектор за 2013 г. са в размер на </w:t>
      </w:r>
      <w:r w:rsidRPr="00C618AE">
        <w:t xml:space="preserve">1 369,2 </w:t>
      </w:r>
      <w:r w:rsidRPr="00D87650">
        <w:t xml:space="preserve">млн. лв. или 105,2 % спрямо разчета за годината. </w:t>
      </w:r>
      <w:r>
        <w:t xml:space="preserve">Като относителен дял от БВП тези разходи нарастват от 1,4 % през 2012 г. на 1,8 % през 2013 г., което се дължи в най-голяма степен на увеличената с 20 процентни пункта от началото на 2013 г. осигурителна вноска за фонд „Пенсии“ за работещите в специалните ведомства. </w:t>
      </w:r>
    </w:p>
    <w:p w:rsidR="000938C1" w:rsidRPr="00D87650" w:rsidRDefault="000938C1" w:rsidP="003E03C0">
      <w:pPr>
        <w:pStyle w:val="Heading4"/>
        <w:ind w:firstLine="720"/>
        <w:rPr>
          <w:i/>
          <w:sz w:val="24"/>
          <w:szCs w:val="24"/>
        </w:rPr>
      </w:pPr>
      <w:r w:rsidRPr="00D87650">
        <w:rPr>
          <w:i/>
          <w:sz w:val="24"/>
          <w:szCs w:val="24"/>
        </w:rPr>
        <w:t xml:space="preserve">    Издръжка</w:t>
      </w:r>
    </w:p>
    <w:p w:rsidR="000938C1" w:rsidRPr="00D87650" w:rsidRDefault="000938C1" w:rsidP="003E03C0">
      <w:pPr>
        <w:autoSpaceDE w:val="0"/>
        <w:autoSpaceDN w:val="0"/>
        <w:adjustRightInd w:val="0"/>
        <w:ind w:firstLine="720"/>
        <w:rPr>
          <w:b/>
          <w:bCs/>
          <w:sz w:val="8"/>
          <w:szCs w:val="8"/>
        </w:rPr>
      </w:pPr>
    </w:p>
    <w:p w:rsidR="000938C1" w:rsidRPr="00D87650" w:rsidRDefault="000938C1" w:rsidP="003E03C0">
      <w:pPr>
        <w:ind w:firstLine="720"/>
        <w:jc w:val="both"/>
        <w:rPr>
          <w:bCs/>
          <w:sz w:val="8"/>
          <w:szCs w:val="8"/>
        </w:rPr>
      </w:pPr>
      <w:r w:rsidRPr="00D87650">
        <w:rPr>
          <w:rFonts w:ascii="TimesNewRomanPSMT" w:hAnsi="TimesNewRomanPSMT" w:cs="TimesNewRomanPSMT"/>
        </w:rPr>
        <w:t>Разходите за издръжка по КФП за 20</w:t>
      </w:r>
      <w:r w:rsidRPr="00D87650">
        <w:rPr>
          <w:rFonts w:cs="TimesNewRomanPSMT"/>
        </w:rPr>
        <w:t>13</w:t>
      </w:r>
      <w:r w:rsidRPr="00D87650">
        <w:rPr>
          <w:rFonts w:ascii="TimesNewRomanPSMT" w:hAnsi="TimesNewRomanPSMT" w:cs="TimesNewRomanPSMT"/>
        </w:rPr>
        <w:t xml:space="preserve"> г. са в размер на 4 </w:t>
      </w:r>
      <w:r w:rsidRPr="00D87650">
        <w:rPr>
          <w:rFonts w:cs="TimesNewRomanPSMT"/>
          <w:lang w:val="ru-RU"/>
        </w:rPr>
        <w:t>69</w:t>
      </w:r>
      <w:r>
        <w:rPr>
          <w:rFonts w:cs="TimesNewRomanPSMT"/>
          <w:lang w:val="ru-RU"/>
        </w:rPr>
        <w:t>5,9</w:t>
      </w:r>
      <w:r w:rsidRPr="00D87650">
        <w:rPr>
          <w:rFonts w:ascii="TimesNewRomanPSMT" w:hAnsi="TimesNewRomanPSMT" w:cs="TimesNewRomanPSMT"/>
        </w:rPr>
        <w:t xml:space="preserve"> млн. лв. Съпоставено с предвидените в ЗДБРБ за 20</w:t>
      </w:r>
      <w:r w:rsidRPr="00D87650">
        <w:rPr>
          <w:rFonts w:cs="TimesNewRomanPSMT"/>
        </w:rPr>
        <w:t>13</w:t>
      </w:r>
      <w:r w:rsidRPr="00D87650">
        <w:rPr>
          <w:rFonts w:ascii="TimesNewRomanPSMT" w:hAnsi="TimesNewRomanPSMT" w:cs="TimesNewRomanPSMT"/>
        </w:rPr>
        <w:t xml:space="preserve"> г. </w:t>
      </w:r>
      <w:r w:rsidRPr="00673D4D">
        <w:t xml:space="preserve">разходи </w:t>
      </w:r>
      <w:r>
        <w:t xml:space="preserve">за издръжка </w:t>
      </w:r>
      <w:r w:rsidRPr="00D87650">
        <w:rPr>
          <w:rFonts w:ascii="TimesNewRomanPSMT" w:hAnsi="TimesNewRomanPSMT" w:cs="TimesNewRomanPSMT"/>
        </w:rPr>
        <w:t xml:space="preserve">изпълнението е </w:t>
      </w:r>
      <w:r w:rsidRPr="00D87650">
        <w:rPr>
          <w:rFonts w:cs="TimesNewRomanPSMT"/>
        </w:rPr>
        <w:t>94,</w:t>
      </w:r>
      <w:r>
        <w:rPr>
          <w:rFonts w:cs="TimesNewRomanPSMT"/>
        </w:rPr>
        <w:t>5</w:t>
      </w:r>
      <w:r w:rsidRPr="00D87650">
        <w:rPr>
          <w:rFonts w:cs="TimesNewRomanPSMT"/>
        </w:rPr>
        <w:t xml:space="preserve"> </w:t>
      </w:r>
      <w:r w:rsidRPr="00D87650">
        <w:rPr>
          <w:rFonts w:ascii="TimesNewRomanPSMT" w:hAnsi="TimesNewRomanPSMT" w:cs="TimesNewRomanPSMT"/>
        </w:rPr>
        <w:t xml:space="preserve">%. </w:t>
      </w:r>
      <w:r w:rsidRPr="00D87650">
        <w:rPr>
          <w:rFonts w:cs="TimesNewRomanPSMT"/>
        </w:rPr>
        <w:t>К</w:t>
      </w:r>
      <w:r w:rsidRPr="00D87650">
        <w:rPr>
          <w:rFonts w:ascii="TimesNewRomanPSMT" w:hAnsi="TimesNewRomanPSMT" w:cs="TimesNewRomanPSMT"/>
        </w:rPr>
        <w:t xml:space="preserve">ато </w:t>
      </w:r>
      <w:r w:rsidRPr="00D87650">
        <w:rPr>
          <w:rFonts w:cs="TimesNewRomanPSMT"/>
        </w:rPr>
        <w:t xml:space="preserve">относителен дял </w:t>
      </w:r>
      <w:r w:rsidRPr="00D87650">
        <w:rPr>
          <w:rFonts w:ascii="TimesNewRomanPSMT" w:hAnsi="TimesNewRomanPSMT" w:cs="TimesNewRomanPSMT"/>
        </w:rPr>
        <w:t xml:space="preserve">от БВП </w:t>
      </w:r>
      <w:r w:rsidRPr="00D87650">
        <w:rPr>
          <w:rFonts w:cs="TimesNewRomanPSMT"/>
        </w:rPr>
        <w:t>р</w:t>
      </w:r>
      <w:r w:rsidRPr="00D87650">
        <w:rPr>
          <w:rFonts w:ascii="TimesNewRomanPSMT" w:hAnsi="TimesNewRomanPSMT" w:cs="TimesNewRomanPSMT"/>
        </w:rPr>
        <w:t xml:space="preserve">азходите за издръжка представляват </w:t>
      </w:r>
      <w:r w:rsidRPr="00D87650">
        <w:rPr>
          <w:rFonts w:cs="TimesNewRomanPSMT"/>
        </w:rPr>
        <w:t xml:space="preserve">6,0 </w:t>
      </w:r>
      <w:r w:rsidRPr="00D87650">
        <w:rPr>
          <w:rFonts w:ascii="TimesNewRomanPSMT" w:hAnsi="TimesNewRomanPSMT" w:cs="TimesNewRomanPSMT"/>
        </w:rPr>
        <w:t>%</w:t>
      </w:r>
      <w:r w:rsidRPr="00D87650">
        <w:rPr>
          <w:rFonts w:cs="TimesNewRomanPSMT"/>
        </w:rPr>
        <w:t xml:space="preserve"> от БВП</w:t>
      </w:r>
      <w:r w:rsidRPr="00D87650">
        <w:rPr>
          <w:rFonts w:ascii="TimesNewRomanPSMT" w:hAnsi="TimesNewRomanPSMT" w:cs="TimesNewRomanPSMT"/>
        </w:rPr>
        <w:t>.</w:t>
      </w:r>
    </w:p>
    <w:p w:rsidR="000938C1" w:rsidRPr="002255D3" w:rsidRDefault="000938C1" w:rsidP="003E03C0">
      <w:pPr>
        <w:autoSpaceDE w:val="0"/>
        <w:autoSpaceDN w:val="0"/>
        <w:adjustRightInd w:val="0"/>
        <w:ind w:firstLine="720"/>
        <w:jc w:val="both"/>
        <w:rPr>
          <w:rFonts w:cs="TimesNewRomanPSMT"/>
          <w:sz w:val="12"/>
          <w:szCs w:val="12"/>
        </w:rPr>
      </w:pPr>
    </w:p>
    <w:p w:rsidR="000938C1" w:rsidRPr="00F329AA" w:rsidRDefault="000938C1" w:rsidP="003E03C0">
      <w:pPr>
        <w:autoSpaceDE w:val="0"/>
        <w:autoSpaceDN w:val="0"/>
        <w:adjustRightInd w:val="0"/>
        <w:ind w:firstLine="720"/>
        <w:jc w:val="both"/>
      </w:pPr>
      <w:r w:rsidRPr="005117F1">
        <w:rPr>
          <w:rFonts w:ascii="TimesNewRomanPSMT" w:hAnsi="TimesNewRomanPSMT" w:cs="TimesNewRomanPSMT"/>
        </w:rPr>
        <w:t xml:space="preserve">В разходите за издръжка се включват текущата издръжка и разходите за членски внос и участие в нетърговски организации и </w:t>
      </w:r>
      <w:r w:rsidRPr="0052476D">
        <w:t>дейности. Разходите за текуща издръжка</w:t>
      </w:r>
      <w:r w:rsidRPr="005117F1">
        <w:rPr>
          <w:rFonts w:ascii="TimesNewRomanPSMT" w:hAnsi="TimesNewRomanPSMT" w:cs="TimesNewRomanPSMT"/>
        </w:rPr>
        <w:t xml:space="preserve"> обхващат разходите за други възнаграждения и плащания за персонал, храна, медикаменти, научно-изследователски разходи и книги, горива и енергия, външни услуги, текущ ремонт и други разходи. В структурно отношение разходите за текуща издръжка са с висок относителен дял в </w:t>
      </w:r>
      <w:r w:rsidRPr="00F329AA">
        <w:t>общите разходи по КФП (15,4 %) и се нареждат на второ място</w:t>
      </w:r>
      <w:r w:rsidRPr="005117F1">
        <w:rPr>
          <w:rFonts w:ascii="TimesNewRomanPSMT" w:hAnsi="TimesNewRomanPSMT" w:cs="TimesNewRomanPSMT"/>
        </w:rPr>
        <w:t xml:space="preserve"> след социалните разходи.</w:t>
      </w:r>
      <w:r>
        <w:rPr>
          <w:rFonts w:cs="TimesNewRomanPSMT"/>
        </w:rPr>
        <w:t xml:space="preserve"> </w:t>
      </w:r>
      <w:r w:rsidRPr="00F329AA">
        <w:t xml:space="preserve">На по-ниско ниво на агрегация на разходите за издръжка и през 2013 г. се запазва тенденцията с най-висок относителен дял (39,7 %) да са разходите за външни услуги (за ползване на външни услуги, разходи за консултантски и транспортни услуги, за поддръжка и ремонт на хардуер и софтуер и др.), следвани от разходите за материали, вода, горива и енергия – 26,7 % и разходите за текущ ремонт – 11,3 %, и т.н. </w:t>
      </w:r>
    </w:p>
    <w:p w:rsidR="000938C1" w:rsidRPr="00CF1A14" w:rsidRDefault="000938C1" w:rsidP="003E03C0">
      <w:pPr>
        <w:tabs>
          <w:tab w:val="left" w:pos="720"/>
        </w:tabs>
        <w:jc w:val="both"/>
        <w:rPr>
          <w:color w:val="0070C0"/>
          <w:sz w:val="8"/>
          <w:szCs w:val="8"/>
        </w:rPr>
      </w:pPr>
    </w:p>
    <w:p w:rsidR="000938C1" w:rsidRPr="00E83350" w:rsidRDefault="000938C1" w:rsidP="003E03C0">
      <w:pPr>
        <w:ind w:firstLine="709"/>
        <w:jc w:val="both"/>
      </w:pPr>
      <w:r w:rsidRPr="006E0753">
        <w:rPr>
          <w:bCs/>
        </w:rPr>
        <w:t>Средствата, необходими за осигуряването на безплатния превоз на учениците до 16-годишна възраст, съгласно чл. 26 от Закона за народната просвета и компенсациите от държавния бюджет за безплатни и по намалени цени пътувания на определени категории пътници, ползващи обществен автомобилен и железопътен транспорт, се отчитат като разходи за външни услуги в частта на издръжката.</w:t>
      </w:r>
      <w:r w:rsidRPr="006E0753">
        <w:t xml:space="preserve"> За 2013 г. утвърдените средства са в размер на 100,5 млн. лв., от които за</w:t>
      </w:r>
      <w:r w:rsidRPr="006E0753">
        <w:rPr>
          <w:bCs/>
        </w:rPr>
        <w:t xml:space="preserve"> пътнически превози по автомобилния транспорт</w:t>
      </w:r>
      <w:r w:rsidRPr="006E0753">
        <w:t xml:space="preserve"> – 78,5 млн. лв. и за превозите на железопътния транспорт – 22,0 млн. лв. </w:t>
      </w:r>
      <w:r w:rsidRPr="006E0753">
        <w:rPr>
          <w:noProof/>
        </w:rPr>
        <w:t xml:space="preserve">На основание чл. 29, ал. 8 и чл. 37, ал. 4 от ПМС №1/ 2013 г. със </w:t>
      </w:r>
      <w:r>
        <w:rPr>
          <w:noProof/>
        </w:rPr>
        <w:t>з</w:t>
      </w:r>
      <w:r w:rsidRPr="006E0753">
        <w:rPr>
          <w:noProof/>
        </w:rPr>
        <w:t xml:space="preserve">аповед на министъра на финансите № ЗМФ-1560/2013 г. е намалена субсидията на МОН и са увеличени „Получени от общини целеви трансфери от ЦБ” с 3,0 млн. лв., с цел покриване на разходите за безплатен превоз на ученици до 16 г., като с това средствата за компенсации за пътнически превози по автомобилния транспорт за 2013 г. нарастват на 81,5 млн. лв. </w:t>
      </w:r>
      <w:r w:rsidRPr="00E83350">
        <w:rPr>
          <w:noProof/>
        </w:rPr>
        <w:t xml:space="preserve">Общо предоставените средства за годината за автомобилния и железопътния транспорт са 100,6 млн. лв., в т.ч. </w:t>
      </w:r>
      <w:r w:rsidRPr="00E83350">
        <w:t xml:space="preserve">компенсации за пътуванията по ж.п. транспорт – 20,0 млн. лв. и </w:t>
      </w:r>
      <w:r w:rsidRPr="00E83350">
        <w:rPr>
          <w:noProof/>
        </w:rPr>
        <w:t xml:space="preserve">компенсации за пътувания по вътрешноградския и междуселищен обществен автомобилен транспорт в страната – 80,7 млн. лв. </w:t>
      </w:r>
      <w:r w:rsidRPr="00E83350">
        <w:t>Предвидените средства за 201</w:t>
      </w:r>
      <w:r w:rsidRPr="00E83350">
        <w:rPr>
          <w:lang w:val="ru-RU"/>
        </w:rPr>
        <w:t>3</w:t>
      </w:r>
      <w:r w:rsidRPr="00E83350">
        <w:t xml:space="preserve"> г., диференцирани по групи правоима</w:t>
      </w:r>
      <w:r>
        <w:t>щ</w:t>
      </w:r>
      <w:r w:rsidRPr="00E83350">
        <w:t>и и обхват на преференциите в автомобилния транспорт, се разпределят както следва:</w:t>
      </w:r>
    </w:p>
    <w:p w:rsidR="000938C1" w:rsidRPr="00E83350" w:rsidRDefault="000938C1" w:rsidP="003E03C0">
      <w:pPr>
        <w:pStyle w:val="BodyTextIndent"/>
        <w:ind w:left="0" w:firstLine="720"/>
        <w:jc w:val="both"/>
        <w:rPr>
          <w:lang w:val="bg-BG"/>
        </w:rPr>
      </w:pPr>
      <w:r w:rsidRPr="00E83350">
        <w:rPr>
          <w:lang w:val="bg-BG"/>
        </w:rPr>
        <w:t xml:space="preserve">- 28,5 млн. лв. за компенсиране на безплатния превоз на </w:t>
      </w:r>
      <w:r>
        <w:rPr>
          <w:lang w:val="bg-BG"/>
        </w:rPr>
        <w:t xml:space="preserve">деца и </w:t>
      </w:r>
      <w:r w:rsidRPr="00E83350">
        <w:rPr>
          <w:lang w:val="bg-BG"/>
        </w:rPr>
        <w:t xml:space="preserve">ученици до 16 г. в съответствие с чл. 26 от Закона за народната просвета. Усвояването на средствата спрямо  уточнения годишен план е на сто процента; </w:t>
      </w:r>
    </w:p>
    <w:p w:rsidR="000938C1" w:rsidRPr="00A96732" w:rsidRDefault="000938C1" w:rsidP="003E03C0">
      <w:pPr>
        <w:pStyle w:val="BodyTextIndent"/>
        <w:ind w:left="0" w:firstLine="720"/>
        <w:jc w:val="both"/>
        <w:rPr>
          <w:lang w:val="bg-BG"/>
        </w:rPr>
      </w:pPr>
      <w:r w:rsidRPr="00E83350">
        <w:rPr>
          <w:lang w:val="bg-BG"/>
        </w:rPr>
        <w:t xml:space="preserve">- 52,2 млн. лв. за компенсиране на преференциални пътувания по общини. </w:t>
      </w:r>
      <w:r w:rsidRPr="00A96732">
        <w:rPr>
          <w:lang w:val="bg-BG"/>
        </w:rPr>
        <w:t>Следва да се има в предвид, че по пътя на изпълнението тези разходи се отчитат като текущи трансфери, обезщетения и помощи за домакинствата.</w:t>
      </w:r>
    </w:p>
    <w:p w:rsidR="000938C1" w:rsidRPr="00732342" w:rsidRDefault="000938C1" w:rsidP="0005065E">
      <w:pPr>
        <w:pStyle w:val="BodyTextIndent"/>
        <w:ind w:left="0" w:firstLine="720"/>
        <w:jc w:val="both"/>
        <w:rPr>
          <w:lang w:val="bg-BG"/>
        </w:rPr>
      </w:pPr>
      <w:r w:rsidRPr="00A96732">
        <w:rPr>
          <w:lang w:val="bg-BG"/>
        </w:rPr>
        <w:t xml:space="preserve"> Елемент на издръжката са и ежегодно предоставяните от държавния бюджет средства за покриване на транспортните разходи по снабдяването на населението в</w:t>
      </w:r>
      <w:r w:rsidRPr="00732342">
        <w:rPr>
          <w:lang w:val="bg-BG"/>
        </w:rPr>
        <w:t xml:space="preserve"> планинските и малки селища с до 500 жители с хляб, хлебни изделия и основни хранителни стоки. Предвидените за тази цел средства от бюджета за 2013 г. са в размер на 3,6 млн. лв. и са изцяло усвоени.</w:t>
      </w:r>
    </w:p>
    <w:p w:rsidR="000938C1" w:rsidRPr="002255D3" w:rsidRDefault="000938C1" w:rsidP="003E03C0">
      <w:pPr>
        <w:tabs>
          <w:tab w:val="left" w:pos="360"/>
        </w:tabs>
        <w:ind w:firstLine="720"/>
        <w:jc w:val="both"/>
        <w:rPr>
          <w:sz w:val="12"/>
          <w:szCs w:val="12"/>
        </w:rPr>
      </w:pPr>
    </w:p>
    <w:p w:rsidR="000938C1" w:rsidRDefault="000938C1" w:rsidP="003E03C0">
      <w:pPr>
        <w:tabs>
          <w:tab w:val="left" w:pos="360"/>
        </w:tabs>
        <w:ind w:firstLine="720"/>
        <w:jc w:val="both"/>
      </w:pPr>
      <w:r w:rsidRPr="00732342">
        <w:t xml:space="preserve">През 2013 г. продължи изпълнението на програмите за ликвидация на неефективни мощности и саниране на околната среда в отраслите рудодобив, въгледобив и уранодобив, средствата за които се отчитат в частта на издръжката. За тази цел през отчетната година в централния бюджет бяха предвидени </w:t>
      </w:r>
      <w:r w:rsidRPr="00732342">
        <w:rPr>
          <w:lang w:val="ru-RU"/>
        </w:rPr>
        <w:t>10,0</w:t>
      </w:r>
      <w:r w:rsidRPr="00732342">
        <w:t xml:space="preserve"> млн. лв. Усвоени са 7,5 млн. лв., или </w:t>
      </w:r>
      <w:r>
        <w:t>74,5 на сто от годишния план, в т.ч. за рудодобив и уранодобив – 4,5 млн. лв. и за въгледобив – 2,9 млн. лева.</w:t>
      </w:r>
    </w:p>
    <w:p w:rsidR="000938C1" w:rsidRPr="00F329AA" w:rsidRDefault="000938C1" w:rsidP="003E03C0">
      <w:pPr>
        <w:pStyle w:val="Heading4"/>
        <w:ind w:firstLine="720"/>
        <w:rPr>
          <w:i/>
          <w:sz w:val="24"/>
          <w:szCs w:val="24"/>
        </w:rPr>
      </w:pPr>
      <w:r w:rsidRPr="00F329AA">
        <w:rPr>
          <w:i/>
          <w:sz w:val="24"/>
          <w:szCs w:val="24"/>
        </w:rPr>
        <w:t xml:space="preserve">  Субсидии</w:t>
      </w:r>
    </w:p>
    <w:p w:rsidR="000938C1" w:rsidRPr="00F329AA" w:rsidRDefault="000938C1" w:rsidP="003E03C0">
      <w:pPr>
        <w:autoSpaceDE w:val="0"/>
        <w:autoSpaceDN w:val="0"/>
        <w:adjustRightInd w:val="0"/>
        <w:rPr>
          <w:b/>
          <w:bCs/>
          <w:sz w:val="12"/>
          <w:szCs w:val="12"/>
        </w:rPr>
      </w:pPr>
    </w:p>
    <w:p w:rsidR="000938C1" w:rsidRPr="00F329AA" w:rsidRDefault="000938C1" w:rsidP="003E03C0">
      <w:pPr>
        <w:autoSpaceDE w:val="0"/>
        <w:autoSpaceDN w:val="0"/>
        <w:adjustRightInd w:val="0"/>
        <w:ind w:firstLine="720"/>
        <w:jc w:val="both"/>
      </w:pPr>
      <w:r w:rsidRPr="00F329AA">
        <w:rPr>
          <w:bCs/>
        </w:rPr>
        <w:t xml:space="preserve">Общата сума на средствата, предоставени за субсидии за системата на здравеопазването, за предприятията от реалния сектор (вкл. организациите с нестопанска цел), както и предоставените помощи за чужбина на консолидирана база през 2013 г. е </w:t>
      </w:r>
      <w:r>
        <w:rPr>
          <w:bCs/>
          <w:lang w:val="en-US"/>
        </w:rPr>
        <w:t xml:space="preserve">     </w:t>
      </w:r>
      <w:r w:rsidRPr="00FD37E5">
        <w:rPr>
          <w:bCs/>
        </w:rPr>
        <w:t>1 416,</w:t>
      </w:r>
      <w:r>
        <w:rPr>
          <w:bCs/>
        </w:rPr>
        <w:t>3</w:t>
      </w:r>
      <w:r w:rsidRPr="00FD37E5">
        <w:rPr>
          <w:bCs/>
        </w:rPr>
        <w:t xml:space="preserve"> </w:t>
      </w:r>
      <w:r w:rsidRPr="00F329AA">
        <w:rPr>
          <w:bCs/>
        </w:rPr>
        <w:t xml:space="preserve">млн. лв., което представлява 1,8 % от БВП. Съпоставено с планираните средства за субсидии в разчетите по ЗДБРБ за 2013 г. изпълнението е </w:t>
      </w:r>
      <w:r>
        <w:rPr>
          <w:bCs/>
          <w:lang w:val="en-US"/>
        </w:rPr>
        <w:t>9</w:t>
      </w:r>
      <w:r>
        <w:rPr>
          <w:bCs/>
        </w:rPr>
        <w:t>8,9</w:t>
      </w:r>
      <w:r>
        <w:rPr>
          <w:bCs/>
          <w:lang w:val="en-US"/>
        </w:rPr>
        <w:t xml:space="preserve"> </w:t>
      </w:r>
      <w:r w:rsidRPr="00F329AA">
        <w:rPr>
          <w:bCs/>
        </w:rPr>
        <w:t xml:space="preserve">%. </w:t>
      </w:r>
    </w:p>
    <w:p w:rsidR="000938C1" w:rsidRPr="00CF1A14" w:rsidRDefault="000938C1" w:rsidP="003E03C0">
      <w:pPr>
        <w:autoSpaceDE w:val="0"/>
        <w:autoSpaceDN w:val="0"/>
        <w:adjustRightInd w:val="0"/>
        <w:ind w:firstLine="540"/>
        <w:jc w:val="both"/>
        <w:rPr>
          <w:bCs/>
          <w:color w:val="0070C0"/>
          <w:sz w:val="8"/>
          <w:szCs w:val="8"/>
        </w:rPr>
      </w:pPr>
    </w:p>
    <w:p w:rsidR="000938C1" w:rsidRPr="00CF1A14" w:rsidRDefault="000938C1" w:rsidP="003E03C0">
      <w:pPr>
        <w:numPr>
          <w:ilvl w:val="0"/>
          <w:numId w:val="1"/>
        </w:numPr>
        <w:tabs>
          <w:tab w:val="clear" w:pos="1068"/>
          <w:tab w:val="num" w:pos="1620"/>
        </w:tabs>
        <w:autoSpaceDE w:val="0"/>
        <w:autoSpaceDN w:val="0"/>
        <w:adjustRightInd w:val="0"/>
        <w:ind w:firstLine="192"/>
        <w:rPr>
          <w:b/>
          <w:i/>
          <w:color w:val="0070C0"/>
          <w:u w:val="single"/>
        </w:rPr>
      </w:pPr>
      <w:r w:rsidRPr="0025628B">
        <w:rPr>
          <w:b/>
          <w:bCs/>
          <w:i/>
          <w:u w:val="single"/>
        </w:rPr>
        <w:t>Субсидии за реалния сектор и организациите с нестопанска цел</w:t>
      </w:r>
    </w:p>
    <w:p w:rsidR="000938C1" w:rsidRPr="00CF1A14" w:rsidRDefault="000938C1" w:rsidP="003E03C0">
      <w:pPr>
        <w:autoSpaceDE w:val="0"/>
        <w:autoSpaceDN w:val="0"/>
        <w:adjustRightInd w:val="0"/>
        <w:ind w:hanging="168"/>
        <w:jc w:val="both"/>
        <w:rPr>
          <w:color w:val="0070C0"/>
          <w:sz w:val="8"/>
          <w:szCs w:val="8"/>
          <w:u w:val="single"/>
        </w:rPr>
      </w:pPr>
    </w:p>
    <w:p w:rsidR="000938C1" w:rsidRPr="00CF1A14" w:rsidRDefault="000938C1" w:rsidP="003E03C0">
      <w:pPr>
        <w:ind w:firstLine="540"/>
        <w:jc w:val="both"/>
        <w:rPr>
          <w:color w:val="0070C0"/>
          <w:sz w:val="8"/>
          <w:szCs w:val="8"/>
        </w:rPr>
      </w:pPr>
    </w:p>
    <w:p w:rsidR="000938C1" w:rsidRPr="0025628B" w:rsidRDefault="000938C1" w:rsidP="003E03C0">
      <w:pPr>
        <w:pStyle w:val="BodyTextIndent2"/>
        <w:spacing w:after="0" w:line="240" w:lineRule="auto"/>
        <w:ind w:left="0" w:firstLine="720"/>
        <w:jc w:val="both"/>
        <w:rPr>
          <w:bCs/>
        </w:rPr>
      </w:pPr>
      <w:r w:rsidRPr="0025628B">
        <w:t xml:space="preserve">През 2013 г. държавата продължи да оказва финансова подкрепа на нефинансовите предприятия от реалния сектор в съответствие с ангажиментите и участието на правителството, свързани с </w:t>
      </w:r>
      <w:r>
        <w:t>интегриране</w:t>
      </w:r>
      <w:r w:rsidRPr="0025628B">
        <w:t xml:space="preserve"> на националната икономика към европейските структури и пазари.</w:t>
      </w:r>
    </w:p>
    <w:p w:rsidR="000938C1" w:rsidRPr="002255D3" w:rsidRDefault="000938C1" w:rsidP="003E03C0">
      <w:pPr>
        <w:ind w:right="72" w:firstLine="720"/>
        <w:jc w:val="both"/>
        <w:rPr>
          <w:sz w:val="12"/>
          <w:szCs w:val="12"/>
        </w:rPr>
      </w:pPr>
    </w:p>
    <w:p w:rsidR="000938C1" w:rsidRPr="0025628B" w:rsidRDefault="000938C1" w:rsidP="003E03C0">
      <w:pPr>
        <w:ind w:right="72" w:firstLine="720"/>
        <w:jc w:val="both"/>
      </w:pPr>
      <w:r w:rsidRPr="0025628B">
        <w:t xml:space="preserve">Общата сума на средствата, изразходвани за субсидии за реалния сектор и организации с нестопанска цел, на консолидирано равнище е </w:t>
      </w:r>
      <w:r w:rsidRPr="00776A2F">
        <w:t>1 30</w:t>
      </w:r>
      <w:r>
        <w:t>6,8</w:t>
      </w:r>
      <w:r w:rsidRPr="00776A2F">
        <w:t xml:space="preserve"> млн. лв. или 95,</w:t>
      </w:r>
      <w:r>
        <w:t>4</w:t>
      </w:r>
      <w:r w:rsidRPr="00776A2F">
        <w:t xml:space="preserve"> % </w:t>
      </w:r>
      <w:r w:rsidRPr="0025628B">
        <w:t xml:space="preserve">от предвидените в ЗДБРБ за 2013 г. разчети. Основните приоритетни направления на държавното финансово подпомагане през годината бяха насочени към предоставяне на средства под формата на субсидии за текуща дейност, компенсации за безплатни и по намалени цени пътувания. </w:t>
      </w:r>
    </w:p>
    <w:p w:rsidR="000938C1" w:rsidRPr="00CF1A14" w:rsidRDefault="000938C1" w:rsidP="003E03C0">
      <w:pPr>
        <w:pStyle w:val="BodyTextIndent"/>
        <w:spacing w:after="0"/>
        <w:ind w:left="0" w:firstLine="539"/>
        <w:jc w:val="both"/>
        <w:rPr>
          <w:color w:val="0070C0"/>
          <w:lang w:val="bg-BG"/>
        </w:rPr>
      </w:pPr>
    </w:p>
    <w:p w:rsidR="000938C1" w:rsidRPr="005D505C" w:rsidRDefault="000938C1" w:rsidP="003E03C0">
      <w:pPr>
        <w:numPr>
          <w:ilvl w:val="1"/>
          <w:numId w:val="1"/>
        </w:numPr>
        <w:tabs>
          <w:tab w:val="clear" w:pos="1788"/>
          <w:tab w:val="num" w:pos="1620"/>
        </w:tabs>
        <w:ind w:left="0" w:firstLine="1440"/>
        <w:rPr>
          <w:b/>
          <w:i/>
        </w:rPr>
      </w:pPr>
      <w:r w:rsidRPr="005D505C">
        <w:rPr>
          <w:b/>
          <w:i/>
        </w:rPr>
        <w:t xml:space="preserve">Транспорт </w:t>
      </w:r>
    </w:p>
    <w:p w:rsidR="000938C1" w:rsidRPr="00CF1A14" w:rsidRDefault="000938C1" w:rsidP="003E03C0">
      <w:pPr>
        <w:pStyle w:val="Header"/>
        <w:tabs>
          <w:tab w:val="left" w:pos="720"/>
        </w:tabs>
        <w:ind w:right="7" w:firstLine="540"/>
        <w:jc w:val="both"/>
        <w:rPr>
          <w:color w:val="0070C0"/>
          <w:sz w:val="8"/>
          <w:szCs w:val="8"/>
        </w:rPr>
      </w:pPr>
    </w:p>
    <w:p w:rsidR="000938C1" w:rsidRDefault="000938C1" w:rsidP="00373AAA">
      <w:pPr>
        <w:pStyle w:val="Header"/>
        <w:ind w:firstLine="709"/>
        <w:jc w:val="both"/>
      </w:pPr>
      <w:r w:rsidRPr="00CE0898">
        <w:rPr>
          <w:i/>
        </w:rPr>
        <w:t>Железопътен транспорт</w:t>
      </w:r>
      <w:r w:rsidRPr="00CE0898">
        <w:rPr>
          <w:b/>
        </w:rPr>
        <w:t xml:space="preserve"> - </w:t>
      </w:r>
      <w:r w:rsidRPr="00CE0898">
        <w:t>състоянието и развитието на железопътната система в страната се определят основно от състоянието на НК „Железопътна инфраструктура”</w:t>
      </w:r>
      <w:r>
        <w:t xml:space="preserve">, като инфраструктурен управител, </w:t>
      </w:r>
      <w:r w:rsidRPr="00CE0898">
        <w:t>и лицензирания основен превозвач „БДЖ - Пътнически превози” ЕООД, предоставящи възложени м</w:t>
      </w:r>
      <w:r>
        <w:t>у</w:t>
      </w:r>
      <w:r w:rsidRPr="00CE0898">
        <w:t xml:space="preserve"> за изпълнение задължителни обществени превозни услуги в съответствие със Закона за железопътния транспорт. Съгласно чл. 54 от Закона за железопътния транспорт, ежегодно със Закона за държавния бюджет се разчитат средства за субсидии за покриване на загуби от текуща пътническа превозна дейност на „БДЖ - Пътнически превози” ЕООД, формирани от поддържането на тарифа за пътнически превози под нивото на разходите за дейността в резултат на изпълнението на задължението му за извършване на обществени превозни услуги по сключен договор с държавата. Субсидията се ползва за обезщетяване по отношение на финансовите тежести, произтичащи за предприятието</w:t>
      </w:r>
      <w:r>
        <w:t>,</w:t>
      </w:r>
      <w:r w:rsidRPr="00CE0898">
        <w:t xml:space="preserve"> поради прилагането към пътническия транспорт на транспортни тарифи и условия, наложени в интерес на потребителите. Държавното финансово подпомагане е съгласувано и прието като държавна помощ, „съвместима с вътрешния пазар”, от Европейската комисия. С разчета за 2013 г. са утвърдени </w:t>
      </w:r>
      <w:r>
        <w:t>170,0</w:t>
      </w:r>
      <w:r w:rsidRPr="00CE0898">
        <w:t xml:space="preserve"> млн. лв</w:t>
      </w:r>
      <w:r w:rsidRPr="00CE0898">
        <w:rPr>
          <w:b/>
        </w:rPr>
        <w:t>.</w:t>
      </w:r>
      <w:r w:rsidRPr="00CE0898">
        <w:t xml:space="preserve"> за субсидии от централния бюджет за „БДЖ – Път</w:t>
      </w:r>
      <w:r>
        <w:t>нически превози” ЕООД. Ч</w:t>
      </w:r>
      <w:r w:rsidRPr="00CE0898">
        <w:t xml:space="preserve">рез бюджета на </w:t>
      </w:r>
      <w:r w:rsidRPr="00AA6305">
        <w:t>Министерство на транспорта, информационните технологии и съобщенията</w:t>
      </w:r>
      <w:r>
        <w:t xml:space="preserve"> през 2013 г. </w:t>
      </w:r>
      <w:r w:rsidRPr="00CE0898">
        <w:t>с</w:t>
      </w:r>
      <w:r>
        <w:t>а</w:t>
      </w:r>
      <w:r w:rsidRPr="00CE0898">
        <w:t xml:space="preserve"> предостав</w:t>
      </w:r>
      <w:r>
        <w:t>ени</w:t>
      </w:r>
      <w:r>
        <w:rPr>
          <w:lang w:val="en-US"/>
        </w:rPr>
        <w:t xml:space="preserve"> </w:t>
      </w:r>
      <w:r>
        <w:t>169,3 млн. лева</w:t>
      </w:r>
      <w:r w:rsidRPr="00AA6305">
        <w:t>.</w:t>
      </w:r>
    </w:p>
    <w:p w:rsidR="000938C1" w:rsidRPr="002255D3" w:rsidRDefault="000938C1" w:rsidP="00373AAA">
      <w:pPr>
        <w:pStyle w:val="Header"/>
        <w:ind w:firstLine="709"/>
        <w:jc w:val="both"/>
        <w:rPr>
          <w:sz w:val="12"/>
          <w:szCs w:val="12"/>
        </w:rPr>
      </w:pPr>
    </w:p>
    <w:p w:rsidR="000938C1" w:rsidRDefault="000938C1" w:rsidP="003E03C0">
      <w:pPr>
        <w:pStyle w:val="BodyTextIndent2"/>
        <w:spacing w:after="0" w:line="240" w:lineRule="auto"/>
        <w:ind w:left="0" w:firstLine="720"/>
        <w:jc w:val="both"/>
      </w:pPr>
      <w:r w:rsidRPr="00EF6727">
        <w:t>Съгласно действащото законодателство, НК</w:t>
      </w:r>
      <w:r>
        <w:t xml:space="preserve"> </w:t>
      </w:r>
      <w:r w:rsidRPr="00EF6727">
        <w:t xml:space="preserve">„Железопътна инфраструктура” </w:t>
      </w:r>
      <w:r>
        <w:t xml:space="preserve">(НКЖИ) </w:t>
      </w:r>
      <w:r w:rsidRPr="00EF6727">
        <w:t xml:space="preserve">е единствен управител на железопътната инфраструктура, който стопанисва и управлява предоставено й имущество – публична и частна държавна собственост и на когото е възложено изграждането, поддържането, развитието и експлоатацията на железопътната инфраструктура. </w:t>
      </w:r>
      <w:r w:rsidRPr="005D505C">
        <w:t>В изпълнение на чл. 25 от Закона за железопътния транспорт държавата участва във финансирането на дейностите по изграждането, поддържането, развитието и експлоатацията на железопътната инфраструктура. По силата на тази разпоредба, размерът на финансирането се определя в рамките на дългосрочен договор между държавата, представлявана от министъра на финансите и министъра на транспорта, информационните технологии и съобщенията и НК</w:t>
      </w:r>
      <w:r>
        <w:t>ЖИ</w:t>
      </w:r>
      <w:r w:rsidRPr="005D505C">
        <w:t>. Действащият петгодишен договор е сключен през 2011 г., като в него ясно с</w:t>
      </w:r>
      <w:r>
        <w:t>а</w:t>
      </w:r>
      <w:r w:rsidRPr="005D505C">
        <w:t xml:space="preserve"> разписа</w:t>
      </w:r>
      <w:r>
        <w:t>ни</w:t>
      </w:r>
      <w:r w:rsidRPr="005D505C">
        <w:t xml:space="preserve"> правата и отговорностите на инфраструктурния управител в изпълнение на дейностите по изграждането, поддържането, развитието и експлоатацията на железопътната инфраструктура.</w:t>
      </w:r>
    </w:p>
    <w:p w:rsidR="000938C1" w:rsidRPr="002255D3" w:rsidRDefault="000938C1" w:rsidP="003E03C0">
      <w:pPr>
        <w:pStyle w:val="BodyTextIndent2"/>
        <w:spacing w:after="0" w:line="240" w:lineRule="auto"/>
        <w:ind w:left="0" w:firstLine="720"/>
        <w:jc w:val="both"/>
        <w:rPr>
          <w:sz w:val="12"/>
          <w:szCs w:val="12"/>
        </w:rPr>
      </w:pPr>
    </w:p>
    <w:p w:rsidR="000938C1" w:rsidRDefault="000938C1" w:rsidP="003E03C0">
      <w:pPr>
        <w:pStyle w:val="BodyTextIndent"/>
        <w:spacing w:after="0"/>
        <w:ind w:left="0" w:firstLine="720"/>
        <w:jc w:val="both"/>
        <w:rPr>
          <w:lang w:val="bg-BG"/>
        </w:rPr>
      </w:pPr>
      <w:r w:rsidRPr="005D505C">
        <w:rPr>
          <w:lang w:val="bg-BG"/>
        </w:rPr>
        <w:t>Неразделна част от договора са годишната и петгодишната програма на предприятието. В тях подробно са предвидени мерките, които следва да се реализират от предприятието за финансовото му стабилизиране. От особено значение в тази връзка са мерките по отношение на преструктуриране на дейностите и постигане на значително по-висока производителност и ефективност.</w:t>
      </w:r>
    </w:p>
    <w:p w:rsidR="000938C1" w:rsidRPr="002255D3" w:rsidRDefault="000938C1" w:rsidP="003E03C0">
      <w:pPr>
        <w:pStyle w:val="BodyTextIndent"/>
        <w:spacing w:after="0"/>
        <w:ind w:left="0" w:firstLine="720"/>
        <w:jc w:val="both"/>
        <w:rPr>
          <w:sz w:val="12"/>
          <w:szCs w:val="12"/>
          <w:lang w:val="bg-BG"/>
        </w:rPr>
      </w:pPr>
    </w:p>
    <w:p w:rsidR="000938C1" w:rsidRPr="00673D4D" w:rsidRDefault="000938C1" w:rsidP="003E03C0">
      <w:pPr>
        <w:pStyle w:val="BodyTextIndent"/>
        <w:spacing w:after="0"/>
        <w:ind w:left="0" w:firstLine="720"/>
        <w:jc w:val="both"/>
        <w:rPr>
          <w:lang w:val="bg-BG"/>
        </w:rPr>
      </w:pPr>
      <w:r w:rsidRPr="00673D4D">
        <w:rPr>
          <w:lang w:val="bg-BG"/>
        </w:rPr>
        <w:t>В договора, освен показателите за повишаване скоростта на движение по ж.п. мрежата в ремонтираните участъци, повишаване безопасността на превозите и повишаване качеството на ж.п. инфраструктурата са предвидени и задължения за НК „Железопътна инфраструктура” да оптимизира разходите за дейността си и да отчита напредъка чрез показателя „оперативни разходи на един зает”. Също така е предвидено да се оптимизира персоналът на един километър железен път, както и да не се допуска размерът на задълженията към доставчици и персонал за текущата година да надхвърля размера от предходната година. Тези показатели и задължения за НКЖИ са заложени като инструменти за постигане на финансова стабилност на инфраструктурния управител - НКЖИ, постигане на по-висока производителност на труда и съответно по-добра ефективност при изразходването на финансов ресурс от държавния бюджет.</w:t>
      </w:r>
    </w:p>
    <w:p w:rsidR="000938C1" w:rsidRPr="00B75FD1" w:rsidRDefault="000938C1" w:rsidP="003E03C0">
      <w:pPr>
        <w:pStyle w:val="BodyTextIndent2"/>
        <w:spacing w:after="0" w:line="240" w:lineRule="auto"/>
        <w:ind w:left="0" w:firstLine="720"/>
        <w:jc w:val="both"/>
        <w:rPr>
          <w:sz w:val="12"/>
          <w:szCs w:val="12"/>
        </w:rPr>
      </w:pPr>
    </w:p>
    <w:p w:rsidR="000938C1" w:rsidRDefault="000938C1" w:rsidP="003E03C0">
      <w:pPr>
        <w:pStyle w:val="BodyTextIndent2"/>
        <w:spacing w:after="0" w:line="240" w:lineRule="auto"/>
        <w:ind w:left="0" w:firstLine="720"/>
        <w:jc w:val="both"/>
      </w:pPr>
      <w:r w:rsidRPr="005D505C">
        <w:t xml:space="preserve">Със ЗДБРБ за 2013 г. са предвидени средства за НКЖИ в размер на 130,0 млн. лв. и са усвоени 129,8 млн. лв. или 99,9 на сто. </w:t>
      </w:r>
      <w:r>
        <w:t>Средствата са предоставени в съответствие с утвърдения от министъра на финансите и министъра на транспорта, информационните технологии и съобщенията График за превеждане на субсидиите, който е съобразен с необходимостта от средства за финансиране на текущите дейности  на компанията. През 2013 г. от МТИТС е наложена санкция на дружеството във връзка с неизпълнение на показателя „Оперативни разходи на един зает“ за 2012 г. по чл. 6, ал. 1, т. 10 от Договора между държавата и НКЖИ. В тази връзка от субсидията за текуща дейност за 2013 г. е приспадната сума в размер на 0,17 млн. лева.</w:t>
      </w:r>
    </w:p>
    <w:p w:rsidR="000938C1" w:rsidRPr="002255D3" w:rsidRDefault="000938C1" w:rsidP="003E03C0">
      <w:pPr>
        <w:pStyle w:val="BodyTextIndent2"/>
        <w:spacing w:after="0" w:line="240" w:lineRule="auto"/>
        <w:ind w:left="0" w:firstLine="720"/>
        <w:jc w:val="both"/>
        <w:rPr>
          <w:sz w:val="12"/>
          <w:szCs w:val="12"/>
        </w:rPr>
      </w:pPr>
    </w:p>
    <w:p w:rsidR="000938C1" w:rsidRPr="005D505C" w:rsidRDefault="000938C1" w:rsidP="003E03C0">
      <w:pPr>
        <w:pStyle w:val="BodyTextIndent2"/>
        <w:spacing w:after="0" w:line="240" w:lineRule="auto"/>
        <w:ind w:left="0" w:firstLine="720"/>
        <w:jc w:val="both"/>
      </w:pPr>
      <w:r w:rsidRPr="005D505C">
        <w:t>Държавното финансово подпомагане е съгласувано с Е</w:t>
      </w:r>
      <w:r>
        <w:t xml:space="preserve">вропейската комисия. </w:t>
      </w:r>
    </w:p>
    <w:p w:rsidR="000938C1" w:rsidRPr="002255D3" w:rsidRDefault="000938C1" w:rsidP="003E03C0">
      <w:pPr>
        <w:pStyle w:val="BodyTextIndent2"/>
        <w:spacing w:after="0" w:line="240" w:lineRule="auto"/>
        <w:ind w:left="0" w:firstLine="720"/>
        <w:jc w:val="both"/>
        <w:rPr>
          <w:sz w:val="12"/>
          <w:szCs w:val="12"/>
        </w:rPr>
      </w:pPr>
    </w:p>
    <w:p w:rsidR="000938C1" w:rsidRPr="005D505C" w:rsidRDefault="000938C1" w:rsidP="003E03C0">
      <w:pPr>
        <w:pStyle w:val="BodyTextIndent2"/>
        <w:spacing w:after="0" w:line="240" w:lineRule="auto"/>
        <w:ind w:left="0" w:firstLine="720"/>
        <w:jc w:val="both"/>
      </w:pPr>
      <w:r w:rsidRPr="005D505C">
        <w:t>Предоставените средства под формата на субсидии позволиха през 2013 г. компанията да изпълнява успешно дейностите по поддържането, ремонта и експлоатацията на железопътната инфраструктура. Създадоха се условия и възможности за постепенно стабилизиране на финансовото състояние на компанията чрез изпълнение на мерки за преструктуриране и намаляване на разходите за текуща дейност.</w:t>
      </w:r>
    </w:p>
    <w:p w:rsidR="000938C1" w:rsidRPr="002255D3" w:rsidRDefault="000938C1" w:rsidP="003E03C0">
      <w:pPr>
        <w:pStyle w:val="BodyTextIndent2"/>
        <w:spacing w:after="0" w:line="240" w:lineRule="auto"/>
        <w:ind w:left="0" w:firstLine="720"/>
        <w:jc w:val="both"/>
        <w:rPr>
          <w:i/>
          <w:sz w:val="12"/>
          <w:szCs w:val="12"/>
        </w:rPr>
      </w:pPr>
    </w:p>
    <w:p w:rsidR="000938C1" w:rsidRDefault="000938C1" w:rsidP="003E03C0">
      <w:pPr>
        <w:pStyle w:val="BodyTextIndent2"/>
        <w:spacing w:after="0" w:line="240" w:lineRule="auto"/>
        <w:ind w:left="0" w:firstLine="720"/>
        <w:jc w:val="both"/>
      </w:pPr>
      <w:r w:rsidRPr="00A5265C">
        <w:rPr>
          <w:i/>
        </w:rPr>
        <w:t xml:space="preserve">Вътрешноградски и междуселищни пътнически превози по автомобилния транспорт - </w:t>
      </w:r>
      <w:r w:rsidRPr="00A5265C">
        <w:t>В съответствие с § 4, ал.</w:t>
      </w:r>
      <w:r>
        <w:t xml:space="preserve"> </w:t>
      </w:r>
      <w:r w:rsidRPr="00A5265C">
        <w:t>1, т.</w:t>
      </w:r>
      <w:r>
        <w:t xml:space="preserve"> </w:t>
      </w:r>
      <w:r w:rsidRPr="00A5265C">
        <w:t>1 от заключителните разпоредби към Закона за автомобилните превози, ежегодно в държавния бюджет се предвиждат средства за субсидиране на превоза на пътниците по нерентабилни автобусни линии във вътрешноградския транспорт и транспорта в планински и други райони. По своя характер те са обществени превозни услуги от общ икономически интерес и имат предимно социална насоченост – масови превози до и от работните места в рамките на града, и превози до малки отдалечени селища, осигуряващи връзка с общинския център. Администрирането на предоставените средства се осъществява чрез общините, които разпределят средствата по отделни превозвачи на база договори и при съблюдаване изискванията на Наредба №</w:t>
      </w:r>
      <w:r>
        <w:t xml:space="preserve"> </w:t>
      </w:r>
      <w:r w:rsidRPr="00A5265C">
        <w:t>3/2005 г. за условията и реда за предоставяне на средства за субсидиране на превоза на пътници по нерентабилни автобусни линии във вътрешноградския транспорт и транспорта в планински и други райони, издадена от министъра на финансите. Държавното финансово подпомагане е съгласувано с Европейската комисия по дело за държавна помощ № 342/2009 г. - субсидии за превоза на пътници по нерентабилни автобусни линии във вътрешноградския транспорт и транспорта в планински и други райони за транспортните оператори, предоставящи услуги от обществен интерес.</w:t>
      </w:r>
    </w:p>
    <w:p w:rsidR="000938C1" w:rsidRPr="002255D3" w:rsidRDefault="000938C1" w:rsidP="003E03C0">
      <w:pPr>
        <w:pStyle w:val="BodyTextIndent2"/>
        <w:spacing w:after="0" w:line="240" w:lineRule="auto"/>
        <w:ind w:left="0" w:firstLine="720"/>
        <w:jc w:val="both"/>
        <w:rPr>
          <w:sz w:val="12"/>
          <w:szCs w:val="12"/>
        </w:rPr>
      </w:pPr>
    </w:p>
    <w:p w:rsidR="000938C1" w:rsidRPr="007525AE" w:rsidRDefault="000938C1" w:rsidP="003E03C0">
      <w:pPr>
        <w:pStyle w:val="BodyTextIndent"/>
        <w:ind w:left="0" w:firstLine="720"/>
        <w:jc w:val="both"/>
        <w:rPr>
          <w:lang w:val="bg-BG"/>
        </w:rPr>
      </w:pPr>
      <w:r w:rsidRPr="007525AE">
        <w:rPr>
          <w:lang w:val="bg-BG"/>
        </w:rPr>
        <w:t xml:space="preserve">За 2013 г. предоставените средства под формата на субсидии за покриване на загубите от извършването на вътрешноградските и междуселищните превози в страната са в размер на 22,0 млн. лв., в т.ч. 8,0 млн. лв. за Столична община. Изпълнението спрямо утвърдения годишен план е 100 процента. </w:t>
      </w:r>
    </w:p>
    <w:p w:rsidR="000938C1" w:rsidRPr="007766DA" w:rsidRDefault="000938C1" w:rsidP="003E03C0">
      <w:pPr>
        <w:pStyle w:val="BodyTextIndent"/>
        <w:numPr>
          <w:ilvl w:val="2"/>
          <w:numId w:val="1"/>
        </w:numPr>
        <w:tabs>
          <w:tab w:val="clear" w:pos="2508"/>
        </w:tabs>
        <w:ind w:left="1800" w:hanging="180"/>
        <w:jc w:val="both"/>
        <w:rPr>
          <w:b/>
          <w:i/>
          <w:lang w:val="bg-BG"/>
        </w:rPr>
      </w:pPr>
      <w:r w:rsidRPr="007766DA">
        <w:rPr>
          <w:b/>
          <w:i/>
          <w:lang w:val="bg-BG"/>
        </w:rPr>
        <w:t>Пощенски услуги</w:t>
      </w:r>
    </w:p>
    <w:p w:rsidR="000938C1" w:rsidRPr="007766DA" w:rsidRDefault="000938C1" w:rsidP="00373AAA">
      <w:pPr>
        <w:pStyle w:val="BodyTextIndent"/>
        <w:ind w:left="0" w:firstLine="709"/>
        <w:jc w:val="both"/>
        <w:rPr>
          <w:lang w:val="bg-BG"/>
        </w:rPr>
      </w:pPr>
      <w:r w:rsidRPr="007766DA">
        <w:rPr>
          <w:lang w:val="bg-BG"/>
        </w:rPr>
        <w:t>В съответствие с чл. 29 от Закона за пощенските услуги „Български пощи“ ЕАД,</w:t>
      </w:r>
      <w:r>
        <w:rPr>
          <w:lang w:val="bg-BG"/>
        </w:rPr>
        <w:t xml:space="preserve"> </w:t>
      </w:r>
      <w:r w:rsidRPr="007766DA">
        <w:rPr>
          <w:lang w:val="bg-BG"/>
        </w:rPr>
        <w:t>като пощенски оператор със задължение за извършване на универсалната пощенска услуга, получава компенсация от държавния бюджет, когато задължението за извършване на универсалната пощенска услуга води до нетни разходи и представлява несправедлива финансова тежест за него.</w:t>
      </w:r>
    </w:p>
    <w:p w:rsidR="000938C1" w:rsidRPr="00046A98" w:rsidRDefault="000938C1" w:rsidP="00373AAA">
      <w:pPr>
        <w:pStyle w:val="BodyTextIndent"/>
        <w:ind w:left="0" w:firstLine="709"/>
        <w:jc w:val="both"/>
        <w:rPr>
          <w:lang w:val="bg-BG"/>
        </w:rPr>
      </w:pPr>
      <w:r w:rsidRPr="007766DA">
        <w:rPr>
          <w:lang w:val="bg-BG"/>
        </w:rPr>
        <w:t xml:space="preserve">Със ЗДБРБ за 2013 г. бяха предвидени за тази цел 2,0 млн. лв. Във връзка с по-големия размер на несправедливата финансова тежест, определен по установения ред, са предоставени за тази цел допълнителни средства в размер на 7,5 млн. лв. Средствата за </w:t>
      </w:r>
      <w:r w:rsidRPr="00046A98">
        <w:rPr>
          <w:lang w:val="bg-BG"/>
        </w:rPr>
        <w:t>субсидии от централния бюджет са предоставени и отчетени чрез бюджета на МТИТС.</w:t>
      </w:r>
    </w:p>
    <w:p w:rsidR="000938C1" w:rsidRPr="00046A98" w:rsidRDefault="000938C1" w:rsidP="003E03C0">
      <w:pPr>
        <w:pStyle w:val="BodyTextIndent"/>
        <w:numPr>
          <w:ilvl w:val="2"/>
          <w:numId w:val="1"/>
        </w:numPr>
        <w:tabs>
          <w:tab w:val="clear" w:pos="2508"/>
        </w:tabs>
        <w:ind w:left="1800" w:hanging="180"/>
        <w:jc w:val="both"/>
        <w:rPr>
          <w:b/>
          <w:i/>
          <w:lang w:val="bg-BG"/>
        </w:rPr>
      </w:pPr>
      <w:r w:rsidRPr="00046A98">
        <w:rPr>
          <w:b/>
          <w:i/>
          <w:lang w:val="bg-BG"/>
        </w:rPr>
        <w:t>Земеделие</w:t>
      </w:r>
    </w:p>
    <w:p w:rsidR="000938C1" w:rsidRPr="00CF1A14" w:rsidRDefault="000938C1" w:rsidP="003E03C0">
      <w:pPr>
        <w:ind w:firstLine="540"/>
        <w:jc w:val="both"/>
        <w:rPr>
          <w:color w:val="0070C0"/>
          <w:sz w:val="8"/>
          <w:szCs w:val="8"/>
        </w:rPr>
      </w:pPr>
    </w:p>
    <w:p w:rsidR="000938C1" w:rsidRDefault="000938C1" w:rsidP="003E03C0">
      <w:pPr>
        <w:ind w:firstLine="720"/>
        <w:jc w:val="both"/>
        <w:rPr>
          <w:bCs/>
          <w:noProof/>
        </w:rPr>
      </w:pPr>
      <w:r w:rsidRPr="00B60919">
        <w:rPr>
          <w:bCs/>
          <w:noProof/>
        </w:rPr>
        <w:t xml:space="preserve">За 2013 г. в план-сметката на Държавен фонд „Земеделие” </w:t>
      </w:r>
      <w:r>
        <w:rPr>
          <w:bCs/>
          <w:noProof/>
        </w:rPr>
        <w:t xml:space="preserve">(ДФЗ) </w:t>
      </w:r>
      <w:r w:rsidRPr="00B60919">
        <w:rPr>
          <w:bCs/>
          <w:noProof/>
        </w:rPr>
        <w:t xml:space="preserve">планираните субсидии за </w:t>
      </w:r>
      <w:r w:rsidRPr="00B60919">
        <w:rPr>
          <w:bCs/>
          <w:i/>
          <w:noProof/>
        </w:rPr>
        <w:t>нефинансови предприятия</w:t>
      </w:r>
      <w:r w:rsidRPr="00B60919">
        <w:rPr>
          <w:bCs/>
          <w:noProof/>
        </w:rPr>
        <w:t xml:space="preserve"> са в размер на 431,8 млн. лв., като изплатените средства към 31.12.2013 г. са в размер на 401,9 млн. лв., в това число: субсидии за непублични бенефициенти по </w:t>
      </w:r>
      <w:r w:rsidRPr="00B60919">
        <w:rPr>
          <w:noProof/>
        </w:rPr>
        <w:t>Европейски земеделски фонд за развитие на селските райони</w:t>
      </w:r>
      <w:r w:rsidRPr="00B60919">
        <w:rPr>
          <w:bCs/>
          <w:noProof/>
        </w:rPr>
        <w:t xml:space="preserve"> (ЕЗФРСР)  в размер на 125,5 млн. лв. (в т.ч. 79,6 млн. лв. национално съфинансиране), по Европейския фонд за гарантиране в земеделието (ЕФГЗ) за пазарни мерки – 10,3 млн. лв. (в т.ч. 8,2 млн. лв национално съфинансиране), държавна помощ по одобрени за подпомагане финансови схеми в размер на 79,8 млн. лв., средства за покриване на разходите за ДДС за пазарни мерки – 8,2 млн. лв., национални доплащания на площ за предходни кампании– 0,8 млн. лв., национални доплащания за животни – 92,8 млн. лв., национални доплащания за тютюнопроизводителите – 84,0 млн. лв. и други  субсидии в размер на 0,4 млн. лв. </w:t>
      </w:r>
      <w:r>
        <w:rPr>
          <w:bCs/>
          <w:noProof/>
        </w:rPr>
        <w:t xml:space="preserve">Изплатените субсидии  през 2013 г. на </w:t>
      </w:r>
      <w:r w:rsidRPr="00B60919">
        <w:rPr>
          <w:bCs/>
          <w:i/>
          <w:noProof/>
        </w:rPr>
        <w:t>организации с нестопанска цел</w:t>
      </w:r>
      <w:r>
        <w:rPr>
          <w:bCs/>
          <w:noProof/>
        </w:rPr>
        <w:t xml:space="preserve"> са в размер на 7,8 млн. лв., в т.ч. 1,6 млн. лв. национално съфинансиране.</w:t>
      </w:r>
    </w:p>
    <w:p w:rsidR="000938C1" w:rsidRPr="00046A98" w:rsidRDefault="000938C1" w:rsidP="003E03C0">
      <w:pPr>
        <w:ind w:firstLine="720"/>
        <w:jc w:val="both"/>
      </w:pPr>
      <w:r w:rsidRPr="00B60919">
        <w:t>През отчетния период по предложение на ДФ</w:t>
      </w:r>
      <w:r>
        <w:t>З</w:t>
      </w:r>
      <w:r w:rsidRPr="00B60919">
        <w:t xml:space="preserve"> чрез Министерство на земеделието и храните бяха предложени няколко промени в приходната и разходната част на план-сметката на ДФ</w:t>
      </w:r>
      <w:r>
        <w:t>З</w:t>
      </w:r>
      <w:r w:rsidRPr="00B60919">
        <w:t>. П</w:t>
      </w:r>
      <w:r w:rsidRPr="00B60919">
        <w:rPr>
          <w:noProof/>
        </w:rPr>
        <w:t xml:space="preserve">редложените промени в разходната част, свързани със субсидиите за нефинансови предприятия, бяха </w:t>
      </w:r>
      <w:r w:rsidRPr="00046A98">
        <w:rPr>
          <w:noProof/>
        </w:rPr>
        <w:t>за увеличаване на средствата за национални доплащания за животни, както и за увеличаване на средствата за национални доплащания за тютюнопроизводителите и на държавната помощ за производителите на плодове и зеленчуци и др</w:t>
      </w:r>
      <w:r>
        <w:rPr>
          <w:noProof/>
        </w:rPr>
        <w:t>уги</w:t>
      </w:r>
      <w:r w:rsidRPr="00046A98">
        <w:rPr>
          <w:noProof/>
        </w:rPr>
        <w:t xml:space="preserve">. </w:t>
      </w:r>
    </w:p>
    <w:p w:rsidR="000938C1" w:rsidRPr="00A502D6" w:rsidRDefault="000938C1" w:rsidP="003E03C0">
      <w:pPr>
        <w:tabs>
          <w:tab w:val="num" w:pos="0"/>
        </w:tabs>
        <w:ind w:firstLine="540"/>
        <w:rPr>
          <w:sz w:val="16"/>
          <w:szCs w:val="16"/>
        </w:rPr>
      </w:pPr>
    </w:p>
    <w:p w:rsidR="000938C1" w:rsidRPr="00A502D6" w:rsidRDefault="000938C1" w:rsidP="003E03C0">
      <w:pPr>
        <w:pStyle w:val="BodyTextIndent"/>
        <w:numPr>
          <w:ilvl w:val="2"/>
          <w:numId w:val="1"/>
        </w:numPr>
        <w:tabs>
          <w:tab w:val="clear" w:pos="2508"/>
        </w:tabs>
        <w:ind w:left="1800" w:hanging="180"/>
        <w:jc w:val="both"/>
        <w:rPr>
          <w:b/>
          <w:i/>
          <w:lang w:val="bg-BG"/>
        </w:rPr>
      </w:pPr>
      <w:r w:rsidRPr="00A502D6">
        <w:rPr>
          <w:b/>
          <w:i/>
          <w:lang w:val="bg-BG"/>
        </w:rPr>
        <w:t>Програми за заетост</w:t>
      </w:r>
    </w:p>
    <w:p w:rsidR="000938C1" w:rsidRPr="00A502D6" w:rsidRDefault="000938C1" w:rsidP="003E03C0">
      <w:pPr>
        <w:ind w:firstLine="540"/>
        <w:jc w:val="both"/>
        <w:rPr>
          <w:sz w:val="8"/>
          <w:szCs w:val="8"/>
        </w:rPr>
      </w:pPr>
    </w:p>
    <w:p w:rsidR="000938C1" w:rsidRPr="00A502D6" w:rsidRDefault="000938C1" w:rsidP="003E03C0">
      <w:pPr>
        <w:ind w:firstLine="720"/>
        <w:jc w:val="both"/>
      </w:pPr>
      <w:r w:rsidRPr="00A502D6">
        <w:t>Предоставените субсидии на нефинансови предприятия и организации с нестопанска цел от бюджета на МТСП за 201</w:t>
      </w:r>
      <w:r w:rsidRPr="002255D3">
        <w:rPr>
          <w:lang w:val="ru-RU"/>
        </w:rPr>
        <w:t>3</w:t>
      </w:r>
      <w:r w:rsidRPr="00A502D6">
        <w:t xml:space="preserve"> г. са в размер на 31,8 млн. лв. за програми и мерки за заетост, както и за реализиране на програми на Агенцията за хората с увреждания, на Фонд „Условия на труд” и на Фонд „Социална закрила“. </w:t>
      </w:r>
    </w:p>
    <w:p w:rsidR="000938C1" w:rsidRPr="00CF1A14" w:rsidRDefault="000938C1" w:rsidP="003E03C0">
      <w:pPr>
        <w:ind w:firstLine="540"/>
        <w:jc w:val="both"/>
        <w:rPr>
          <w:color w:val="0070C0"/>
          <w:sz w:val="12"/>
          <w:szCs w:val="12"/>
        </w:rPr>
      </w:pPr>
    </w:p>
    <w:p w:rsidR="000938C1" w:rsidRPr="00CF1A14" w:rsidRDefault="000938C1" w:rsidP="003E03C0">
      <w:pPr>
        <w:rPr>
          <w:color w:val="0070C0"/>
          <w:sz w:val="8"/>
          <w:szCs w:val="8"/>
        </w:rPr>
      </w:pPr>
    </w:p>
    <w:p w:rsidR="000938C1" w:rsidRPr="00A502D6" w:rsidRDefault="000938C1" w:rsidP="003E03C0">
      <w:pPr>
        <w:numPr>
          <w:ilvl w:val="0"/>
          <w:numId w:val="1"/>
        </w:numPr>
        <w:tabs>
          <w:tab w:val="clear" w:pos="1068"/>
          <w:tab w:val="num" w:pos="900"/>
          <w:tab w:val="num" w:pos="1620"/>
        </w:tabs>
        <w:autoSpaceDE w:val="0"/>
        <w:autoSpaceDN w:val="0"/>
        <w:adjustRightInd w:val="0"/>
        <w:ind w:firstLine="192"/>
        <w:jc w:val="both"/>
        <w:rPr>
          <w:b/>
          <w:bCs/>
          <w:i/>
          <w:u w:val="single"/>
        </w:rPr>
      </w:pPr>
      <w:r w:rsidRPr="00A502D6">
        <w:rPr>
          <w:b/>
          <w:bCs/>
          <w:i/>
          <w:u w:val="single"/>
        </w:rPr>
        <w:t>Субсидии за системата на здравеопазването</w:t>
      </w:r>
    </w:p>
    <w:p w:rsidR="000938C1" w:rsidRPr="00A502D6" w:rsidRDefault="000938C1" w:rsidP="003E03C0">
      <w:pPr>
        <w:spacing w:before="120" w:after="120"/>
        <w:ind w:firstLine="709"/>
        <w:jc w:val="both"/>
      </w:pPr>
      <w:r>
        <w:t>С</w:t>
      </w:r>
      <w:r w:rsidRPr="00A502D6">
        <w:t>убсидии</w:t>
      </w:r>
      <w:r>
        <w:t>те</w:t>
      </w:r>
      <w:r w:rsidRPr="00A502D6">
        <w:t xml:space="preserve"> за лечебни заведения за болнична помощ през 2013 г. са в размер на </w:t>
      </w:r>
      <w:r>
        <w:rPr>
          <w:lang w:val="en-US"/>
        </w:rPr>
        <w:t>88,1</w:t>
      </w:r>
      <w:r w:rsidRPr="00A502D6">
        <w:t xml:space="preserve"> млн. лв.</w:t>
      </w:r>
      <w:r>
        <w:t xml:space="preserve">, предоставени са основно </w:t>
      </w:r>
      <w:r w:rsidRPr="00A502D6">
        <w:t>чрез бюджета на Министерство на здравеопазването и са за финансиране на медицински дейности, изплащани по реда на утвърдена от министъра на здравеопазването методика, които обхващат: стационарна психиатрична помощ; продължаващо лечение и рехабилитация на пациенти с туберкулоза; проследяване и лечение на пациенти с ХИВ и болнично лечение на пациенти със СПИН; диспансерна дейност; за издаване на експертни решения от ТЕЛК; извършени диализи; за интензивно лечение; високотехнологични дейности; диагностични изследвания с РЕТ/СТ апаратура; реплантации; физикална терапия и рехабилитация; за отдих и лечение на ветераните от войните.</w:t>
      </w:r>
    </w:p>
    <w:p w:rsidR="000938C1" w:rsidRPr="00220D94" w:rsidRDefault="000938C1" w:rsidP="003E03C0">
      <w:pPr>
        <w:spacing w:before="120" w:after="120"/>
        <w:ind w:firstLine="709"/>
        <w:jc w:val="both"/>
      </w:pPr>
      <w:r w:rsidRPr="00220D94">
        <w:t xml:space="preserve">В рамките на този ресурс на болниците е предоставена изравнителна субсидия за дейностите, изпълнени по договорите до края на 2012 г. и за извършване на дейности през 2013 г., от които са разплатени на 100 % действително отчетени разходи за дейностите за деветмесечието на годината и авансова субсидия за последното тримесечие на годината. </w:t>
      </w:r>
    </w:p>
    <w:p w:rsidR="000938C1" w:rsidRPr="0055580C" w:rsidRDefault="000938C1" w:rsidP="003E03C0">
      <w:pPr>
        <w:numPr>
          <w:ilvl w:val="0"/>
          <w:numId w:val="1"/>
        </w:numPr>
        <w:tabs>
          <w:tab w:val="clear" w:pos="1068"/>
          <w:tab w:val="num" w:pos="900"/>
          <w:tab w:val="num" w:pos="1620"/>
        </w:tabs>
        <w:autoSpaceDE w:val="0"/>
        <w:autoSpaceDN w:val="0"/>
        <w:adjustRightInd w:val="0"/>
        <w:spacing w:after="120"/>
        <w:ind w:left="1066" w:firstLine="192"/>
        <w:jc w:val="both"/>
      </w:pPr>
      <w:r w:rsidRPr="0055580C">
        <w:rPr>
          <w:b/>
          <w:bCs/>
          <w:i/>
          <w:u w:val="single"/>
        </w:rPr>
        <w:t>Предоставени помощи за чужбина</w:t>
      </w:r>
    </w:p>
    <w:p w:rsidR="000938C1" w:rsidRPr="00F0766E" w:rsidRDefault="000938C1" w:rsidP="003E03C0">
      <w:pPr>
        <w:tabs>
          <w:tab w:val="num" w:pos="1620"/>
        </w:tabs>
        <w:autoSpaceDE w:val="0"/>
        <w:autoSpaceDN w:val="0"/>
        <w:adjustRightInd w:val="0"/>
        <w:spacing w:after="120"/>
        <w:ind w:firstLine="718"/>
        <w:jc w:val="both"/>
      </w:pPr>
      <w:r w:rsidRPr="0055580C">
        <w:t xml:space="preserve">Предоставените помощи за чужбина за 2013 г. са в размер на </w:t>
      </w:r>
      <w:r>
        <w:t>21,4</w:t>
      </w:r>
      <w:r w:rsidRPr="0055580C">
        <w:t xml:space="preserve"> млн. лв., </w:t>
      </w:r>
      <w:r w:rsidRPr="00F0766E">
        <w:t xml:space="preserve">от които </w:t>
      </w:r>
      <w:r>
        <w:t xml:space="preserve">10,9 млн. лв. са </w:t>
      </w:r>
      <w:r w:rsidRPr="00F0766E">
        <w:t xml:space="preserve">предоставени чрез </w:t>
      </w:r>
      <w:r>
        <w:t>извънбюджетните сметки за европейски средства и 6,7 млн. лв. са предоставени чрез бюджетите на министерствата и ведомствата</w:t>
      </w:r>
      <w:r w:rsidRPr="00F0766E">
        <w:t xml:space="preserve">. </w:t>
      </w:r>
    </w:p>
    <w:p w:rsidR="000938C1" w:rsidRPr="00137EEF" w:rsidRDefault="000938C1" w:rsidP="00373AAA">
      <w:pPr>
        <w:pStyle w:val="Heading4"/>
        <w:tabs>
          <w:tab w:val="left" w:pos="1080"/>
        </w:tabs>
        <w:spacing w:before="100" w:beforeAutospacing="1" w:after="100" w:afterAutospacing="1"/>
        <w:ind w:firstLine="709"/>
        <w:rPr>
          <w:i/>
          <w:sz w:val="24"/>
          <w:szCs w:val="24"/>
        </w:rPr>
      </w:pPr>
      <w:r w:rsidRPr="00137EEF">
        <w:rPr>
          <w:i/>
          <w:sz w:val="24"/>
          <w:szCs w:val="24"/>
        </w:rPr>
        <w:t>Социално и здравноосигур</w:t>
      </w:r>
      <w:r>
        <w:rPr>
          <w:i/>
          <w:sz w:val="24"/>
          <w:szCs w:val="24"/>
        </w:rPr>
        <w:t>и</w:t>
      </w:r>
      <w:r w:rsidRPr="00137EEF">
        <w:rPr>
          <w:i/>
          <w:sz w:val="24"/>
          <w:szCs w:val="24"/>
        </w:rPr>
        <w:t>телни разходи</w:t>
      </w:r>
    </w:p>
    <w:p w:rsidR="000938C1" w:rsidRDefault="000938C1" w:rsidP="00187783">
      <w:pPr>
        <w:tabs>
          <w:tab w:val="left" w:pos="6840"/>
          <w:tab w:val="left" w:pos="8280"/>
        </w:tabs>
        <w:ind w:firstLine="709"/>
        <w:jc w:val="both"/>
        <w:rPr>
          <w:color w:val="0070C0"/>
        </w:rPr>
      </w:pPr>
      <w:r w:rsidRPr="00137EEF">
        <w:t>Социалноосигурителните разходи на консолидирана база за 2013 г. възлизат на 12 640,7 млн. лв., което представлява 16,2 % от БВП</w:t>
      </w:r>
      <w:r>
        <w:t>. Важно е да се отбележи, че в частта на разходите социалните разходи и здравноосигурителните плащания бяха основен приоритет сред политиките в програмата за годината, което се потвърждава от отчетения значителен ръст на ресурса, обезпечаващ тези политики. Социалните и здравноосигурителните разходи нарастват с 1,2 п.п от БВП спрямо предходната година, като основен принос за това имат основно увеличението на всички пенсии от 1 април 2013 г., разширяването на обхвата и размера на обезщетенията и помощите по социалното подпомагане, увеличения ресурс за сектора на здравеопазването и др. Следва също така да се посочи, че за изплащане на еднократна коледна добавка на пенсионерите с най-ниски пенсии и за финансиране на очерталия се недостиг на финансиране на сектора на здравеопазването през 2013 г. бе осигурен и допълнителен финансов ресурс в размер общо около 125,0 млн. лв. при спазване на одобрената фискална цел дефицитът по КФП да не превиши 2 % от БВП.</w:t>
      </w:r>
    </w:p>
    <w:p w:rsidR="000938C1" w:rsidRPr="00137EEF" w:rsidRDefault="000938C1" w:rsidP="003E03C0">
      <w:pPr>
        <w:autoSpaceDE w:val="0"/>
        <w:autoSpaceDN w:val="0"/>
        <w:adjustRightInd w:val="0"/>
        <w:ind w:firstLine="720"/>
        <w:jc w:val="both"/>
      </w:pPr>
      <w:r w:rsidRPr="00137EEF">
        <w:t>В структурно отношение социалните разходи са с най-висок относителен дял (41,</w:t>
      </w:r>
      <w:r>
        <w:t>6 </w:t>
      </w:r>
      <w:r w:rsidRPr="00137EEF">
        <w:t xml:space="preserve">%) в общите разходи (вкл. вноската в бюджета на ЕС) по КФП, което се обуславя от провежданата социална политика в условията на неблагоприятна демографска среда. </w:t>
      </w:r>
    </w:p>
    <w:p w:rsidR="000938C1" w:rsidRPr="00CF1A14" w:rsidRDefault="000938C1" w:rsidP="003E03C0">
      <w:pPr>
        <w:numPr>
          <w:ilvl w:val="0"/>
          <w:numId w:val="1"/>
        </w:numPr>
        <w:tabs>
          <w:tab w:val="num" w:pos="900"/>
        </w:tabs>
        <w:autoSpaceDE w:val="0"/>
        <w:autoSpaceDN w:val="0"/>
        <w:adjustRightInd w:val="0"/>
        <w:ind w:hanging="168"/>
        <w:jc w:val="both"/>
        <w:rPr>
          <w:b/>
          <w:bCs/>
          <w:i/>
          <w:color w:val="0070C0"/>
          <w:sz w:val="8"/>
          <w:szCs w:val="8"/>
        </w:rPr>
      </w:pPr>
    </w:p>
    <w:p w:rsidR="000938C1" w:rsidRPr="00137EEF" w:rsidRDefault="000938C1" w:rsidP="003E03C0">
      <w:pPr>
        <w:ind w:firstLine="720"/>
        <w:jc w:val="both"/>
        <w:rPr>
          <w:bCs/>
        </w:rPr>
      </w:pPr>
      <w:r w:rsidRPr="00137EEF">
        <w:rPr>
          <w:i/>
        </w:rPr>
        <w:t>Разходите за пенсии</w:t>
      </w:r>
      <w:r w:rsidRPr="00137EEF">
        <w:t xml:space="preserve"> за 2013 г. възлизат на 7 762,2 млн. лв. или 9,9 % от БВП и 98,6 % спрямо предвидените разчети за 2013 г. В тази сума са включени разходите за пенсии от ДОО и УПФ, включително добавките към пенсиите на участниците във войните, както и пенсиите по международни спогодби.</w:t>
      </w:r>
      <w:r>
        <w:t xml:space="preserve"> </w:t>
      </w:r>
      <w:r w:rsidRPr="00137EEF">
        <w:t>В</w:t>
      </w:r>
      <w:r>
        <w:t>ъпреки отчетеното намаление на средномесечния брой пенсионери и брой пенсии в</w:t>
      </w:r>
      <w:r w:rsidRPr="00137EEF">
        <w:t xml:space="preserve"> сравнение с предходната година, разходите за пенсии нарастват с 52</w:t>
      </w:r>
      <w:r>
        <w:t>8,0</w:t>
      </w:r>
      <w:r w:rsidRPr="00137EEF">
        <w:t xml:space="preserve"> млн. лв. или </w:t>
      </w:r>
      <w:r>
        <w:t>7,3</w:t>
      </w:r>
      <w:r w:rsidRPr="00137EEF">
        <w:t> %</w:t>
      </w:r>
      <w:r>
        <w:rPr>
          <w:bCs/>
        </w:rPr>
        <w:t xml:space="preserve">. Този ръст се дължи </w:t>
      </w:r>
      <w:r w:rsidRPr="00137EEF">
        <w:rPr>
          <w:bCs/>
        </w:rPr>
        <w:t xml:space="preserve">в </w:t>
      </w:r>
      <w:r>
        <w:rPr>
          <w:bCs/>
        </w:rPr>
        <w:t>най-голяма степен на извършените индексации от 1 април, както следва</w:t>
      </w:r>
      <w:r w:rsidRPr="00137EEF">
        <w:rPr>
          <w:bCs/>
        </w:rPr>
        <w:t>:</w:t>
      </w:r>
    </w:p>
    <w:p w:rsidR="000938C1" w:rsidRPr="00CF0899" w:rsidRDefault="000938C1" w:rsidP="00F30F79">
      <w:pPr>
        <w:numPr>
          <w:ilvl w:val="0"/>
          <w:numId w:val="41"/>
        </w:numPr>
        <w:tabs>
          <w:tab w:val="clear" w:pos="720"/>
          <w:tab w:val="num" w:pos="0"/>
          <w:tab w:val="left" w:pos="1080"/>
        </w:tabs>
        <w:ind w:left="0" w:firstLine="720"/>
        <w:jc w:val="both"/>
        <w:rPr>
          <w:bCs/>
        </w:rPr>
      </w:pPr>
      <w:r w:rsidRPr="00CF0899">
        <w:t>увеличение на всички пенсии с процент, равен на натрупаната инфлация за периода от второто полугодие на 2009 г. до края на 2012 г., като средният размер на увеличение на пенсиите</w:t>
      </w:r>
      <w:r>
        <w:t xml:space="preserve"> в зависимост от годината на отпускане</w:t>
      </w:r>
      <w:r w:rsidRPr="00CF0899">
        <w:t xml:space="preserve"> е 9,3 на сто;</w:t>
      </w:r>
    </w:p>
    <w:p w:rsidR="000938C1" w:rsidRPr="00CF0899" w:rsidRDefault="000938C1" w:rsidP="00F30F79">
      <w:pPr>
        <w:numPr>
          <w:ilvl w:val="0"/>
          <w:numId w:val="41"/>
        </w:numPr>
        <w:tabs>
          <w:tab w:val="clear" w:pos="720"/>
          <w:tab w:val="num" w:pos="0"/>
          <w:tab w:val="left" w:pos="1080"/>
        </w:tabs>
        <w:ind w:left="0" w:firstLine="720"/>
        <w:jc w:val="both"/>
        <w:rPr>
          <w:bCs/>
        </w:rPr>
      </w:pPr>
      <w:r w:rsidRPr="00CF0899">
        <w:t>минималната пенсия за осигурителен стаж и възраст е увеличена от 145,0 лв. на 150,0 лева;</w:t>
      </w:r>
    </w:p>
    <w:p w:rsidR="000938C1" w:rsidRPr="00CF0899" w:rsidRDefault="000938C1" w:rsidP="00F30F79">
      <w:pPr>
        <w:numPr>
          <w:ilvl w:val="0"/>
          <w:numId w:val="41"/>
        </w:numPr>
        <w:tabs>
          <w:tab w:val="clear" w:pos="720"/>
          <w:tab w:val="num" w:pos="0"/>
          <w:tab w:val="left" w:pos="1080"/>
        </w:tabs>
        <w:ind w:left="0" w:firstLine="720"/>
        <w:jc w:val="both"/>
        <w:rPr>
          <w:bCs/>
        </w:rPr>
      </w:pPr>
      <w:r w:rsidRPr="00CF0899">
        <w:t>максималният  размер на получаваните една или повече пенсии се увеличи от 700,0 на 770,0 лева;</w:t>
      </w:r>
    </w:p>
    <w:p w:rsidR="000938C1" w:rsidRPr="00CF0899" w:rsidRDefault="000938C1" w:rsidP="00F30F79">
      <w:pPr>
        <w:numPr>
          <w:ilvl w:val="0"/>
          <w:numId w:val="41"/>
        </w:numPr>
        <w:tabs>
          <w:tab w:val="clear" w:pos="720"/>
          <w:tab w:val="num" w:pos="0"/>
          <w:tab w:val="left" w:pos="1080"/>
        </w:tabs>
        <w:ind w:left="0" w:firstLine="720"/>
        <w:jc w:val="both"/>
        <w:rPr>
          <w:bCs/>
        </w:rPr>
      </w:pPr>
      <w:r w:rsidRPr="00CF0899">
        <w:t>увеличение на средната пенсия за старост от 100,86 лв. на 110,0 лева.</w:t>
      </w:r>
    </w:p>
    <w:p w:rsidR="000938C1" w:rsidRPr="0097697F" w:rsidRDefault="000938C1" w:rsidP="003E03C0">
      <w:pPr>
        <w:tabs>
          <w:tab w:val="left" w:pos="709"/>
        </w:tabs>
        <w:jc w:val="both"/>
        <w:rPr>
          <w:bCs/>
        </w:rPr>
      </w:pPr>
      <w:r>
        <w:rPr>
          <w:bCs/>
        </w:rPr>
        <w:tab/>
      </w:r>
      <w:r w:rsidRPr="00CF0899">
        <w:rPr>
          <w:bCs/>
        </w:rPr>
        <w:t xml:space="preserve">Освен изброените фактори, влияние за по-високия размер на разходите за пенсии </w:t>
      </w:r>
      <w:r>
        <w:rPr>
          <w:bCs/>
        </w:rPr>
        <w:t>о</w:t>
      </w:r>
      <w:r w:rsidRPr="00CF0899">
        <w:rPr>
          <w:bCs/>
        </w:rPr>
        <w:t xml:space="preserve">казват и преведените през месец декември 2013 г. 53,5 млн. лв. еднократна допълнителна сума в размер на 50,0 лв. на пенсионери, на които пенсията или сборът от пенсиите заедно с добавките и компенсациите към тях за декември 2013 г. е в размер до 251,0 лв. включително. Средствата са преведени от НОИ и са за сметка на икономии на разходите и </w:t>
      </w:r>
      <w:r w:rsidRPr="0097697F">
        <w:rPr>
          <w:bCs/>
        </w:rPr>
        <w:t>трансферите  по централния бюджет и от бюджета на Народното събрание за 2013 година.</w:t>
      </w:r>
    </w:p>
    <w:p w:rsidR="000938C1" w:rsidRDefault="000938C1" w:rsidP="003E03C0">
      <w:pPr>
        <w:tabs>
          <w:tab w:val="left" w:pos="1080"/>
        </w:tabs>
        <w:jc w:val="both"/>
        <w:rPr>
          <w:bCs/>
        </w:rPr>
      </w:pPr>
      <w:r w:rsidRPr="0097697F">
        <w:rPr>
          <w:bCs/>
        </w:rPr>
        <w:t>Средният месечен размер на пенсията за един пенсионер за 2013 г. е 293,96 лв. (вкл. коледна добавка за 2013 г.), като реалното нарастване спрямо 2012 г. е 8,0 на сто, при средногодишна хармонизирана инфлация 0,4 на сто за 2013 г. Средният месечен размер на пенсията за 2013 г. без коледна добавка е 291,97 л</w:t>
      </w:r>
      <w:r>
        <w:rPr>
          <w:bCs/>
        </w:rPr>
        <w:t>е</w:t>
      </w:r>
      <w:r w:rsidRPr="0097697F">
        <w:rPr>
          <w:bCs/>
        </w:rPr>
        <w:t>в</w:t>
      </w:r>
      <w:r>
        <w:rPr>
          <w:bCs/>
        </w:rPr>
        <w:t>а</w:t>
      </w:r>
      <w:r w:rsidRPr="0097697F">
        <w:rPr>
          <w:bCs/>
        </w:rPr>
        <w:t>.</w:t>
      </w:r>
    </w:p>
    <w:p w:rsidR="000938C1" w:rsidRPr="00DD50B8" w:rsidRDefault="000938C1" w:rsidP="003E03C0">
      <w:pPr>
        <w:tabs>
          <w:tab w:val="left" w:pos="1080"/>
        </w:tabs>
        <w:jc w:val="both"/>
        <w:rPr>
          <w:bCs/>
          <w:sz w:val="12"/>
          <w:szCs w:val="12"/>
        </w:rPr>
      </w:pPr>
    </w:p>
    <w:p w:rsidR="000938C1" w:rsidRPr="00A96732" w:rsidRDefault="000938C1" w:rsidP="0005065E">
      <w:pPr>
        <w:pStyle w:val="BodyTextIndent"/>
        <w:ind w:left="0" w:firstLine="720"/>
        <w:jc w:val="both"/>
        <w:rPr>
          <w:lang w:val="bg-BG"/>
        </w:rPr>
      </w:pPr>
      <w:r w:rsidRPr="0005065E">
        <w:rPr>
          <w:lang w:val="bg-BG"/>
        </w:rPr>
        <w:t xml:space="preserve">На консолидирана основа през 2013 г. са извършени разходи за </w:t>
      </w:r>
      <w:r w:rsidRPr="0005065E">
        <w:rPr>
          <w:i/>
          <w:lang w:val="bg-BG"/>
        </w:rPr>
        <w:t>социални помощи и обезщетения</w:t>
      </w:r>
      <w:r w:rsidRPr="0005065E">
        <w:rPr>
          <w:lang w:val="bg-BG"/>
        </w:rPr>
        <w:t xml:space="preserve"> в размер на 2 199,6 млн. лв., което представлява 2,8 % от БВП. В структурно отношение това са разходи, които се извършват по републиканския бюджет (главно по бюджета на МТСП), бюджетите на ДОО и общините. Размерът на усвоените </w:t>
      </w:r>
      <w:r w:rsidRPr="0005065E">
        <w:rPr>
          <w:i/>
          <w:lang w:val="bg-BG"/>
        </w:rPr>
        <w:t>разходи за социални помощи и обезщетения</w:t>
      </w:r>
      <w:r w:rsidRPr="0005065E">
        <w:rPr>
          <w:lang w:val="bg-BG"/>
        </w:rPr>
        <w:t xml:space="preserve"> по републиканския бюджет е 876,4 млн. лв., по бюджета на ДОО за социални помощи и обезщетения по КСО - 1 118,9 млн. лв. и 151,1 млн. лв. по общинските бюджети, от които 19,6 млн. лв. представляват предоставени средства за социални помощи и обезщетения по решение на общинските съвети</w:t>
      </w:r>
      <w:r w:rsidRPr="00A96732">
        <w:rPr>
          <w:lang w:val="bg-BG"/>
        </w:rPr>
        <w:t>, 3</w:t>
      </w:r>
      <w:r>
        <w:rPr>
          <w:lang w:val="bg-BG"/>
        </w:rPr>
        <w:t>6,6</w:t>
      </w:r>
      <w:r w:rsidRPr="00A96732">
        <w:rPr>
          <w:lang w:val="bg-BG"/>
        </w:rPr>
        <w:t xml:space="preserve"> млн. лв.</w:t>
      </w:r>
      <w:r w:rsidRPr="00A96732">
        <w:rPr>
          <w:lang w:val="en-US"/>
        </w:rPr>
        <w:t xml:space="preserve"> (</w:t>
      </w:r>
      <w:r w:rsidRPr="00A96732">
        <w:rPr>
          <w:lang w:val="bg-BG"/>
        </w:rPr>
        <w:t>98,1 на сто от годишния план</w:t>
      </w:r>
      <w:r w:rsidRPr="00A96732">
        <w:rPr>
          <w:lang w:val="en-US"/>
        </w:rPr>
        <w:t>)</w:t>
      </w:r>
      <w:r w:rsidRPr="00A96732">
        <w:rPr>
          <w:lang w:val="bg-BG"/>
        </w:rPr>
        <w:t xml:space="preserve"> за безплатни пътувания на ветерани от войните и военноинвалиди, както и пътувания с ценови отстъпки на деца, учащи се и възрастни граждани по вътрешноградския и междуселищен транспорт в страната, 15,6 млн. лв. </w:t>
      </w:r>
      <w:r w:rsidRPr="00A96732">
        <w:rPr>
          <w:lang w:val="en-US"/>
        </w:rPr>
        <w:t>(</w:t>
      </w:r>
      <w:r w:rsidRPr="00A96732">
        <w:rPr>
          <w:lang w:val="bg-BG"/>
        </w:rPr>
        <w:t>99,8 на сто от годишния план</w:t>
      </w:r>
      <w:r w:rsidRPr="00A96732">
        <w:rPr>
          <w:lang w:val="en-US"/>
        </w:rPr>
        <w:t>)</w:t>
      </w:r>
      <w:r w:rsidRPr="00A96732">
        <w:rPr>
          <w:lang w:val="bg-BG"/>
        </w:rPr>
        <w:t xml:space="preserve"> за безплатни пътувания на държавни служители от МВР, ДАНС и специализирани звена към МП. </w:t>
      </w:r>
    </w:p>
    <w:p w:rsidR="000938C1" w:rsidRPr="0005065E" w:rsidRDefault="000938C1" w:rsidP="003E03C0">
      <w:pPr>
        <w:autoSpaceDE w:val="0"/>
        <w:autoSpaceDN w:val="0"/>
        <w:adjustRightInd w:val="0"/>
        <w:ind w:firstLine="720"/>
        <w:jc w:val="both"/>
      </w:pPr>
      <w:r w:rsidRPr="00A96732">
        <w:t>В разходите по КСО са включени основно разходите за обезщетения</w:t>
      </w:r>
      <w:r w:rsidRPr="0005065E">
        <w:t xml:space="preserve"> при временна неработоспособност; разходите за бременност, раждане и отглеждане на малко дете; разходите за обезщетения при безработица и др. От 1 юли 2013 г. бе увеличен нормативът на месечното обезщетение за отглеждане на малко дете от 240,0 лв. на 310,0 лева.</w:t>
      </w:r>
    </w:p>
    <w:p w:rsidR="000938C1" w:rsidRPr="0005065E" w:rsidRDefault="000938C1" w:rsidP="00373AAA">
      <w:pPr>
        <w:tabs>
          <w:tab w:val="left" w:pos="720"/>
        </w:tabs>
        <w:ind w:firstLine="709"/>
        <w:jc w:val="both"/>
        <w:rPr>
          <w:b/>
          <w:color w:val="0070C0"/>
          <w:sz w:val="12"/>
          <w:szCs w:val="12"/>
        </w:rPr>
      </w:pPr>
      <w:r w:rsidRPr="0005065E">
        <w:t xml:space="preserve">Общият размер на </w:t>
      </w:r>
      <w:r w:rsidRPr="0005065E">
        <w:rPr>
          <w:i/>
        </w:rPr>
        <w:t>здравноосигурителните плащания</w:t>
      </w:r>
      <w:r w:rsidRPr="0005065E">
        <w:t xml:space="preserve"> за 2013 г. е 2 678,8 млн. лв., което представлява 98,6 % от общите разходи на НЗОК за 2013 година.</w:t>
      </w:r>
    </w:p>
    <w:p w:rsidR="000938C1" w:rsidRPr="0005065E" w:rsidRDefault="000938C1" w:rsidP="00F30F79">
      <w:pPr>
        <w:pStyle w:val="Heading3"/>
        <w:numPr>
          <w:ilvl w:val="2"/>
          <w:numId w:val="72"/>
        </w:numPr>
        <w:rPr>
          <w:rFonts w:ascii="Times New Roman" w:hAnsi="Times New Roman" w:cs="Times New Roman"/>
          <w:sz w:val="24"/>
          <w:szCs w:val="24"/>
          <w:lang w:val="bg-BG"/>
        </w:rPr>
      </w:pPr>
      <w:bookmarkStart w:id="166" w:name="_Toc136519971"/>
      <w:bookmarkStart w:id="167" w:name="_Toc136597739"/>
      <w:bookmarkStart w:id="168" w:name="_Toc136601642"/>
      <w:bookmarkStart w:id="169" w:name="_Toc167181038"/>
      <w:bookmarkStart w:id="170" w:name="_Toc261276580"/>
      <w:bookmarkStart w:id="171" w:name="_Toc293657068"/>
      <w:bookmarkStart w:id="172" w:name="_Toc326315909"/>
      <w:bookmarkStart w:id="173" w:name="_Toc393728068"/>
      <w:bookmarkStart w:id="174" w:name="_Toc261276585"/>
      <w:bookmarkStart w:id="175" w:name="_Toc293312904"/>
      <w:bookmarkStart w:id="176" w:name="_Toc324863421"/>
      <w:bookmarkStart w:id="177" w:name="_Toc136597741"/>
      <w:bookmarkStart w:id="178" w:name="_Toc136601644"/>
      <w:bookmarkStart w:id="179" w:name="_Toc167181040"/>
      <w:r w:rsidRPr="0005065E">
        <w:rPr>
          <w:rFonts w:ascii="Times New Roman" w:hAnsi="Times New Roman" w:cs="Times New Roman"/>
          <w:sz w:val="24"/>
          <w:szCs w:val="24"/>
          <w:lang w:val="bg-BG"/>
        </w:rPr>
        <w:t>Капиталови разходи</w:t>
      </w:r>
      <w:bookmarkEnd w:id="166"/>
      <w:bookmarkEnd w:id="167"/>
      <w:bookmarkEnd w:id="168"/>
      <w:bookmarkEnd w:id="169"/>
      <w:bookmarkEnd w:id="170"/>
      <w:bookmarkEnd w:id="171"/>
      <w:bookmarkEnd w:id="172"/>
      <w:bookmarkEnd w:id="173"/>
    </w:p>
    <w:p w:rsidR="000938C1" w:rsidRPr="00C22796" w:rsidRDefault="000938C1" w:rsidP="003A57FD">
      <w:pPr>
        <w:pStyle w:val="Default"/>
        <w:tabs>
          <w:tab w:val="left" w:pos="7560"/>
        </w:tabs>
        <w:spacing w:before="120"/>
        <w:ind w:firstLine="697"/>
        <w:jc w:val="both"/>
        <w:rPr>
          <w:rFonts w:ascii="Times New Roman" w:hAnsi="Times New Roman" w:cs="Times New Roman"/>
          <w:color w:val="auto"/>
        </w:rPr>
      </w:pPr>
      <w:r w:rsidRPr="0005065E">
        <w:rPr>
          <w:rFonts w:ascii="Times New Roman" w:hAnsi="Times New Roman" w:cs="Times New Roman"/>
          <w:color w:val="auto"/>
        </w:rPr>
        <w:t>Изпълнението на инвестиционните политики през годината е насочено към модернизи</w:t>
      </w:r>
      <w:r w:rsidRPr="00C22796">
        <w:rPr>
          <w:rFonts w:ascii="Times New Roman" w:hAnsi="Times New Roman" w:cs="Times New Roman"/>
          <w:color w:val="auto"/>
        </w:rPr>
        <w:t xml:space="preserve">ране на публичната инфраструктура, като съществен принос има финансовата помощ от ЕС. Капиталовите разходи са разпределени по приоритети в рамките на изпълняваните от първостепенните разпоредители с бюджетни кредити политики и програми. </w:t>
      </w:r>
    </w:p>
    <w:p w:rsidR="000938C1" w:rsidRPr="00CF1A14" w:rsidRDefault="000938C1" w:rsidP="003A57FD">
      <w:pPr>
        <w:ind w:firstLine="540"/>
        <w:jc w:val="both"/>
        <w:rPr>
          <w:color w:val="0070C0"/>
          <w:sz w:val="12"/>
          <w:szCs w:val="12"/>
        </w:rPr>
      </w:pPr>
    </w:p>
    <w:p w:rsidR="000938C1" w:rsidRDefault="000938C1" w:rsidP="003A57FD">
      <w:pPr>
        <w:ind w:firstLine="720"/>
        <w:jc w:val="both"/>
      </w:pPr>
      <w:r w:rsidRPr="00D476C7">
        <w:t xml:space="preserve">Структурата на капиталовите разходи за 2013 г. по икономически елементи отразява икономическия характер на публичните средства, усвоени в процеса на създаване на обществени блага. </w:t>
      </w:r>
      <w:r w:rsidRPr="007C47CA">
        <w:t>И през 2013 г. в отчетените консолидирани капиталови разходи най-висок относителен дял – 47,</w:t>
      </w:r>
      <w:r>
        <w:t>6</w:t>
      </w:r>
      <w:r w:rsidRPr="007C47CA">
        <w:t xml:space="preserve"> % заемат разходите за придобиване на ДМА, в структурата на които преобладават разходите, свързани с изграждането и реконструкцията на базисната инфраструктура – пътна, железопътна, техническа, социална, както и закупуване на оборудване, машини и съоръжения, компютърна техника, финансиране на политики в областта на превенцията и защитата при бедствия и аварии, закупуване на медицинско оборудване, оборудване в сферата на образованието и науката. Съществени по размер са разходите за основен ремонт на дълготрайни активи – 25,1 % от общата сума на отчетените капиталови разходи, като тяхната насоченост приоритетно е за финансиране изпълнението на цитираните вече области и политики. </w:t>
      </w:r>
    </w:p>
    <w:p w:rsidR="000938C1" w:rsidRPr="002255D3" w:rsidRDefault="000938C1" w:rsidP="003A57FD">
      <w:pPr>
        <w:ind w:firstLine="720"/>
        <w:jc w:val="both"/>
        <w:rPr>
          <w:sz w:val="12"/>
          <w:szCs w:val="12"/>
        </w:rPr>
      </w:pPr>
    </w:p>
    <w:p w:rsidR="000938C1" w:rsidRDefault="000938C1" w:rsidP="003A57FD">
      <w:pPr>
        <w:ind w:firstLine="720"/>
        <w:jc w:val="both"/>
      </w:pPr>
      <w:r w:rsidRPr="00E254E1">
        <w:t>На следващата графика е представен икономическия характер на капиталовите разходи по консолидираната фискална програма за 2013 г</w:t>
      </w:r>
      <w:r>
        <w:t>одина</w:t>
      </w:r>
      <w:r w:rsidRPr="00E254E1">
        <w:t>:</w:t>
      </w:r>
    </w:p>
    <w:p w:rsidR="000938C1" w:rsidRPr="00E254E1" w:rsidRDefault="000938C1" w:rsidP="003A57FD">
      <w:pPr>
        <w:ind w:firstLine="720"/>
        <w:jc w:val="both"/>
      </w:pPr>
    </w:p>
    <w:bookmarkStart w:id="180" w:name="_MON_1463915114"/>
    <w:bookmarkEnd w:id="180"/>
    <w:p w:rsidR="000938C1" w:rsidRPr="00CF1A14" w:rsidRDefault="000938C1" w:rsidP="003A57FD">
      <w:pPr>
        <w:tabs>
          <w:tab w:val="left" w:pos="3240"/>
        </w:tabs>
        <w:jc w:val="center"/>
        <w:rPr>
          <w:noProof/>
          <w:color w:val="0070C0"/>
        </w:rPr>
      </w:pPr>
      <w:r w:rsidRPr="00656AB5">
        <w:rPr>
          <w:noProof/>
        </w:rPr>
        <w:object w:dxaOrig="9399" w:dyaOrig="4157">
          <v:shape id="Chart 151" o:spid="_x0000_i1043" type="#_x0000_t75" style="width:470.25pt;height:207.75pt;visibility:visible" o:ole="">
            <v:imagedata r:id="rId45" o:title="" cropbottom="-47f"/>
            <o:lock v:ext="edit" aspectratio="f"/>
          </v:shape>
          <o:OLEObject Type="Embed" ProgID="Excel.Chart.8" ShapeID="Chart 151" DrawAspect="Content" ObjectID="_1467645794" r:id="rId46"/>
        </w:object>
      </w:r>
    </w:p>
    <w:p w:rsidR="000938C1" w:rsidRPr="00CF1A14" w:rsidRDefault="000938C1" w:rsidP="003A57FD">
      <w:pPr>
        <w:jc w:val="both"/>
        <w:rPr>
          <w:color w:val="0070C0"/>
        </w:rPr>
      </w:pPr>
    </w:p>
    <w:p w:rsidR="000938C1" w:rsidRPr="001B673B" w:rsidRDefault="000938C1" w:rsidP="003A57FD">
      <w:pPr>
        <w:jc w:val="both"/>
      </w:pPr>
      <w:r w:rsidRPr="00CF1A14">
        <w:rPr>
          <w:color w:val="0070C0"/>
        </w:rPr>
        <w:tab/>
      </w:r>
      <w:r w:rsidRPr="001B673B">
        <w:t xml:space="preserve">През 2013 г. от държавния бюджет за </w:t>
      </w:r>
      <w:r w:rsidRPr="001B673B">
        <w:rPr>
          <w:i/>
        </w:rPr>
        <w:t>НК „Железопътна инфраструктура”</w:t>
      </w:r>
      <w:r w:rsidRPr="001B673B">
        <w:t xml:space="preserve"> е предоставен капиталов трансфер в размер на 90,0 млн. лв. Средствата са усвоени изцяло, като за основен ремонт са разходвани 82,0 млн. лв., за придобиване на дълготрайни материални активи – 7,5 млн. лв. и за придобиване на транспортни средства – 0,5 млн. лв.</w:t>
      </w:r>
    </w:p>
    <w:p w:rsidR="000938C1" w:rsidRPr="002255D3" w:rsidRDefault="000938C1" w:rsidP="003A57FD">
      <w:pPr>
        <w:pStyle w:val="Header"/>
        <w:tabs>
          <w:tab w:val="clear" w:pos="4153"/>
          <w:tab w:val="clear" w:pos="8306"/>
        </w:tabs>
        <w:ind w:right="72"/>
        <w:jc w:val="both"/>
        <w:rPr>
          <w:color w:val="0070C0"/>
          <w:sz w:val="12"/>
          <w:szCs w:val="12"/>
        </w:rPr>
      </w:pPr>
      <w:r w:rsidRPr="00CF1A14">
        <w:rPr>
          <w:color w:val="0070C0"/>
        </w:rPr>
        <w:tab/>
      </w:r>
    </w:p>
    <w:p w:rsidR="000938C1" w:rsidRPr="001B673B" w:rsidRDefault="000938C1" w:rsidP="002255D3">
      <w:pPr>
        <w:pStyle w:val="Header"/>
        <w:tabs>
          <w:tab w:val="clear" w:pos="4153"/>
          <w:tab w:val="clear" w:pos="8306"/>
        </w:tabs>
        <w:ind w:right="72" w:firstLine="720"/>
        <w:jc w:val="both"/>
      </w:pPr>
      <w:r w:rsidRPr="001B673B">
        <w:t>Капиталовите трансфери са насочени към изпълнението на следните проекти:</w:t>
      </w:r>
    </w:p>
    <w:p w:rsidR="000938C1" w:rsidRPr="001B673B" w:rsidRDefault="000938C1" w:rsidP="003A57FD">
      <w:pPr>
        <w:jc w:val="both"/>
      </w:pPr>
      <w:r w:rsidRPr="001B673B">
        <w:t xml:space="preserve"> - „Ремонт на железния път и съоръженията за поддържане на достигнатите скорости” - за 2013 г. усвоените бюджетни средства за този проект са в размер на 60,3 млн. лв. Основната задача през годината беше задържане и привеждане състоянието на железния път, стрелките и съоръженията в техническа изправност и осигуряване на заложените в графика на движение на влаковете скорости. </w:t>
      </w:r>
    </w:p>
    <w:p w:rsidR="000938C1" w:rsidRPr="001B673B" w:rsidRDefault="000938C1" w:rsidP="003A57FD">
      <w:pPr>
        <w:jc w:val="both"/>
      </w:pPr>
      <w:r w:rsidRPr="001B673B">
        <w:t xml:space="preserve"> - „Удвояване и електрификация на железопътна линия Карнобат – Синдел” – за 2013 г. от бюджета са усвоени 7,5 млн. л</w:t>
      </w:r>
      <w:r>
        <w:t>е</w:t>
      </w:r>
      <w:r w:rsidRPr="001B673B">
        <w:t>в</w:t>
      </w:r>
      <w:r>
        <w:t>а</w:t>
      </w:r>
      <w:r w:rsidRPr="001B673B">
        <w:t xml:space="preserve">. </w:t>
      </w:r>
    </w:p>
    <w:p w:rsidR="000938C1" w:rsidRPr="001B673B" w:rsidRDefault="000938C1" w:rsidP="003A57FD">
      <w:pPr>
        <w:jc w:val="both"/>
      </w:pPr>
      <w:r w:rsidRPr="001B673B">
        <w:t xml:space="preserve"> - „Възстановяване на проектните параметри на ж</w:t>
      </w:r>
      <w:r>
        <w:t>елезопътна</w:t>
      </w:r>
      <w:r w:rsidRPr="001B673B">
        <w:t xml:space="preserve"> линия София-Карлово-Зимница” - усвоени са 0,2 млн. л</w:t>
      </w:r>
      <w:r>
        <w:t>е</w:t>
      </w:r>
      <w:r w:rsidRPr="001B673B">
        <w:t>в</w:t>
      </w:r>
      <w:r>
        <w:t>а</w:t>
      </w:r>
      <w:r w:rsidRPr="001B673B">
        <w:t xml:space="preserve">. </w:t>
      </w:r>
    </w:p>
    <w:p w:rsidR="000938C1" w:rsidRPr="001B673B" w:rsidRDefault="000938C1" w:rsidP="003A57FD">
      <w:pPr>
        <w:jc w:val="both"/>
      </w:pPr>
      <w:r w:rsidRPr="001B673B">
        <w:t xml:space="preserve"> - „Преустройство на възлови ж</w:t>
      </w:r>
      <w:r>
        <w:t>елезопътни</w:t>
      </w:r>
      <w:r w:rsidRPr="001B673B">
        <w:t xml:space="preserve"> гари в съответствие с европейските изисквания” – усвоени са 4,2 млн. лв. за ремонти на сгради и перони.</w:t>
      </w:r>
    </w:p>
    <w:p w:rsidR="000938C1" w:rsidRPr="001B673B" w:rsidRDefault="000938C1" w:rsidP="003A57FD">
      <w:pPr>
        <w:jc w:val="both"/>
      </w:pPr>
      <w:r w:rsidRPr="001B673B">
        <w:t>- „Модернизиране на осигурителни системи и прелезни устройства”- за 2013 г. са усвоени 9,1 млн. л</w:t>
      </w:r>
      <w:r>
        <w:t>е</w:t>
      </w:r>
      <w:r w:rsidRPr="001B673B">
        <w:t>в</w:t>
      </w:r>
      <w:r>
        <w:t>а</w:t>
      </w:r>
      <w:r w:rsidRPr="001B673B">
        <w:t>.</w:t>
      </w:r>
    </w:p>
    <w:p w:rsidR="000938C1" w:rsidRPr="001B673B" w:rsidRDefault="000938C1" w:rsidP="003A57FD">
      <w:pPr>
        <w:jc w:val="both"/>
      </w:pPr>
      <w:r w:rsidRPr="001B673B">
        <w:t>- „Модернизиране на контактна мрежа и тягови подстанции” - усвоени са 8,2 млн. л</w:t>
      </w:r>
      <w:r>
        <w:t>е</w:t>
      </w:r>
      <w:r w:rsidRPr="001B673B">
        <w:t>в</w:t>
      </w:r>
      <w:r>
        <w:t>а</w:t>
      </w:r>
      <w:r w:rsidRPr="001B673B">
        <w:t>.</w:t>
      </w:r>
    </w:p>
    <w:p w:rsidR="000938C1" w:rsidRPr="001B673B" w:rsidRDefault="000938C1" w:rsidP="003A57FD">
      <w:pPr>
        <w:jc w:val="both"/>
      </w:pPr>
      <w:r w:rsidRPr="001B673B">
        <w:t>- „Доставка на автомобили с висока проходимост” - усвоени са 0,5 млн. л</w:t>
      </w:r>
      <w:r>
        <w:t>е</w:t>
      </w:r>
      <w:r w:rsidRPr="001B673B">
        <w:t>в</w:t>
      </w:r>
      <w:r>
        <w:t>а</w:t>
      </w:r>
      <w:r w:rsidRPr="001B673B">
        <w:t>.</w:t>
      </w:r>
    </w:p>
    <w:p w:rsidR="000938C1" w:rsidRPr="00023EFD" w:rsidRDefault="000938C1" w:rsidP="003A57FD">
      <w:pPr>
        <w:jc w:val="both"/>
      </w:pPr>
      <w:r w:rsidRPr="00CF1A14">
        <w:rPr>
          <w:color w:val="0070C0"/>
        </w:rPr>
        <w:tab/>
      </w:r>
      <w:r w:rsidRPr="00023EFD">
        <w:t>Със З</w:t>
      </w:r>
      <w:r>
        <w:t>ДБРБ</w:t>
      </w:r>
      <w:r w:rsidRPr="00023EFD">
        <w:t xml:space="preserve"> за 2013 г. са предвидени средства за капиталови трансфери на  </w:t>
      </w:r>
      <w:r w:rsidRPr="00023EFD">
        <w:rPr>
          <w:i/>
        </w:rPr>
        <w:t>„БДЖ - Пътнически превози” ЕООД</w:t>
      </w:r>
      <w:r w:rsidRPr="00023EFD">
        <w:t xml:space="preserve"> в размер на 20.0 млн. лв. Средствата са усвоени на сто процента за погасяване на задължения по кредити за доставка на подвижен състав към финансови институции. </w:t>
      </w:r>
    </w:p>
    <w:p w:rsidR="000938C1" w:rsidRDefault="000938C1" w:rsidP="003A57FD">
      <w:pPr>
        <w:jc w:val="both"/>
      </w:pPr>
      <w:r w:rsidRPr="00023EFD">
        <w:tab/>
        <w:t xml:space="preserve">Инвестиционната програма на </w:t>
      </w:r>
      <w:r w:rsidRPr="00023EFD">
        <w:rPr>
          <w:i/>
        </w:rPr>
        <w:t>ДП „Пристанищна инфраструктура”,</w:t>
      </w:r>
      <w:r w:rsidRPr="00023EFD">
        <w:t xml:space="preserve"> която включва изграждане и капиталов ремонт на пристанищната инфраструктура с национално значение, се изпълнява с участие на капиталов трансфер от бюджета. Предвидените средства за 2013 г. са в размер на 12,0 млн. лв., като са усвоени 3,7 млн. лв. за основен ремонт и рехабилитация на пристанища за обществено ползване с национално значение.</w:t>
      </w:r>
    </w:p>
    <w:p w:rsidR="000938C1" w:rsidRPr="00310CCC" w:rsidRDefault="000938C1" w:rsidP="003A57FD">
      <w:pPr>
        <w:ind w:firstLine="709"/>
        <w:jc w:val="both"/>
      </w:pPr>
      <w:r w:rsidRPr="00310CCC">
        <w:rPr>
          <w:noProof/>
        </w:rPr>
        <w:t xml:space="preserve">От централния бюджет за 2013 г. за изпълнение на </w:t>
      </w:r>
      <w:r w:rsidRPr="00310CCC">
        <w:rPr>
          <w:i/>
          <w:noProof/>
        </w:rPr>
        <w:t>програмите за</w:t>
      </w:r>
      <w:r>
        <w:rPr>
          <w:i/>
          <w:noProof/>
        </w:rPr>
        <w:t xml:space="preserve"> </w:t>
      </w:r>
      <w:r w:rsidRPr="00310CCC">
        <w:rPr>
          <w:i/>
          <w:noProof/>
        </w:rPr>
        <w:t>отстраняване на екологични щети, настъпили от минали действия или бездействия до приватизацията</w:t>
      </w:r>
      <w:r w:rsidRPr="00310CCC">
        <w:rPr>
          <w:noProof/>
        </w:rPr>
        <w:t>, са пред</w:t>
      </w:r>
      <w:r>
        <w:rPr>
          <w:noProof/>
        </w:rPr>
        <w:t>видени</w:t>
      </w:r>
      <w:r w:rsidRPr="00310CCC">
        <w:rPr>
          <w:noProof/>
        </w:rPr>
        <w:t xml:space="preserve"> 5</w:t>
      </w:r>
      <w:r>
        <w:rPr>
          <w:noProof/>
        </w:rPr>
        <w:t>,</w:t>
      </w:r>
      <w:r w:rsidRPr="00310CCC">
        <w:rPr>
          <w:noProof/>
        </w:rPr>
        <w:t>0 млн. лв. За 2013 г. са усвоени 4,1 млн. лв. основно за изпълнение на програмите за отстраняване на минали екологични щети на „Лукойл Нефтохим Бургас”  и „ОЦК – Кърджали”.</w:t>
      </w:r>
    </w:p>
    <w:p w:rsidR="000938C1" w:rsidRPr="00BB077A" w:rsidRDefault="000938C1" w:rsidP="003A57FD">
      <w:pPr>
        <w:pStyle w:val="Header"/>
        <w:ind w:firstLine="720"/>
        <w:jc w:val="both"/>
        <w:rPr>
          <w:noProof/>
        </w:rPr>
      </w:pPr>
      <w:r w:rsidRPr="00BB077A">
        <w:rPr>
          <w:noProof/>
        </w:rPr>
        <w:t xml:space="preserve">От заложения ресурс през 2013 г. за капиталови трансфери от </w:t>
      </w:r>
      <w:r w:rsidRPr="00BB077A">
        <w:t xml:space="preserve">ДФ „Земеделие” </w:t>
      </w:r>
      <w:r w:rsidRPr="00BB077A">
        <w:rPr>
          <w:noProof/>
        </w:rPr>
        <w:t xml:space="preserve">в размер на 251,8 млн. лв. са предоставени 290,1 млн. лв. или с 15,2 % изпълнение над плана. От тях капиталови трансфери за: нефинансови предприятия и организации с нестопанска цел - бенефициенти по ПРСР – 265,1 млн. лв. (в т.ч. 51,7 млн. лв. национално съфинансиране и 1,3 млн. лв. по национални програми), нефинансови предприятия – бенефициенти по ОПРСР – 21,3 млн. лв. (в т.ч. 5,0 млн. лв. национално съфинансиране) и капиталови трансфери за изпълнени, но неразплатени проекти по програма САПАРД – 3,6 млн. лева. </w:t>
      </w:r>
    </w:p>
    <w:p w:rsidR="000938C1" w:rsidRPr="00653541" w:rsidRDefault="000938C1" w:rsidP="003A57FD">
      <w:pPr>
        <w:pStyle w:val="Header"/>
        <w:ind w:firstLine="720"/>
        <w:jc w:val="both"/>
      </w:pPr>
      <w:r w:rsidRPr="00653541">
        <w:rPr>
          <w:noProof/>
        </w:rPr>
        <w:t>Размерът на предоставените капиталови трансфери за нефинансови предприятия чрез сметките на Национален фонд за 2013 г. възлиза на 466,2 млн. лв. и представляват извършени разходи главно по оперативни програми „Транспорт”, „Конкурентоспособност” и „Околна среда“, финансирани със средства от Кохезионния фонд и Европейски фонд за регионално развитие (ЕФРР).</w:t>
      </w:r>
      <w:r>
        <w:rPr>
          <w:noProof/>
        </w:rPr>
        <w:t xml:space="preserve"> </w:t>
      </w:r>
      <w:r w:rsidRPr="004B1881">
        <w:rPr>
          <w:noProof/>
        </w:rPr>
        <w:t>Най-много средства са изразходвани за проектите „Автомагистрала „Струма“, Лот 1, Лот 2 и Лот 4“</w:t>
      </w:r>
      <w:r>
        <w:rPr>
          <w:noProof/>
        </w:rPr>
        <w:t xml:space="preserve"> (101,8 млн. лв.)</w:t>
      </w:r>
      <w:r w:rsidRPr="004B1881">
        <w:rPr>
          <w:noProof/>
        </w:rPr>
        <w:t>, „Рехабилитация на железопътна инфраструктура в участъци от железопътната линия Пловдив – Бургас“</w:t>
      </w:r>
      <w:r>
        <w:rPr>
          <w:noProof/>
        </w:rPr>
        <w:t xml:space="preserve"> (76,8 млн. лв.)</w:t>
      </w:r>
      <w:r w:rsidRPr="004B1881">
        <w:rPr>
          <w:noProof/>
        </w:rPr>
        <w:t xml:space="preserve"> и „Проект за разширение на метрото в София Етап</w:t>
      </w:r>
      <w:r w:rsidRPr="002255D3">
        <w:rPr>
          <w:noProof/>
          <w:lang w:val="ru-RU"/>
        </w:rPr>
        <w:t xml:space="preserve"> </w:t>
      </w:r>
      <w:r w:rsidRPr="004B1881">
        <w:rPr>
          <w:noProof/>
          <w:lang w:val="en-US"/>
        </w:rPr>
        <w:t>III</w:t>
      </w:r>
      <w:r w:rsidRPr="004B1881">
        <w:rPr>
          <w:noProof/>
        </w:rPr>
        <w:t xml:space="preserve">, Лот 1 „Цариградско шосе – Летище София“ и Лот 2 „ж.к. Младост 1 – Бизнес парк в Младост 4“ </w:t>
      </w:r>
      <w:r>
        <w:rPr>
          <w:noProof/>
        </w:rPr>
        <w:t xml:space="preserve">(61,0 млн. лв.) </w:t>
      </w:r>
      <w:r w:rsidRPr="004B1881">
        <w:rPr>
          <w:noProof/>
        </w:rPr>
        <w:t>по ОП „Транспорт“.</w:t>
      </w:r>
    </w:p>
    <w:p w:rsidR="000938C1" w:rsidRPr="00522FFD" w:rsidRDefault="000938C1" w:rsidP="003A57FD">
      <w:pPr>
        <w:pStyle w:val="BodyText"/>
        <w:widowControl w:val="0"/>
        <w:ind w:firstLine="720"/>
        <w:jc w:val="both"/>
      </w:pPr>
      <w:r w:rsidRPr="00522FFD">
        <w:t xml:space="preserve">Капиталовите разходи </w:t>
      </w:r>
      <w:r w:rsidRPr="00522FFD">
        <w:rPr>
          <w:b/>
        </w:rPr>
        <w:t>по бюджетите на общините</w:t>
      </w:r>
      <w:r w:rsidRPr="00522FFD">
        <w:t xml:space="preserve"> към 31.12.2013 г. са в размер на 596,6 млн. лв., което представлява 88,</w:t>
      </w:r>
      <w:r>
        <w:t>2</w:t>
      </w:r>
      <w:r w:rsidRPr="00522FFD">
        <w:t xml:space="preserve"> на сто спрямо разчетите към ЗДБРБ за 2013 г.</w:t>
      </w:r>
      <w:r>
        <w:t xml:space="preserve"> и нарастване спрямо отчетените през 2012 г. с 15,1 %.</w:t>
      </w:r>
      <w:r w:rsidRPr="00522FFD">
        <w:t xml:space="preserve"> Както и през предходните години преобладаваща част от капиталовите разходи – 56,2 % са насочени към придобиване на материални дълготрайни активи, следвани от разходите за основен ремонт 39,8 % и придобиването на нематериални дълготрайни активи – 2,0 %. </w:t>
      </w:r>
      <w:r>
        <w:t>Отчетените капиталови разходи за местни дейности са в размер на 501,6 млн. лв. (84,1 % от общия размер на капиталовите разходи), за делегираните от държавата дейности са отчетени 78,6 млн. лв. (13,2 %) и за дофинансиране със собствени приходи – 16,4 млн. лв. или 2,7 на сто.</w:t>
      </w:r>
    </w:p>
    <w:p w:rsidR="000938C1" w:rsidRPr="003A57FD" w:rsidRDefault="000938C1" w:rsidP="00F30F79">
      <w:pPr>
        <w:pStyle w:val="Heading3"/>
        <w:numPr>
          <w:ilvl w:val="2"/>
          <w:numId w:val="72"/>
        </w:numPr>
        <w:rPr>
          <w:rFonts w:ascii="Times New Roman" w:hAnsi="Times New Roman" w:cs="Times New Roman"/>
          <w:sz w:val="24"/>
          <w:szCs w:val="24"/>
          <w:lang w:val="bg-BG"/>
        </w:rPr>
      </w:pPr>
      <w:bookmarkStart w:id="181" w:name="_Toc136519972"/>
      <w:bookmarkStart w:id="182" w:name="_Toc136597740"/>
      <w:bookmarkStart w:id="183" w:name="_Toc136601643"/>
      <w:bookmarkStart w:id="184" w:name="_Toc167181039"/>
      <w:bookmarkStart w:id="185" w:name="_Toc261276581"/>
      <w:bookmarkStart w:id="186" w:name="_Toc293657069"/>
      <w:bookmarkStart w:id="187" w:name="_Toc326315910"/>
      <w:bookmarkStart w:id="188" w:name="_Toc393728069"/>
      <w:r w:rsidRPr="003A57FD">
        <w:rPr>
          <w:rFonts w:ascii="Times New Roman" w:hAnsi="Times New Roman" w:cs="Times New Roman"/>
          <w:sz w:val="24"/>
          <w:szCs w:val="24"/>
          <w:lang w:val="bg-BG"/>
        </w:rPr>
        <w:t>Лихвени разходи</w:t>
      </w:r>
      <w:bookmarkEnd w:id="181"/>
      <w:bookmarkEnd w:id="182"/>
      <w:bookmarkEnd w:id="183"/>
      <w:bookmarkEnd w:id="184"/>
      <w:bookmarkEnd w:id="185"/>
      <w:bookmarkEnd w:id="186"/>
      <w:bookmarkEnd w:id="187"/>
      <w:bookmarkEnd w:id="188"/>
    </w:p>
    <w:p w:rsidR="000938C1" w:rsidRPr="00CF1A14" w:rsidRDefault="000938C1" w:rsidP="00F377EA">
      <w:pPr>
        <w:rPr>
          <w:color w:val="0070C0"/>
          <w:sz w:val="8"/>
          <w:szCs w:val="8"/>
        </w:rPr>
      </w:pPr>
    </w:p>
    <w:p w:rsidR="000938C1" w:rsidRDefault="000938C1" w:rsidP="003A57FD">
      <w:pPr>
        <w:pStyle w:val="NormalFirstline"/>
        <w:ind w:firstLine="720"/>
        <w:jc w:val="both"/>
        <w:rPr>
          <w:color w:val="0070C0"/>
          <w:sz w:val="24"/>
          <w:szCs w:val="24"/>
        </w:rPr>
      </w:pPr>
      <w:r w:rsidRPr="00CD78AC">
        <w:rPr>
          <w:sz w:val="24"/>
          <w:szCs w:val="24"/>
        </w:rPr>
        <w:t xml:space="preserve">Лихвените плащания по КФП през 2013 г. са в размер на 688,8 млн. лв., което представлява 78,7 % от предвидените в ЗДБРБ за 2013 г. </w:t>
      </w:r>
      <w:r w:rsidRPr="00141576">
        <w:rPr>
          <w:sz w:val="24"/>
          <w:szCs w:val="24"/>
        </w:rPr>
        <w:t xml:space="preserve">Отчетените данни показват нарастване на лихвените разходи като процент от БВП до 0,9 % при 0,7 % в последните няколко години. </w:t>
      </w:r>
    </w:p>
    <w:p w:rsidR="000938C1" w:rsidRPr="00CD78AC" w:rsidRDefault="000938C1" w:rsidP="003A57FD">
      <w:pPr>
        <w:autoSpaceDE w:val="0"/>
        <w:autoSpaceDN w:val="0"/>
        <w:adjustRightInd w:val="0"/>
        <w:ind w:firstLine="720"/>
        <w:jc w:val="both"/>
      </w:pPr>
      <w:r w:rsidRPr="00CD78AC">
        <w:t>В структурно отношение най-висок относителен дял в лихвените плащания заемат плащанията за лихви по външни заеми (разходи по външния дълг) – 70,3 %, срещу 29,7 % за лихвените плащания по вътрешни заеми (разходи по вътрешния дълг).</w:t>
      </w:r>
    </w:p>
    <w:p w:rsidR="000938C1" w:rsidRPr="00D474CE" w:rsidRDefault="000938C1" w:rsidP="0052476D">
      <w:pPr>
        <w:pStyle w:val="Heading4"/>
        <w:spacing w:before="120"/>
        <w:ind w:left="709" w:firstLine="193"/>
        <w:rPr>
          <w:i/>
          <w:sz w:val="24"/>
          <w:szCs w:val="24"/>
        </w:rPr>
      </w:pPr>
      <w:r w:rsidRPr="00D474CE">
        <w:rPr>
          <w:i/>
          <w:sz w:val="24"/>
          <w:szCs w:val="24"/>
        </w:rPr>
        <w:t xml:space="preserve">Разходи по външния държавен дълг </w:t>
      </w:r>
    </w:p>
    <w:p w:rsidR="000938C1" w:rsidRPr="00706468" w:rsidRDefault="000938C1" w:rsidP="003A57FD">
      <w:pPr>
        <w:pStyle w:val="NormalFirstline"/>
        <w:ind w:firstLine="720"/>
        <w:jc w:val="both"/>
        <w:rPr>
          <w:sz w:val="24"/>
          <w:szCs w:val="24"/>
        </w:rPr>
      </w:pPr>
      <w:r w:rsidRPr="00CD78AC">
        <w:rPr>
          <w:sz w:val="24"/>
          <w:szCs w:val="24"/>
        </w:rPr>
        <w:t xml:space="preserve">Лихвените плащания по външни заеми през 2013 г. са в размер на 484,3 млн. лв. (вкл. лихвите по ДИЗ), което представлява 77,1 % от планираните за годината. </w:t>
      </w:r>
      <w:r w:rsidRPr="00706468">
        <w:rPr>
          <w:sz w:val="24"/>
          <w:szCs w:val="24"/>
        </w:rPr>
        <w:t>По отделни съставни бюджети</w:t>
      </w:r>
      <w:r>
        <w:rPr>
          <w:sz w:val="24"/>
          <w:szCs w:val="24"/>
        </w:rPr>
        <w:t>:</w:t>
      </w:r>
      <w:r w:rsidRPr="00706468">
        <w:rPr>
          <w:sz w:val="24"/>
          <w:szCs w:val="24"/>
        </w:rPr>
        <w:t xml:space="preserve"> 415,8 млн. лв. са разходи</w:t>
      </w:r>
      <w:r>
        <w:rPr>
          <w:sz w:val="24"/>
          <w:szCs w:val="24"/>
        </w:rPr>
        <w:t>те</w:t>
      </w:r>
      <w:r w:rsidRPr="00706468">
        <w:rPr>
          <w:sz w:val="24"/>
          <w:szCs w:val="24"/>
        </w:rPr>
        <w:t xml:space="preserve"> за лихви по външни заеми по централния бюдже</w:t>
      </w:r>
      <w:r>
        <w:rPr>
          <w:sz w:val="24"/>
          <w:szCs w:val="24"/>
        </w:rPr>
        <w:t>т;</w:t>
      </w:r>
      <w:r w:rsidRPr="00706468">
        <w:rPr>
          <w:sz w:val="24"/>
          <w:szCs w:val="24"/>
        </w:rPr>
        <w:t xml:space="preserve"> 53,</w:t>
      </w:r>
      <w:r>
        <w:rPr>
          <w:sz w:val="24"/>
          <w:szCs w:val="24"/>
          <w:lang w:val="en-US"/>
        </w:rPr>
        <w:t>7</w:t>
      </w:r>
      <w:r w:rsidRPr="00706468">
        <w:rPr>
          <w:sz w:val="24"/>
          <w:szCs w:val="24"/>
        </w:rPr>
        <w:t xml:space="preserve"> млн. лв. са лихви по ДИЗ, в т.ч. 44,1 млн. лв. по заемите, управлявани от министерствата и ведомствата, 9,6 млн. лв. лихви по ДИЗ с краен бенефициент и 0,1 млн. лв. по заема, администриран от ДОО и 14,9 млн. лв. по общинските бюджети</w:t>
      </w:r>
      <w:r>
        <w:rPr>
          <w:sz w:val="24"/>
          <w:szCs w:val="24"/>
        </w:rPr>
        <w:t>. Всички плащания са извършвани надлежно и в съответствие с предвидените в кредитните споразумения условия.</w:t>
      </w:r>
    </w:p>
    <w:p w:rsidR="000938C1" w:rsidRDefault="000938C1" w:rsidP="00F30F79">
      <w:pPr>
        <w:pStyle w:val="ListParagraph"/>
        <w:numPr>
          <w:ilvl w:val="0"/>
          <w:numId w:val="63"/>
        </w:numPr>
        <w:tabs>
          <w:tab w:val="num" w:pos="709"/>
          <w:tab w:val="left" w:pos="993"/>
          <w:tab w:val="left" w:pos="1134"/>
        </w:tabs>
        <w:spacing w:after="120"/>
        <w:ind w:left="0" w:firstLine="709"/>
        <w:jc w:val="both"/>
        <w:rPr>
          <w:lang w:eastAsia="en-US"/>
        </w:rPr>
      </w:pPr>
      <w:r w:rsidRPr="00706468">
        <w:t>С най-висок относителен дял в общите разходи за външни лихви по централния бюджет</w:t>
      </w:r>
      <w:r w:rsidRPr="00706468">
        <w:rPr>
          <w:lang w:eastAsia="en-US"/>
        </w:rPr>
        <w:t xml:space="preserve"> са лихвите по облигации, емитирани на международните капиталови пазари (93,0 % или 386,6 млн. лв.), което се дължи както на факта, че глобалните облигации заемат 56,3 % от общия размер на външния държавен дълг, така и на размера на лихвените купони. Следват изплатените лихви по заеми към ЕИБ – 4,4 % или 18,2 млн. лв., към МБВР – 1,3 % или 5,3 млн. лв., лихвените разходи по заеми от други държави (Парижки клуб) – 1,2 % (4,8 млн. лв.) и към Японската банка за международно сътрудничество  –  съответно 0,2 % </w:t>
      </w:r>
      <w:r w:rsidRPr="00706468">
        <w:rPr>
          <w:lang w:val="ru-RU" w:eastAsia="en-US"/>
        </w:rPr>
        <w:t>(0,8</w:t>
      </w:r>
      <w:r w:rsidRPr="00706468">
        <w:rPr>
          <w:lang w:eastAsia="en-US"/>
        </w:rPr>
        <w:t xml:space="preserve"> млн. лв.</w:t>
      </w:r>
      <w:r w:rsidRPr="00706468">
        <w:rPr>
          <w:lang w:val="ru-RU" w:eastAsia="en-US"/>
        </w:rPr>
        <w:t>)</w:t>
      </w:r>
      <w:r w:rsidRPr="00706468">
        <w:rPr>
          <w:lang w:eastAsia="en-US"/>
        </w:rPr>
        <w:t xml:space="preserve">. </w:t>
      </w:r>
    </w:p>
    <w:p w:rsidR="000938C1" w:rsidRDefault="000938C1" w:rsidP="00F30F79">
      <w:pPr>
        <w:pStyle w:val="ListParagraph"/>
        <w:numPr>
          <w:ilvl w:val="0"/>
          <w:numId w:val="63"/>
        </w:numPr>
        <w:tabs>
          <w:tab w:val="num" w:pos="709"/>
          <w:tab w:val="left" w:pos="993"/>
          <w:tab w:val="left" w:pos="1134"/>
        </w:tabs>
        <w:spacing w:after="120"/>
        <w:ind w:left="0" w:firstLine="709"/>
        <w:jc w:val="both"/>
        <w:rPr>
          <w:lang w:eastAsia="en-US"/>
        </w:rPr>
      </w:pPr>
      <w:r>
        <w:rPr>
          <w:lang w:eastAsia="en-US"/>
        </w:rPr>
        <w:t>По ДИЗ, управлявани от министерствата и ведомствата са изплатени лихви в размер на 44,1 млн. лв. или 69,3 % от разчета за 2013 г. в следствие на валутно-курсови разлики по заеми в японски йени и щатски долари.</w:t>
      </w:r>
    </w:p>
    <w:p w:rsidR="000938C1" w:rsidRPr="00706468" w:rsidRDefault="000938C1" w:rsidP="00F30F79">
      <w:pPr>
        <w:pStyle w:val="ListParagraph"/>
        <w:numPr>
          <w:ilvl w:val="0"/>
          <w:numId w:val="63"/>
        </w:numPr>
        <w:tabs>
          <w:tab w:val="num" w:pos="709"/>
          <w:tab w:val="left" w:pos="993"/>
          <w:tab w:val="left" w:pos="1134"/>
        </w:tabs>
        <w:spacing w:after="120"/>
        <w:ind w:left="0" w:firstLine="709"/>
        <w:jc w:val="both"/>
        <w:rPr>
          <w:lang w:eastAsia="en-US"/>
        </w:rPr>
      </w:pPr>
      <w:r>
        <w:rPr>
          <w:lang w:eastAsia="en-US"/>
        </w:rPr>
        <w:t>По ДИЗ с краен бенефициент търговско дружество са отчетени разходи за лихви в размер на 9,6 млн. лв. или 59,7 % от разчета за 2013 година.</w:t>
      </w:r>
    </w:p>
    <w:p w:rsidR="000938C1" w:rsidRPr="00CA23B1" w:rsidRDefault="000938C1" w:rsidP="003A57FD">
      <w:pPr>
        <w:tabs>
          <w:tab w:val="num" w:pos="709"/>
          <w:tab w:val="left" w:pos="993"/>
          <w:tab w:val="left" w:pos="1134"/>
        </w:tabs>
        <w:spacing w:after="120"/>
        <w:ind w:firstLine="720"/>
        <w:jc w:val="both"/>
        <w:rPr>
          <w:lang w:eastAsia="en-US"/>
        </w:rPr>
      </w:pPr>
      <w:r w:rsidRPr="00CA23B1">
        <w:rPr>
          <w:lang w:eastAsia="en-US"/>
        </w:rPr>
        <w:t xml:space="preserve">Отчетените икономии при разходите за външни лихви спрямо годишния разчет се дължат основно на няколко фактора: </w:t>
      </w:r>
    </w:p>
    <w:p w:rsidR="000938C1" w:rsidRPr="00CA23B1" w:rsidRDefault="000938C1" w:rsidP="003A57FD">
      <w:pPr>
        <w:pStyle w:val="BodyTextIndent2"/>
        <w:tabs>
          <w:tab w:val="left" w:pos="993"/>
        </w:tabs>
        <w:spacing w:line="240" w:lineRule="auto"/>
        <w:ind w:left="0" w:firstLine="709"/>
        <w:jc w:val="both"/>
      </w:pPr>
      <w:r w:rsidRPr="00CA23B1">
        <w:t xml:space="preserve">- използван ресурс под 0,1 % от предвидения по закон резерв за покриване на риска от активиране на държавни гаранции в изпълнение на РМС №783/2012 г. и във връзка с прекратяването на Споразумението за заем </w:t>
      </w:r>
      <w:r w:rsidRPr="00CA23B1">
        <w:rPr>
          <w:lang w:val="en-US"/>
        </w:rPr>
        <w:t>BG</w:t>
      </w:r>
      <w:r w:rsidRPr="00CE1B03">
        <w:rPr>
          <w:lang w:val="ru-RU"/>
        </w:rPr>
        <w:t>-</w:t>
      </w:r>
      <w:r w:rsidRPr="00CA23B1">
        <w:rPr>
          <w:lang w:val="en-US"/>
        </w:rPr>
        <w:t>P</w:t>
      </w:r>
      <w:r w:rsidRPr="00CA23B1">
        <w:t xml:space="preserve">6 по проекта за „Изграждане и развитие на новите контейнерни терминали на пристанища Варна и Бургас“ между </w:t>
      </w:r>
      <w:r w:rsidRPr="00CA23B1">
        <w:rPr>
          <w:lang w:val="en-US"/>
        </w:rPr>
        <w:t>JICA</w:t>
      </w:r>
      <w:r>
        <w:t xml:space="preserve"> </w:t>
      </w:r>
      <w:r w:rsidRPr="00CA23B1">
        <w:t>и Р</w:t>
      </w:r>
      <w:r>
        <w:t>епублика</w:t>
      </w:r>
      <w:r w:rsidRPr="00CA23B1">
        <w:t xml:space="preserve"> България;</w:t>
      </w:r>
    </w:p>
    <w:p w:rsidR="000938C1" w:rsidRPr="003133AB" w:rsidRDefault="000938C1" w:rsidP="003A57FD">
      <w:pPr>
        <w:pStyle w:val="BodyTextIndent2"/>
        <w:tabs>
          <w:tab w:val="left" w:pos="993"/>
        </w:tabs>
        <w:spacing w:line="240" w:lineRule="auto"/>
        <w:ind w:left="0" w:firstLine="709"/>
        <w:jc w:val="both"/>
      </w:pPr>
      <w:r w:rsidRPr="003133AB">
        <w:t>- 71,0 % от получените външни държавни заеми и ДИЗ са през второто полугодие на годината и предвид договорените финансови условия през 2013 г. не са изразходвани бюджетни средства за обслужването на кредитите;</w:t>
      </w:r>
    </w:p>
    <w:p w:rsidR="000938C1" w:rsidRPr="003133AB" w:rsidRDefault="000938C1" w:rsidP="003A57FD">
      <w:pPr>
        <w:pStyle w:val="BodyTextIndent2"/>
        <w:tabs>
          <w:tab w:val="left" w:pos="993"/>
        </w:tabs>
        <w:spacing w:line="240" w:lineRule="auto"/>
        <w:ind w:left="0" w:firstLine="709"/>
        <w:jc w:val="both"/>
      </w:pPr>
      <w:r w:rsidRPr="003133AB">
        <w:t>- по-ниските нива на реалните стойности на 6 м. LIBOR за евро и долар и 6 м. EURIBOR в сравнение с бюджетните разчети;</w:t>
      </w:r>
    </w:p>
    <w:p w:rsidR="000938C1" w:rsidRPr="003133AB" w:rsidRDefault="000938C1" w:rsidP="003A57FD">
      <w:pPr>
        <w:pStyle w:val="BodyTextIndent2"/>
        <w:spacing w:after="0" w:line="240" w:lineRule="auto"/>
        <w:ind w:left="0" w:firstLine="709"/>
        <w:jc w:val="both"/>
      </w:pPr>
      <w:r w:rsidRPr="003133AB">
        <w:t xml:space="preserve"> - лихвените плащания в долари, които представляват 28,8 % от платените външни лихви през годината, са извършени при по-благоприятни от разчетените с бюджета валутни  курсове. </w:t>
      </w:r>
    </w:p>
    <w:p w:rsidR="000938C1" w:rsidRPr="00EE1867" w:rsidRDefault="000938C1" w:rsidP="0052476D">
      <w:pPr>
        <w:pStyle w:val="Heading4"/>
        <w:spacing w:before="120"/>
        <w:ind w:left="709" w:firstLine="193"/>
        <w:rPr>
          <w:i/>
          <w:sz w:val="24"/>
          <w:szCs w:val="24"/>
        </w:rPr>
      </w:pPr>
      <w:r w:rsidRPr="00EE1867">
        <w:rPr>
          <w:i/>
          <w:sz w:val="24"/>
          <w:szCs w:val="24"/>
        </w:rPr>
        <w:t>Разходи по вътрешния държавен дълг</w:t>
      </w:r>
    </w:p>
    <w:p w:rsidR="000938C1" w:rsidRPr="00CF1A14" w:rsidRDefault="000938C1" w:rsidP="003A57FD">
      <w:pPr>
        <w:spacing w:after="120"/>
        <w:ind w:firstLine="709"/>
        <w:jc w:val="both"/>
        <w:rPr>
          <w:color w:val="0070C0"/>
        </w:rPr>
      </w:pPr>
      <w:r w:rsidRPr="00EE1867">
        <w:t>Общият размер на платените лихви по вътрешния дълг през 2013 г. по емитирани ДЦК е в размер на 204,4 млн. лв. или 82,7 % о</w:t>
      </w:r>
      <w:r>
        <w:t>т</w:t>
      </w:r>
      <w:r w:rsidRPr="00EE1867">
        <w:t xml:space="preserve"> годишния разчет. </w:t>
      </w:r>
      <w:r>
        <w:t>Увеличението на отчетените през 2013 г. разходи за лихви по вътрешния дълг спрямо предходната година е в резултат на реализираните като абсолютна стойност по-малко премии над номинала от проведените аукциони.</w:t>
      </w:r>
    </w:p>
    <w:p w:rsidR="000938C1" w:rsidRPr="00187783" w:rsidRDefault="000938C1" w:rsidP="003A57FD">
      <w:pPr>
        <w:pStyle w:val="NormalFirstline"/>
        <w:ind w:firstLine="720"/>
        <w:jc w:val="both"/>
        <w:rPr>
          <w:color w:val="0070C0"/>
          <w:sz w:val="24"/>
          <w:szCs w:val="24"/>
          <w:lang w:val="en-US"/>
        </w:rPr>
      </w:pPr>
      <w:r w:rsidRPr="003A57FD">
        <w:rPr>
          <w:sz w:val="24"/>
          <w:szCs w:val="24"/>
        </w:rPr>
        <w:t>Платените лихви и отстъпки по ДЦК, емитирани на аукционен принцип са в размер на 226,8 млн. лв., лихвите по ДЦК, емитирани за структурната реформа – 1,6 млн. лв. и реализираните при аукционите премии над номинала от емисии ДЦК (отчетени в намаление на разходите за лихви) съответно (-45,4) млн. л</w:t>
      </w:r>
      <w:r>
        <w:rPr>
          <w:sz w:val="24"/>
          <w:szCs w:val="24"/>
        </w:rPr>
        <w:t>е</w:t>
      </w:r>
      <w:r w:rsidRPr="003A57FD">
        <w:rPr>
          <w:sz w:val="24"/>
          <w:szCs w:val="24"/>
        </w:rPr>
        <w:t>в</w:t>
      </w:r>
      <w:r>
        <w:rPr>
          <w:sz w:val="24"/>
          <w:szCs w:val="24"/>
        </w:rPr>
        <w:t>а</w:t>
      </w:r>
      <w:r w:rsidRPr="003A57FD">
        <w:rPr>
          <w:sz w:val="24"/>
          <w:szCs w:val="24"/>
        </w:rPr>
        <w:t>.</w:t>
      </w:r>
    </w:p>
    <w:p w:rsidR="000938C1" w:rsidRPr="003A57FD" w:rsidRDefault="000938C1" w:rsidP="00F30F79">
      <w:pPr>
        <w:pStyle w:val="Heading3"/>
        <w:numPr>
          <w:ilvl w:val="2"/>
          <w:numId w:val="72"/>
        </w:numPr>
        <w:rPr>
          <w:rFonts w:ascii="Times New Roman" w:hAnsi="Times New Roman" w:cs="Times New Roman"/>
          <w:sz w:val="24"/>
          <w:szCs w:val="24"/>
          <w:lang w:val="bg-BG"/>
        </w:rPr>
      </w:pPr>
      <w:bookmarkStart w:id="189" w:name="_Toc261276582"/>
      <w:bookmarkStart w:id="190" w:name="_Toc293657070"/>
      <w:bookmarkStart w:id="191" w:name="_Toc326315911"/>
      <w:bookmarkStart w:id="192" w:name="_Toc393728070"/>
      <w:r w:rsidRPr="003A57FD">
        <w:rPr>
          <w:rFonts w:ascii="Times New Roman" w:hAnsi="Times New Roman" w:cs="Times New Roman"/>
          <w:sz w:val="24"/>
          <w:szCs w:val="24"/>
          <w:lang w:val="bg-BG"/>
        </w:rPr>
        <w:t>Вноска на Република България в общия бюджет на Е</w:t>
      </w:r>
      <w:bookmarkEnd w:id="189"/>
      <w:bookmarkEnd w:id="190"/>
      <w:r w:rsidRPr="003A57FD">
        <w:rPr>
          <w:rFonts w:ascii="Times New Roman" w:hAnsi="Times New Roman" w:cs="Times New Roman"/>
          <w:sz w:val="24"/>
          <w:szCs w:val="24"/>
          <w:lang w:val="bg-BG"/>
        </w:rPr>
        <w:t>С</w:t>
      </w:r>
      <w:bookmarkEnd w:id="191"/>
      <w:bookmarkEnd w:id="192"/>
    </w:p>
    <w:p w:rsidR="000938C1" w:rsidRPr="00CF1A14" w:rsidRDefault="000938C1" w:rsidP="00F377EA">
      <w:pPr>
        <w:pStyle w:val="Header"/>
        <w:tabs>
          <w:tab w:val="clear" w:pos="4153"/>
          <w:tab w:val="clear" w:pos="8306"/>
          <w:tab w:val="left" w:pos="720"/>
          <w:tab w:val="left" w:pos="969"/>
        </w:tabs>
        <w:ind w:right="57" w:firstLine="540"/>
        <w:jc w:val="both"/>
        <w:rPr>
          <w:color w:val="0070C0"/>
          <w:sz w:val="8"/>
          <w:szCs w:val="8"/>
        </w:rPr>
      </w:pPr>
    </w:p>
    <w:p w:rsidR="000938C1" w:rsidRPr="00F329AA" w:rsidRDefault="000938C1" w:rsidP="003A57FD">
      <w:pPr>
        <w:pStyle w:val="Header"/>
        <w:tabs>
          <w:tab w:val="clear" w:pos="4153"/>
          <w:tab w:val="clear" w:pos="8306"/>
          <w:tab w:val="left" w:pos="720"/>
          <w:tab w:val="left" w:pos="969"/>
        </w:tabs>
        <w:ind w:right="57" w:firstLine="720"/>
        <w:jc w:val="both"/>
      </w:pPr>
      <w:r w:rsidRPr="00F329AA">
        <w:t xml:space="preserve">В съответствие </w:t>
      </w:r>
      <w:r w:rsidRPr="00F329AA">
        <w:rPr>
          <w:bCs/>
        </w:rPr>
        <w:t>с Регламент 1150/2000 на Съвета на ЕС</w:t>
      </w:r>
      <w:r>
        <w:rPr>
          <w:bCs/>
        </w:rPr>
        <w:t>,</w:t>
      </w:r>
      <w:r w:rsidRPr="00F329AA">
        <w:rPr>
          <w:bCs/>
        </w:rPr>
        <w:t xml:space="preserve"> през 2007 г. страната започна да превежда вноска в общия бюджет на ЕС. </w:t>
      </w:r>
      <w:r w:rsidRPr="00F329AA">
        <w:t xml:space="preserve">Този регламент урежда изпълнението на Решение 2007/436/ЕО, Евратом относно системата на собствените средства на Общностите. Регламентът отговаря на необходимостта Общността да разполага със собствените средства, посочени в член 2 от Решение 2007/436/ЕО, Евратом, при възможно най-добрите условия и определя условията, при които държавите-членки предоставят на разположение на Комисията собствените ресурси. </w:t>
      </w:r>
    </w:p>
    <w:p w:rsidR="000938C1" w:rsidRPr="00F329AA" w:rsidRDefault="000938C1" w:rsidP="003A57FD">
      <w:pPr>
        <w:pStyle w:val="Header"/>
        <w:tabs>
          <w:tab w:val="clear" w:pos="4153"/>
          <w:tab w:val="clear" w:pos="8306"/>
          <w:tab w:val="left" w:pos="720"/>
          <w:tab w:val="left" w:pos="969"/>
        </w:tabs>
        <w:ind w:right="57" w:firstLine="720"/>
        <w:jc w:val="both"/>
        <w:rPr>
          <w:sz w:val="12"/>
          <w:szCs w:val="12"/>
        </w:rPr>
      </w:pPr>
    </w:p>
    <w:p w:rsidR="000938C1" w:rsidRPr="00F329AA" w:rsidRDefault="000938C1" w:rsidP="003A57FD">
      <w:pPr>
        <w:pStyle w:val="Header"/>
        <w:tabs>
          <w:tab w:val="clear" w:pos="4153"/>
          <w:tab w:val="clear" w:pos="8306"/>
          <w:tab w:val="left" w:pos="720"/>
          <w:tab w:val="left" w:pos="969"/>
        </w:tabs>
        <w:ind w:right="57" w:firstLine="720"/>
        <w:jc w:val="both"/>
      </w:pPr>
      <w:r w:rsidRPr="00F329AA">
        <w:t xml:space="preserve">Вноската на България в общия бюджет на ЕС се формира от следните компоненти – вноска на традиционни собствени ресурси (в бюджета на ЕС се превеждат 75 % от събраните мита и такси върху производството на захар и изоглюкоза), вноска на база приходите от ДДС, вноска на база на брутния национален доход и осигуряването на участието на България във финансирането на корекцията за </w:t>
      </w:r>
      <w:r>
        <w:t>Обединеното кралство</w:t>
      </w:r>
      <w:r w:rsidRPr="00F329AA">
        <w:t xml:space="preserve"> и на брутното намаление за Нидерландия и Швеция.</w:t>
      </w:r>
    </w:p>
    <w:p w:rsidR="000938C1" w:rsidRPr="00CF1A14" w:rsidRDefault="000938C1" w:rsidP="003A57FD">
      <w:pPr>
        <w:pStyle w:val="Header"/>
        <w:tabs>
          <w:tab w:val="clear" w:pos="4153"/>
          <w:tab w:val="clear" w:pos="8306"/>
          <w:tab w:val="left" w:pos="720"/>
          <w:tab w:val="left" w:pos="969"/>
        </w:tabs>
        <w:ind w:right="57" w:firstLine="720"/>
        <w:jc w:val="both"/>
        <w:rPr>
          <w:color w:val="0070C0"/>
          <w:sz w:val="12"/>
          <w:szCs w:val="12"/>
        </w:rPr>
      </w:pPr>
    </w:p>
    <w:p w:rsidR="000938C1" w:rsidRDefault="000938C1" w:rsidP="003A57FD">
      <w:pPr>
        <w:pStyle w:val="Header"/>
        <w:tabs>
          <w:tab w:val="clear" w:pos="4153"/>
          <w:tab w:val="clear" w:pos="8306"/>
          <w:tab w:val="left" w:pos="720"/>
          <w:tab w:val="left" w:pos="969"/>
        </w:tabs>
        <w:ind w:right="57" w:firstLine="720"/>
        <w:jc w:val="both"/>
      </w:pPr>
      <w:r w:rsidRPr="00F329AA">
        <w:t>По-долу са представени планираните средства в ЗДБРБ за 2013 г. за обезпечаване на вноската на България в общия бюджет на ЕС и извършените касови плащания от централния бюджет за 2013 г</w:t>
      </w:r>
      <w:r>
        <w:t>одина</w:t>
      </w:r>
      <w:r w:rsidRPr="00F329AA">
        <w:t>.</w:t>
      </w:r>
    </w:p>
    <w:p w:rsidR="000938C1" w:rsidRPr="00F329AA" w:rsidRDefault="000938C1" w:rsidP="003A57FD">
      <w:pPr>
        <w:pStyle w:val="Header"/>
        <w:tabs>
          <w:tab w:val="clear" w:pos="4153"/>
          <w:tab w:val="clear" w:pos="8306"/>
          <w:tab w:val="left" w:pos="720"/>
          <w:tab w:val="left" w:pos="969"/>
        </w:tabs>
        <w:ind w:right="57" w:firstLine="7380"/>
        <w:jc w:val="both"/>
        <w:rPr>
          <w:b/>
          <w:sz w:val="20"/>
          <w:szCs w:val="20"/>
        </w:rPr>
      </w:pPr>
      <w:r w:rsidRPr="00F329AA">
        <w:rPr>
          <w:b/>
          <w:sz w:val="20"/>
          <w:szCs w:val="20"/>
        </w:rPr>
        <w:t xml:space="preserve">              (млн. лв.)</w:t>
      </w:r>
    </w:p>
    <w:tbl>
      <w:tblPr>
        <w:tblW w:w="9437" w:type="dxa"/>
        <w:tblInd w:w="-110" w:type="dxa"/>
        <w:tblCellMar>
          <w:left w:w="70" w:type="dxa"/>
          <w:right w:w="70" w:type="dxa"/>
        </w:tblCellMar>
        <w:tblLook w:val="0000"/>
      </w:tblPr>
      <w:tblGrid>
        <w:gridCol w:w="5760"/>
        <w:gridCol w:w="1157"/>
        <w:gridCol w:w="900"/>
        <w:gridCol w:w="1620"/>
      </w:tblGrid>
      <w:tr w:rsidR="000938C1" w:rsidRPr="00CF1A14" w:rsidTr="003A57FD">
        <w:trPr>
          <w:trHeight w:val="487"/>
        </w:trPr>
        <w:tc>
          <w:tcPr>
            <w:tcW w:w="5760"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329AA" w:rsidRDefault="000938C1" w:rsidP="003A57FD">
            <w:pPr>
              <w:jc w:val="center"/>
              <w:rPr>
                <w:b/>
                <w:sz w:val="20"/>
                <w:szCs w:val="20"/>
              </w:rPr>
            </w:pPr>
            <w:r w:rsidRPr="00F329AA">
              <w:rPr>
                <w:b/>
                <w:sz w:val="20"/>
                <w:szCs w:val="20"/>
              </w:rPr>
              <w:t>ВНОСКА В ОБЩИЯ БЮДЖЕТ НА ЕС</w:t>
            </w:r>
          </w:p>
        </w:tc>
        <w:tc>
          <w:tcPr>
            <w:tcW w:w="1157" w:type="dxa"/>
            <w:tcBorders>
              <w:top w:val="double" w:sz="6" w:space="0" w:color="800000"/>
              <w:left w:val="nil"/>
              <w:bottom w:val="double" w:sz="6" w:space="0" w:color="800000"/>
              <w:right w:val="single" w:sz="4" w:space="0" w:color="FFFFFF"/>
            </w:tcBorders>
            <w:shd w:val="clear" w:color="auto" w:fill="800000"/>
            <w:vAlign w:val="bottom"/>
          </w:tcPr>
          <w:p w:rsidR="000938C1" w:rsidRPr="00F329AA" w:rsidRDefault="000938C1" w:rsidP="003A57FD">
            <w:pPr>
              <w:jc w:val="center"/>
              <w:rPr>
                <w:b/>
                <w:bCs/>
                <w:sz w:val="20"/>
                <w:szCs w:val="20"/>
              </w:rPr>
            </w:pPr>
            <w:r w:rsidRPr="00F329AA">
              <w:rPr>
                <w:b/>
                <w:bCs/>
                <w:sz w:val="20"/>
                <w:szCs w:val="20"/>
              </w:rPr>
              <w:t xml:space="preserve">ЗДБРБ </w:t>
            </w:r>
          </w:p>
          <w:p w:rsidR="000938C1" w:rsidRPr="00F329AA" w:rsidRDefault="000938C1" w:rsidP="003A57FD">
            <w:pPr>
              <w:jc w:val="center"/>
              <w:rPr>
                <w:b/>
                <w:bCs/>
                <w:sz w:val="20"/>
                <w:szCs w:val="20"/>
              </w:rPr>
            </w:pPr>
            <w:r w:rsidRPr="00F329AA">
              <w:rPr>
                <w:b/>
                <w:bCs/>
                <w:sz w:val="20"/>
                <w:szCs w:val="20"/>
              </w:rPr>
              <w:t>за 201</w:t>
            </w:r>
            <w:r>
              <w:rPr>
                <w:b/>
                <w:bCs/>
                <w:sz w:val="20"/>
                <w:szCs w:val="20"/>
              </w:rPr>
              <w:t>3</w:t>
            </w:r>
            <w:r w:rsidRPr="00F329AA">
              <w:rPr>
                <w:b/>
                <w:bCs/>
                <w:sz w:val="20"/>
                <w:szCs w:val="20"/>
              </w:rPr>
              <w:t xml:space="preserve"> г.</w:t>
            </w:r>
          </w:p>
        </w:tc>
        <w:tc>
          <w:tcPr>
            <w:tcW w:w="900" w:type="dxa"/>
            <w:tcBorders>
              <w:top w:val="double" w:sz="6" w:space="0" w:color="800000"/>
              <w:left w:val="nil"/>
              <w:bottom w:val="double" w:sz="6" w:space="0" w:color="800000"/>
              <w:right w:val="single" w:sz="4" w:space="0" w:color="FFFFFF"/>
            </w:tcBorders>
            <w:shd w:val="clear" w:color="auto" w:fill="800000"/>
            <w:vAlign w:val="bottom"/>
          </w:tcPr>
          <w:p w:rsidR="000938C1" w:rsidRPr="00F329AA" w:rsidRDefault="000938C1" w:rsidP="003A57FD">
            <w:pPr>
              <w:jc w:val="center"/>
              <w:rPr>
                <w:b/>
                <w:bCs/>
                <w:sz w:val="20"/>
                <w:szCs w:val="20"/>
              </w:rPr>
            </w:pPr>
            <w:r w:rsidRPr="00F329AA">
              <w:rPr>
                <w:b/>
                <w:bCs/>
                <w:sz w:val="20"/>
                <w:szCs w:val="20"/>
              </w:rPr>
              <w:t xml:space="preserve">Отчет </w:t>
            </w:r>
          </w:p>
          <w:p w:rsidR="000938C1" w:rsidRPr="00F329AA" w:rsidRDefault="000938C1" w:rsidP="003A57FD">
            <w:pPr>
              <w:jc w:val="center"/>
              <w:rPr>
                <w:b/>
                <w:bCs/>
                <w:sz w:val="20"/>
                <w:szCs w:val="20"/>
              </w:rPr>
            </w:pPr>
            <w:r w:rsidRPr="00F329AA">
              <w:rPr>
                <w:b/>
                <w:bCs/>
                <w:sz w:val="20"/>
                <w:szCs w:val="20"/>
              </w:rPr>
              <w:t>201</w:t>
            </w:r>
            <w:r>
              <w:rPr>
                <w:b/>
                <w:bCs/>
                <w:sz w:val="20"/>
                <w:szCs w:val="20"/>
              </w:rPr>
              <w:t>3</w:t>
            </w:r>
            <w:r w:rsidRPr="00F329AA">
              <w:rPr>
                <w:b/>
                <w:bCs/>
                <w:sz w:val="20"/>
                <w:szCs w:val="20"/>
              </w:rPr>
              <w:t xml:space="preserve"> г.</w:t>
            </w:r>
          </w:p>
        </w:tc>
        <w:tc>
          <w:tcPr>
            <w:tcW w:w="1620" w:type="dxa"/>
            <w:tcBorders>
              <w:top w:val="double" w:sz="6" w:space="0" w:color="800000"/>
              <w:left w:val="nil"/>
              <w:bottom w:val="double" w:sz="6" w:space="0" w:color="800000"/>
              <w:right w:val="double" w:sz="6" w:space="0" w:color="800000"/>
            </w:tcBorders>
            <w:shd w:val="clear" w:color="auto" w:fill="800000"/>
            <w:vAlign w:val="bottom"/>
          </w:tcPr>
          <w:p w:rsidR="000938C1" w:rsidRPr="00F329AA" w:rsidRDefault="000938C1" w:rsidP="003A57FD">
            <w:pPr>
              <w:jc w:val="center"/>
              <w:rPr>
                <w:b/>
                <w:bCs/>
                <w:sz w:val="20"/>
                <w:szCs w:val="20"/>
              </w:rPr>
            </w:pPr>
            <w:r w:rsidRPr="00F329AA">
              <w:rPr>
                <w:b/>
                <w:bCs/>
                <w:sz w:val="20"/>
                <w:szCs w:val="20"/>
              </w:rPr>
              <w:t>Отчет 201</w:t>
            </w:r>
            <w:r>
              <w:rPr>
                <w:b/>
                <w:bCs/>
                <w:sz w:val="20"/>
                <w:szCs w:val="20"/>
              </w:rPr>
              <w:t>3</w:t>
            </w:r>
            <w:r w:rsidRPr="00F329AA">
              <w:rPr>
                <w:b/>
                <w:bCs/>
                <w:sz w:val="20"/>
                <w:szCs w:val="20"/>
              </w:rPr>
              <w:t xml:space="preserve"> към ЗДБРБ</w:t>
            </w:r>
          </w:p>
        </w:tc>
      </w:tr>
      <w:tr w:rsidR="000938C1" w:rsidRPr="00CF1A14" w:rsidTr="003A57FD">
        <w:trPr>
          <w:trHeight w:val="121"/>
        </w:trPr>
        <w:tc>
          <w:tcPr>
            <w:tcW w:w="5760" w:type="dxa"/>
            <w:tcBorders>
              <w:top w:val="nil"/>
              <w:left w:val="double" w:sz="6" w:space="0" w:color="800000"/>
              <w:bottom w:val="nil"/>
              <w:right w:val="single" w:sz="4" w:space="0" w:color="800000"/>
            </w:tcBorders>
            <w:shd w:val="clear" w:color="auto" w:fill="FFFFCC"/>
            <w:noWrap/>
            <w:vAlign w:val="bottom"/>
          </w:tcPr>
          <w:p w:rsidR="000938C1" w:rsidRPr="00F329AA" w:rsidRDefault="000938C1" w:rsidP="003A57FD">
            <w:pPr>
              <w:rPr>
                <w:sz w:val="18"/>
                <w:szCs w:val="18"/>
              </w:rPr>
            </w:pPr>
            <w:r w:rsidRPr="00F329AA">
              <w:rPr>
                <w:sz w:val="18"/>
                <w:szCs w:val="18"/>
              </w:rPr>
              <w:t>Вноска на база брутен национален доход</w:t>
            </w:r>
          </w:p>
        </w:tc>
        <w:tc>
          <w:tcPr>
            <w:tcW w:w="1157" w:type="dxa"/>
            <w:tcBorders>
              <w:top w:val="nil"/>
              <w:left w:val="nil"/>
              <w:bottom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661,9</w:t>
            </w:r>
          </w:p>
        </w:tc>
        <w:tc>
          <w:tcPr>
            <w:tcW w:w="900" w:type="dxa"/>
            <w:tcBorders>
              <w:top w:val="nil"/>
              <w:left w:val="nil"/>
              <w:bottom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657,2</w:t>
            </w:r>
          </w:p>
        </w:tc>
        <w:tc>
          <w:tcPr>
            <w:tcW w:w="1620" w:type="dxa"/>
            <w:tcBorders>
              <w:top w:val="nil"/>
              <w:left w:val="nil"/>
              <w:bottom w:val="nil"/>
              <w:right w:val="double" w:sz="6"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99,3%</w:t>
            </w:r>
          </w:p>
        </w:tc>
      </w:tr>
      <w:tr w:rsidR="000938C1" w:rsidRPr="00CF1A14" w:rsidTr="003A57FD">
        <w:trPr>
          <w:trHeight w:val="94"/>
        </w:trPr>
        <w:tc>
          <w:tcPr>
            <w:tcW w:w="5760" w:type="dxa"/>
            <w:tcBorders>
              <w:top w:val="nil"/>
              <w:left w:val="double" w:sz="6" w:space="0" w:color="800000"/>
              <w:bottom w:val="nil"/>
              <w:right w:val="single" w:sz="4" w:space="0" w:color="800000"/>
            </w:tcBorders>
            <w:shd w:val="clear" w:color="auto" w:fill="FFFFCC"/>
            <w:noWrap/>
            <w:vAlign w:val="bottom"/>
          </w:tcPr>
          <w:p w:rsidR="000938C1" w:rsidRPr="00F329AA" w:rsidRDefault="000938C1" w:rsidP="003A57FD">
            <w:pPr>
              <w:rPr>
                <w:sz w:val="18"/>
                <w:szCs w:val="18"/>
              </w:rPr>
            </w:pPr>
            <w:r w:rsidRPr="00F329AA">
              <w:rPr>
                <w:sz w:val="18"/>
                <w:szCs w:val="18"/>
              </w:rPr>
              <w:t>Вноска на база данък върху добавената стойност</w:t>
            </w:r>
          </w:p>
        </w:tc>
        <w:tc>
          <w:tcPr>
            <w:tcW w:w="1157" w:type="dxa"/>
            <w:tcBorders>
              <w:top w:val="nil"/>
              <w:left w:val="nil"/>
              <w:bottom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112,5</w:t>
            </w:r>
          </w:p>
        </w:tc>
        <w:tc>
          <w:tcPr>
            <w:tcW w:w="900" w:type="dxa"/>
            <w:tcBorders>
              <w:top w:val="nil"/>
              <w:left w:val="nil"/>
              <w:bottom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117,3</w:t>
            </w:r>
          </w:p>
        </w:tc>
        <w:tc>
          <w:tcPr>
            <w:tcW w:w="1620" w:type="dxa"/>
            <w:tcBorders>
              <w:top w:val="nil"/>
              <w:left w:val="nil"/>
              <w:bottom w:val="nil"/>
              <w:right w:val="double" w:sz="6"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104,3%</w:t>
            </w:r>
          </w:p>
        </w:tc>
      </w:tr>
      <w:tr w:rsidR="000938C1" w:rsidRPr="00CF1A14" w:rsidTr="003A57FD">
        <w:trPr>
          <w:trHeight w:val="80"/>
        </w:trPr>
        <w:tc>
          <w:tcPr>
            <w:tcW w:w="5760" w:type="dxa"/>
            <w:tcBorders>
              <w:top w:val="nil"/>
              <w:left w:val="double" w:sz="6" w:space="0" w:color="800000"/>
              <w:bottom w:val="nil"/>
              <w:right w:val="single" w:sz="4" w:space="0" w:color="800000"/>
            </w:tcBorders>
            <w:shd w:val="clear" w:color="auto" w:fill="FFFFCC"/>
            <w:noWrap/>
            <w:vAlign w:val="bottom"/>
          </w:tcPr>
          <w:p w:rsidR="000938C1" w:rsidRPr="00F329AA" w:rsidRDefault="000938C1" w:rsidP="00AF00A2">
            <w:pPr>
              <w:rPr>
                <w:sz w:val="18"/>
                <w:szCs w:val="18"/>
              </w:rPr>
            </w:pPr>
            <w:r w:rsidRPr="00F329AA">
              <w:rPr>
                <w:sz w:val="18"/>
                <w:szCs w:val="18"/>
              </w:rPr>
              <w:t xml:space="preserve">Вноска за корекцията на </w:t>
            </w:r>
            <w:r>
              <w:rPr>
                <w:sz w:val="18"/>
                <w:szCs w:val="18"/>
              </w:rPr>
              <w:t>Обединеното кралство</w:t>
            </w:r>
          </w:p>
        </w:tc>
        <w:tc>
          <w:tcPr>
            <w:tcW w:w="1157" w:type="dxa"/>
            <w:tcBorders>
              <w:top w:val="nil"/>
              <w:left w:val="nil"/>
              <w:bottom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37,8</w:t>
            </w:r>
          </w:p>
        </w:tc>
        <w:tc>
          <w:tcPr>
            <w:tcW w:w="900" w:type="dxa"/>
            <w:tcBorders>
              <w:top w:val="nil"/>
              <w:left w:val="nil"/>
              <w:bottom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47,3</w:t>
            </w:r>
          </w:p>
        </w:tc>
        <w:tc>
          <w:tcPr>
            <w:tcW w:w="1620" w:type="dxa"/>
            <w:tcBorders>
              <w:top w:val="nil"/>
              <w:left w:val="nil"/>
              <w:bottom w:val="nil"/>
              <w:right w:val="double" w:sz="6"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125,1%</w:t>
            </w:r>
          </w:p>
        </w:tc>
      </w:tr>
      <w:tr w:rsidR="000938C1" w:rsidRPr="00CF1A14" w:rsidTr="003A57FD">
        <w:trPr>
          <w:trHeight w:val="80"/>
        </w:trPr>
        <w:tc>
          <w:tcPr>
            <w:tcW w:w="5760" w:type="dxa"/>
            <w:tcBorders>
              <w:top w:val="nil"/>
              <w:left w:val="double" w:sz="6" w:space="0" w:color="800000"/>
              <w:bottom w:val="nil"/>
              <w:right w:val="single" w:sz="4" w:space="0" w:color="800000"/>
            </w:tcBorders>
            <w:shd w:val="clear" w:color="auto" w:fill="FFFFCC"/>
            <w:noWrap/>
            <w:vAlign w:val="bottom"/>
          </w:tcPr>
          <w:p w:rsidR="000938C1" w:rsidRPr="00F329AA" w:rsidRDefault="000938C1" w:rsidP="003A57FD">
            <w:pPr>
              <w:rPr>
                <w:sz w:val="18"/>
                <w:szCs w:val="18"/>
              </w:rPr>
            </w:pPr>
            <w:r w:rsidRPr="00F329AA">
              <w:rPr>
                <w:sz w:val="18"/>
                <w:szCs w:val="18"/>
              </w:rPr>
              <w:t>Вноска на традиционни собствени ресурси</w:t>
            </w:r>
          </w:p>
        </w:tc>
        <w:tc>
          <w:tcPr>
            <w:tcW w:w="1157" w:type="dxa"/>
            <w:tcBorders>
              <w:top w:val="nil"/>
              <w:left w:val="nil"/>
              <w:bottom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90,8</w:t>
            </w:r>
          </w:p>
        </w:tc>
        <w:tc>
          <w:tcPr>
            <w:tcW w:w="900" w:type="dxa"/>
            <w:tcBorders>
              <w:top w:val="nil"/>
              <w:left w:val="nil"/>
              <w:bottom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107,2</w:t>
            </w:r>
          </w:p>
        </w:tc>
        <w:tc>
          <w:tcPr>
            <w:tcW w:w="1620" w:type="dxa"/>
            <w:tcBorders>
              <w:top w:val="nil"/>
              <w:left w:val="nil"/>
              <w:bottom w:val="nil"/>
              <w:right w:val="double" w:sz="6"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118,0%</w:t>
            </w:r>
          </w:p>
        </w:tc>
      </w:tr>
      <w:tr w:rsidR="000938C1" w:rsidRPr="00CF1A14" w:rsidTr="003A57FD">
        <w:trPr>
          <w:trHeight w:val="80"/>
        </w:trPr>
        <w:tc>
          <w:tcPr>
            <w:tcW w:w="5760" w:type="dxa"/>
            <w:tcBorders>
              <w:top w:val="nil"/>
              <w:left w:val="double" w:sz="6" w:space="0" w:color="800000"/>
              <w:bottom w:val="nil"/>
              <w:right w:val="single" w:sz="4" w:space="0" w:color="800000"/>
            </w:tcBorders>
            <w:shd w:val="clear" w:color="auto" w:fill="FFFFCC"/>
            <w:noWrap/>
            <w:vAlign w:val="bottom"/>
          </w:tcPr>
          <w:p w:rsidR="000938C1" w:rsidRPr="00F329AA" w:rsidRDefault="000938C1" w:rsidP="003A57FD">
            <w:pPr>
              <w:rPr>
                <w:sz w:val="18"/>
                <w:szCs w:val="18"/>
              </w:rPr>
            </w:pPr>
            <w:r w:rsidRPr="00F329AA">
              <w:rPr>
                <w:sz w:val="18"/>
                <w:szCs w:val="18"/>
              </w:rPr>
              <w:t xml:space="preserve">   - мита </w:t>
            </w:r>
          </w:p>
        </w:tc>
        <w:tc>
          <w:tcPr>
            <w:tcW w:w="1157" w:type="dxa"/>
            <w:tcBorders>
              <w:top w:val="nil"/>
              <w:left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90,0</w:t>
            </w:r>
          </w:p>
        </w:tc>
        <w:tc>
          <w:tcPr>
            <w:tcW w:w="900" w:type="dxa"/>
            <w:tcBorders>
              <w:top w:val="nil"/>
              <w:left w:val="nil"/>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106,4</w:t>
            </w:r>
          </w:p>
        </w:tc>
        <w:tc>
          <w:tcPr>
            <w:tcW w:w="1620" w:type="dxa"/>
            <w:tcBorders>
              <w:top w:val="nil"/>
              <w:left w:val="nil"/>
              <w:right w:val="double" w:sz="6"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118,2%</w:t>
            </w:r>
          </w:p>
        </w:tc>
      </w:tr>
      <w:tr w:rsidR="000938C1" w:rsidRPr="00CF1A14" w:rsidTr="003A57FD">
        <w:trPr>
          <w:trHeight w:val="160"/>
        </w:trPr>
        <w:tc>
          <w:tcPr>
            <w:tcW w:w="5760" w:type="dxa"/>
            <w:tcBorders>
              <w:top w:val="nil"/>
              <w:left w:val="double" w:sz="6" w:space="0" w:color="800000"/>
              <w:bottom w:val="single" w:sz="4" w:space="0" w:color="C0C0C0"/>
              <w:right w:val="single" w:sz="4" w:space="0" w:color="800000"/>
            </w:tcBorders>
            <w:shd w:val="clear" w:color="auto" w:fill="FFFFCC"/>
            <w:noWrap/>
            <w:vAlign w:val="bottom"/>
          </w:tcPr>
          <w:p w:rsidR="000938C1" w:rsidRPr="00F329AA" w:rsidRDefault="000938C1" w:rsidP="003A57FD">
            <w:pPr>
              <w:rPr>
                <w:sz w:val="18"/>
                <w:szCs w:val="18"/>
              </w:rPr>
            </w:pPr>
            <w:r w:rsidRPr="00F329AA">
              <w:rPr>
                <w:sz w:val="18"/>
                <w:szCs w:val="18"/>
              </w:rPr>
              <w:t xml:space="preserve">   - такси върху производството на захар и изоглюкоза</w:t>
            </w:r>
          </w:p>
        </w:tc>
        <w:tc>
          <w:tcPr>
            <w:tcW w:w="1157" w:type="dxa"/>
            <w:tcBorders>
              <w:top w:val="nil"/>
              <w:left w:val="nil"/>
              <w:bottom w:val="single" w:sz="4" w:space="0" w:color="C0C0C0"/>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0,8</w:t>
            </w:r>
          </w:p>
        </w:tc>
        <w:tc>
          <w:tcPr>
            <w:tcW w:w="900" w:type="dxa"/>
            <w:tcBorders>
              <w:top w:val="nil"/>
              <w:left w:val="nil"/>
              <w:bottom w:val="single" w:sz="4" w:space="0" w:color="C0C0C0"/>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0,8</w:t>
            </w:r>
          </w:p>
        </w:tc>
        <w:tc>
          <w:tcPr>
            <w:tcW w:w="1620" w:type="dxa"/>
            <w:tcBorders>
              <w:top w:val="nil"/>
              <w:left w:val="nil"/>
              <w:bottom w:val="single" w:sz="4" w:space="0" w:color="C0C0C0"/>
              <w:right w:val="double" w:sz="6"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100,0%</w:t>
            </w:r>
          </w:p>
        </w:tc>
      </w:tr>
      <w:tr w:rsidR="000938C1" w:rsidRPr="00CF1A14" w:rsidTr="003A57FD">
        <w:trPr>
          <w:trHeight w:val="169"/>
        </w:trPr>
        <w:tc>
          <w:tcPr>
            <w:tcW w:w="5760" w:type="dxa"/>
            <w:tcBorders>
              <w:top w:val="single" w:sz="4" w:space="0" w:color="C0C0C0"/>
              <w:left w:val="double" w:sz="6" w:space="0" w:color="800000"/>
              <w:bottom w:val="single" w:sz="4" w:space="0" w:color="C0C0C0"/>
              <w:right w:val="single" w:sz="4" w:space="0" w:color="800000"/>
            </w:tcBorders>
            <w:shd w:val="clear" w:color="auto" w:fill="FFFFCC"/>
            <w:noWrap/>
            <w:vAlign w:val="bottom"/>
          </w:tcPr>
          <w:p w:rsidR="000938C1" w:rsidRPr="00F329AA" w:rsidRDefault="000938C1" w:rsidP="003A57FD">
            <w:pPr>
              <w:rPr>
                <w:sz w:val="18"/>
                <w:szCs w:val="18"/>
              </w:rPr>
            </w:pPr>
            <w:r w:rsidRPr="00F329AA">
              <w:rPr>
                <w:sz w:val="18"/>
                <w:szCs w:val="18"/>
              </w:rPr>
              <w:t xml:space="preserve"> Участие във финансирането на брутното намаление за Нидерландия и Швеция</w:t>
            </w:r>
          </w:p>
        </w:tc>
        <w:tc>
          <w:tcPr>
            <w:tcW w:w="1157" w:type="dxa"/>
            <w:tcBorders>
              <w:top w:val="single" w:sz="4" w:space="0" w:color="C0C0C0"/>
              <w:left w:val="nil"/>
              <w:bottom w:val="single" w:sz="4" w:space="0" w:color="C0C0C0"/>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5,3</w:t>
            </w:r>
          </w:p>
        </w:tc>
        <w:tc>
          <w:tcPr>
            <w:tcW w:w="900" w:type="dxa"/>
            <w:tcBorders>
              <w:top w:val="single" w:sz="4" w:space="0" w:color="C0C0C0"/>
              <w:left w:val="nil"/>
              <w:bottom w:val="single" w:sz="4" w:space="0" w:color="C0C0C0"/>
              <w:right w:val="single" w:sz="4"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5,1</w:t>
            </w:r>
          </w:p>
        </w:tc>
        <w:tc>
          <w:tcPr>
            <w:tcW w:w="1620" w:type="dxa"/>
            <w:tcBorders>
              <w:top w:val="single" w:sz="4" w:space="0" w:color="C0C0C0"/>
              <w:left w:val="nil"/>
              <w:bottom w:val="single" w:sz="4" w:space="0" w:color="C0C0C0"/>
              <w:right w:val="double" w:sz="6" w:space="0" w:color="800000"/>
            </w:tcBorders>
            <w:shd w:val="clear" w:color="auto" w:fill="FFFFCC"/>
            <w:noWrap/>
            <w:vAlign w:val="bottom"/>
          </w:tcPr>
          <w:p w:rsidR="000938C1" w:rsidRPr="00812FCD" w:rsidRDefault="000938C1" w:rsidP="003A57FD">
            <w:pPr>
              <w:jc w:val="right"/>
              <w:rPr>
                <w:sz w:val="18"/>
                <w:szCs w:val="18"/>
              </w:rPr>
            </w:pPr>
            <w:r w:rsidRPr="00812FCD">
              <w:rPr>
                <w:sz w:val="18"/>
                <w:szCs w:val="18"/>
              </w:rPr>
              <w:t>97,6%</w:t>
            </w:r>
          </w:p>
        </w:tc>
      </w:tr>
      <w:tr w:rsidR="000938C1" w:rsidRPr="00CF1A14" w:rsidTr="003A57FD">
        <w:trPr>
          <w:trHeight w:val="169"/>
        </w:trPr>
        <w:tc>
          <w:tcPr>
            <w:tcW w:w="5760" w:type="dxa"/>
            <w:tcBorders>
              <w:top w:val="single" w:sz="4" w:space="0" w:color="C0C0C0"/>
              <w:left w:val="double" w:sz="6" w:space="0" w:color="800000"/>
              <w:bottom w:val="single" w:sz="4" w:space="0" w:color="800000"/>
              <w:right w:val="single" w:sz="4" w:space="0" w:color="800000"/>
            </w:tcBorders>
            <w:shd w:val="clear" w:color="auto" w:fill="FFFFCC"/>
            <w:noWrap/>
            <w:vAlign w:val="bottom"/>
          </w:tcPr>
          <w:p w:rsidR="000938C1" w:rsidRPr="00F329AA" w:rsidRDefault="000938C1" w:rsidP="003A57FD">
            <w:pPr>
              <w:rPr>
                <w:sz w:val="18"/>
                <w:szCs w:val="18"/>
              </w:rPr>
            </w:pPr>
            <w:r w:rsidRPr="00F329AA">
              <w:rPr>
                <w:sz w:val="18"/>
                <w:szCs w:val="18"/>
              </w:rPr>
              <w:t xml:space="preserve">  Допълнителни плащания</w:t>
            </w:r>
          </w:p>
        </w:tc>
        <w:tc>
          <w:tcPr>
            <w:tcW w:w="1157" w:type="dxa"/>
            <w:tcBorders>
              <w:top w:val="single" w:sz="4" w:space="0" w:color="C0C0C0"/>
              <w:left w:val="nil"/>
              <w:bottom w:val="single" w:sz="4" w:space="0" w:color="800000"/>
              <w:right w:val="single" w:sz="4" w:space="0" w:color="800000"/>
            </w:tcBorders>
            <w:shd w:val="clear" w:color="auto" w:fill="FFFFCC"/>
            <w:noWrap/>
            <w:vAlign w:val="bottom"/>
          </w:tcPr>
          <w:p w:rsidR="000938C1" w:rsidRPr="00812FCD" w:rsidRDefault="000938C1" w:rsidP="003A57FD">
            <w:pPr>
              <w:jc w:val="right"/>
              <w:rPr>
                <w:sz w:val="18"/>
                <w:szCs w:val="18"/>
              </w:rPr>
            </w:pPr>
          </w:p>
        </w:tc>
        <w:tc>
          <w:tcPr>
            <w:tcW w:w="900" w:type="dxa"/>
            <w:tcBorders>
              <w:top w:val="single" w:sz="4" w:space="0" w:color="C0C0C0"/>
              <w:left w:val="nil"/>
              <w:bottom w:val="single" w:sz="4" w:space="0" w:color="800000"/>
              <w:right w:val="single" w:sz="4" w:space="0" w:color="800000"/>
            </w:tcBorders>
            <w:shd w:val="clear" w:color="auto" w:fill="FFFFCC"/>
            <w:noWrap/>
            <w:vAlign w:val="bottom"/>
          </w:tcPr>
          <w:p w:rsidR="000938C1" w:rsidRPr="00812FCD" w:rsidRDefault="000938C1" w:rsidP="003A57FD">
            <w:pPr>
              <w:jc w:val="right"/>
              <w:rPr>
                <w:sz w:val="18"/>
                <w:szCs w:val="18"/>
              </w:rPr>
            </w:pPr>
          </w:p>
        </w:tc>
        <w:tc>
          <w:tcPr>
            <w:tcW w:w="1620" w:type="dxa"/>
            <w:tcBorders>
              <w:top w:val="single" w:sz="4" w:space="0" w:color="C0C0C0"/>
              <w:left w:val="nil"/>
              <w:bottom w:val="single" w:sz="4" w:space="0" w:color="800000"/>
              <w:right w:val="double" w:sz="6" w:space="0" w:color="800000"/>
            </w:tcBorders>
            <w:shd w:val="clear" w:color="auto" w:fill="FFFFCC"/>
            <w:noWrap/>
            <w:vAlign w:val="bottom"/>
          </w:tcPr>
          <w:p w:rsidR="000938C1" w:rsidRPr="00812FCD" w:rsidRDefault="000938C1" w:rsidP="003A57FD">
            <w:pPr>
              <w:jc w:val="right"/>
              <w:rPr>
                <w:sz w:val="18"/>
                <w:szCs w:val="18"/>
              </w:rPr>
            </w:pPr>
          </w:p>
        </w:tc>
      </w:tr>
      <w:tr w:rsidR="000938C1" w:rsidRPr="00CF1A14" w:rsidTr="003A57FD">
        <w:trPr>
          <w:trHeight w:val="128"/>
        </w:trPr>
        <w:tc>
          <w:tcPr>
            <w:tcW w:w="5760" w:type="dxa"/>
            <w:tcBorders>
              <w:top w:val="single" w:sz="4" w:space="0" w:color="800000"/>
              <w:left w:val="double" w:sz="6" w:space="0" w:color="800000"/>
              <w:bottom w:val="double" w:sz="6" w:space="0" w:color="800000"/>
              <w:right w:val="single" w:sz="4" w:space="0" w:color="800000"/>
            </w:tcBorders>
            <w:shd w:val="clear" w:color="auto" w:fill="FFFFCC"/>
            <w:noWrap/>
            <w:vAlign w:val="bottom"/>
          </w:tcPr>
          <w:p w:rsidR="000938C1" w:rsidRPr="00F329AA" w:rsidRDefault="000938C1" w:rsidP="00AF00A2">
            <w:pPr>
              <w:rPr>
                <w:b/>
                <w:bCs/>
                <w:sz w:val="18"/>
                <w:szCs w:val="18"/>
              </w:rPr>
            </w:pPr>
            <w:r w:rsidRPr="00F329AA">
              <w:rPr>
                <w:b/>
                <w:bCs/>
                <w:sz w:val="18"/>
                <w:szCs w:val="18"/>
              </w:rPr>
              <w:t xml:space="preserve">ВНОСКА </w:t>
            </w:r>
            <w:r>
              <w:rPr>
                <w:b/>
                <w:bCs/>
                <w:sz w:val="18"/>
                <w:szCs w:val="18"/>
              </w:rPr>
              <w:t>В</w:t>
            </w:r>
            <w:r w:rsidRPr="00F329AA">
              <w:rPr>
                <w:b/>
                <w:bCs/>
                <w:sz w:val="18"/>
                <w:szCs w:val="18"/>
              </w:rPr>
              <w:t xml:space="preserve"> ОБЩИЯ БЮДЖЕТ НА ЕС ЗА 201</w:t>
            </w:r>
            <w:r>
              <w:rPr>
                <w:b/>
                <w:bCs/>
                <w:sz w:val="18"/>
                <w:szCs w:val="18"/>
              </w:rPr>
              <w:t>3</w:t>
            </w:r>
            <w:r w:rsidRPr="00F329AA">
              <w:rPr>
                <w:b/>
                <w:bCs/>
                <w:sz w:val="18"/>
                <w:szCs w:val="18"/>
              </w:rPr>
              <w:t xml:space="preserve"> г.</w:t>
            </w:r>
          </w:p>
        </w:tc>
        <w:tc>
          <w:tcPr>
            <w:tcW w:w="1157" w:type="dxa"/>
            <w:tcBorders>
              <w:top w:val="single" w:sz="4" w:space="0" w:color="800000"/>
              <w:left w:val="nil"/>
              <w:bottom w:val="double" w:sz="6" w:space="0" w:color="800000"/>
              <w:right w:val="single" w:sz="4" w:space="0" w:color="800000"/>
            </w:tcBorders>
            <w:shd w:val="clear" w:color="auto" w:fill="FFFFCC"/>
            <w:noWrap/>
            <w:vAlign w:val="bottom"/>
          </w:tcPr>
          <w:p w:rsidR="000938C1" w:rsidRPr="00812FCD" w:rsidRDefault="000938C1" w:rsidP="003A57FD">
            <w:pPr>
              <w:jc w:val="right"/>
              <w:rPr>
                <w:b/>
                <w:bCs/>
                <w:sz w:val="18"/>
                <w:szCs w:val="18"/>
              </w:rPr>
            </w:pPr>
            <w:r>
              <w:rPr>
                <w:b/>
                <w:bCs/>
                <w:sz w:val="18"/>
                <w:szCs w:val="18"/>
              </w:rPr>
              <w:t>908,2</w:t>
            </w:r>
          </w:p>
        </w:tc>
        <w:tc>
          <w:tcPr>
            <w:tcW w:w="900" w:type="dxa"/>
            <w:tcBorders>
              <w:top w:val="single" w:sz="4" w:space="0" w:color="800000"/>
              <w:left w:val="nil"/>
              <w:bottom w:val="double" w:sz="6" w:space="0" w:color="800000"/>
              <w:right w:val="single" w:sz="4" w:space="0" w:color="800000"/>
            </w:tcBorders>
            <w:shd w:val="clear" w:color="auto" w:fill="FFFFCC"/>
            <w:noWrap/>
            <w:vAlign w:val="bottom"/>
          </w:tcPr>
          <w:p w:rsidR="000938C1" w:rsidRPr="00812FCD" w:rsidRDefault="000938C1" w:rsidP="003A57FD">
            <w:pPr>
              <w:jc w:val="right"/>
              <w:rPr>
                <w:b/>
                <w:bCs/>
                <w:sz w:val="18"/>
                <w:szCs w:val="18"/>
              </w:rPr>
            </w:pPr>
            <w:r>
              <w:rPr>
                <w:b/>
                <w:bCs/>
                <w:sz w:val="18"/>
                <w:szCs w:val="18"/>
              </w:rPr>
              <w:t>934,1</w:t>
            </w:r>
          </w:p>
        </w:tc>
        <w:tc>
          <w:tcPr>
            <w:tcW w:w="1620" w:type="dxa"/>
            <w:tcBorders>
              <w:top w:val="single" w:sz="4" w:space="0" w:color="800000"/>
              <w:left w:val="nil"/>
              <w:bottom w:val="double" w:sz="6" w:space="0" w:color="800000"/>
              <w:right w:val="double" w:sz="6" w:space="0" w:color="800000"/>
            </w:tcBorders>
            <w:shd w:val="clear" w:color="auto" w:fill="FFFFCC"/>
            <w:noWrap/>
            <w:vAlign w:val="bottom"/>
          </w:tcPr>
          <w:p w:rsidR="000938C1" w:rsidRPr="00812FCD" w:rsidRDefault="000938C1" w:rsidP="003A57FD">
            <w:pPr>
              <w:jc w:val="right"/>
              <w:rPr>
                <w:b/>
                <w:bCs/>
                <w:sz w:val="18"/>
                <w:szCs w:val="18"/>
              </w:rPr>
            </w:pPr>
            <w:r>
              <w:rPr>
                <w:b/>
                <w:bCs/>
                <w:sz w:val="18"/>
                <w:szCs w:val="18"/>
              </w:rPr>
              <w:t>102,9</w:t>
            </w:r>
            <w:r w:rsidRPr="00812FCD">
              <w:rPr>
                <w:b/>
                <w:bCs/>
                <w:sz w:val="18"/>
                <w:szCs w:val="18"/>
              </w:rPr>
              <w:t>%</w:t>
            </w:r>
          </w:p>
        </w:tc>
      </w:tr>
    </w:tbl>
    <w:p w:rsidR="000938C1" w:rsidRPr="00FD661F" w:rsidRDefault="000938C1" w:rsidP="00FD661F">
      <w:pPr>
        <w:pStyle w:val="Heading3"/>
        <w:ind w:left="720"/>
        <w:rPr>
          <w:rFonts w:ascii="Times New Roman" w:hAnsi="Times New Roman" w:cs="Times New Roman"/>
          <w:sz w:val="16"/>
          <w:szCs w:val="16"/>
          <w:lang w:val="bg-BG"/>
        </w:rPr>
      </w:pPr>
      <w:bookmarkStart w:id="193" w:name="_Toc262637617"/>
      <w:bookmarkStart w:id="194" w:name="_Toc262637618"/>
      <w:bookmarkStart w:id="195" w:name="_Toc262637619"/>
      <w:bookmarkStart w:id="196" w:name="_Toc326315912"/>
      <w:bookmarkEnd w:id="193"/>
      <w:bookmarkEnd w:id="194"/>
      <w:bookmarkEnd w:id="195"/>
    </w:p>
    <w:p w:rsidR="000938C1" w:rsidRPr="003A57FD" w:rsidRDefault="000938C1" w:rsidP="00F30F79">
      <w:pPr>
        <w:pStyle w:val="Heading3"/>
        <w:numPr>
          <w:ilvl w:val="2"/>
          <w:numId w:val="72"/>
        </w:numPr>
        <w:rPr>
          <w:rFonts w:ascii="Times New Roman" w:hAnsi="Times New Roman" w:cs="Times New Roman"/>
          <w:sz w:val="24"/>
          <w:szCs w:val="24"/>
          <w:lang w:val="bg-BG"/>
        </w:rPr>
      </w:pPr>
      <w:bookmarkStart w:id="197" w:name="_Toc393728071"/>
      <w:r w:rsidRPr="003A57FD">
        <w:rPr>
          <w:rFonts w:ascii="Times New Roman" w:hAnsi="Times New Roman" w:cs="Times New Roman"/>
          <w:sz w:val="24"/>
          <w:szCs w:val="24"/>
          <w:lang w:val="bg-BG"/>
        </w:rPr>
        <w:t xml:space="preserve">Мерки за намаляване размера на задълженията </w:t>
      </w:r>
      <w:bookmarkEnd w:id="196"/>
      <w:r w:rsidRPr="003A57FD">
        <w:rPr>
          <w:rFonts w:ascii="Times New Roman" w:hAnsi="Times New Roman" w:cs="Times New Roman"/>
          <w:sz w:val="24"/>
          <w:szCs w:val="24"/>
          <w:lang w:val="bg-BG"/>
        </w:rPr>
        <w:t>на ПРБК</w:t>
      </w:r>
      <w:bookmarkEnd w:id="197"/>
    </w:p>
    <w:p w:rsidR="000938C1" w:rsidRPr="00FD661F" w:rsidRDefault="000938C1" w:rsidP="00F377EA">
      <w:pPr>
        <w:spacing w:before="120" w:after="120"/>
        <w:ind w:firstLine="709"/>
        <w:jc w:val="both"/>
        <w:rPr>
          <w:bCs/>
          <w:color w:val="0070C0"/>
          <w:sz w:val="16"/>
          <w:szCs w:val="16"/>
        </w:rPr>
      </w:pPr>
    </w:p>
    <w:p w:rsidR="000938C1" w:rsidRPr="001966BD" w:rsidRDefault="000938C1" w:rsidP="003A57FD">
      <w:pPr>
        <w:spacing w:before="120" w:after="120"/>
        <w:ind w:firstLine="709"/>
        <w:jc w:val="both"/>
        <w:rPr>
          <w:bCs/>
        </w:rPr>
      </w:pPr>
      <w:r w:rsidRPr="008267EB">
        <w:rPr>
          <w:bCs/>
        </w:rPr>
        <w:t>В контекста на усилията за засилване на фискалната дисциплина и отговорността на ръководителите в процеса на бюджетното изпълнение в ЗДБРБ за 2013 г., както и предходните години, бяха одобрени допустими максимални размери на задълженията към доставчици и към дългосрочно командировани служители към 31.12.2013 г. на държавните органи, министерствата, ведомствата и автономни</w:t>
      </w:r>
      <w:r>
        <w:rPr>
          <w:bCs/>
        </w:rPr>
        <w:t>те</w:t>
      </w:r>
      <w:r w:rsidRPr="008267EB">
        <w:rPr>
          <w:bCs/>
        </w:rPr>
        <w:t xml:space="preserve"> бюджети</w:t>
      </w:r>
      <w:r>
        <w:rPr>
          <w:bCs/>
        </w:rPr>
        <w:t xml:space="preserve"> </w:t>
      </w:r>
      <w:r w:rsidRPr="008267EB">
        <w:rPr>
          <w:bCs/>
        </w:rPr>
        <w:t xml:space="preserve">(чл. 17 на ЗДБРБ за 2013 г.). </w:t>
      </w:r>
      <w:r w:rsidRPr="00AF0EDF">
        <w:rPr>
          <w:bCs/>
        </w:rPr>
        <w:t xml:space="preserve">Целта на тази разпоредба е поемането на ангажименти през 2013 г. да бъде обвързано с рамката на одобрените бюджетни кредити, начислените задължения към края на предходната година и оценка на начислените задължения в края на 2013 г. Това изискваше не само засилване на отговорността при управлението и изпълнението на бюджета, но и сериозен анализ при поемане на нови ангажименти за разход. </w:t>
      </w:r>
      <w:r w:rsidRPr="001966BD">
        <w:rPr>
          <w:bCs/>
        </w:rPr>
        <w:t>В съответствие с утвърдените указания за регулярно изготвяне и представяне от бюджетните предприятия в М</w:t>
      </w:r>
      <w:r>
        <w:rPr>
          <w:bCs/>
        </w:rPr>
        <w:t>Ф</w:t>
      </w:r>
      <w:r w:rsidRPr="001966BD">
        <w:rPr>
          <w:bCs/>
        </w:rPr>
        <w:t xml:space="preserve"> на подробна информация за поетите ангажименти и възникналите (начислените) задължения, както и препоръките за координация и регламентиране на информационния обмен между съответните административни структури на ниво първостепенен разпоредител, пряко свързани с процеса по поемането на конкретни ангажименти, произтичащи от сключени договори, споразумения, решения, нормативен акт, бе подсилен контролът при тяхното изпълнение. Отчетните данни към 31.12.2013 г. сочат, че основната част от ПРБК са предприели адекватни действия за подсилване на системите за финансово управление и контрол в процеса на поемането на ангажименти, произтичащи от сключване на договори, споразумения, решения, нормативен акт и др., с което утвърдените максимални размери на задълженията по Приложения № 7 към чл. 17, ал. 1 на ЗДБРБ за 201</w:t>
      </w:r>
      <w:r w:rsidRPr="00187783">
        <w:rPr>
          <w:bCs/>
          <w:lang w:val="en-US"/>
        </w:rPr>
        <w:t>3</w:t>
      </w:r>
      <w:r w:rsidRPr="001966BD">
        <w:rPr>
          <w:bCs/>
        </w:rPr>
        <w:t xml:space="preserve"> г. са спазени</w:t>
      </w:r>
      <w:r w:rsidRPr="00187783">
        <w:rPr>
          <w:bCs/>
          <w:lang w:val="en-US"/>
        </w:rPr>
        <w:t xml:space="preserve">, </w:t>
      </w:r>
      <w:r w:rsidRPr="001966BD">
        <w:rPr>
          <w:bCs/>
        </w:rPr>
        <w:t xml:space="preserve">с изключение на </w:t>
      </w:r>
      <w:r>
        <w:rPr>
          <w:bCs/>
        </w:rPr>
        <w:t>МО, БНР и ДВВУ.</w:t>
      </w:r>
    </w:p>
    <w:p w:rsidR="000938C1" w:rsidRPr="00923F0E" w:rsidRDefault="000938C1" w:rsidP="003A57FD">
      <w:pPr>
        <w:spacing w:before="120" w:after="120"/>
        <w:ind w:firstLine="709"/>
        <w:jc w:val="both"/>
      </w:pPr>
      <w:r w:rsidRPr="00923F0E">
        <w:t>Съгласно приложение № 7 към чл. 17, ал. 1 от З</w:t>
      </w:r>
      <w:r>
        <w:t>ДБРБ</w:t>
      </w:r>
      <w:r w:rsidRPr="00923F0E">
        <w:t xml:space="preserve"> за 2013 г., утвърденият допустим максимален размер на задълженията към доставчици на МО е 70,0 млн. лв. По баланс министерството е приключило финансовата година със задължения към доставчици в размер на 99,2 млн. лв., което е над определения праг, утвърден с годишния закон за държавни</w:t>
      </w:r>
      <w:r>
        <w:t>я</w:t>
      </w:r>
      <w:r w:rsidRPr="00923F0E">
        <w:t xml:space="preserve"> бюджет.</w:t>
      </w:r>
      <w:r>
        <w:t xml:space="preserve"> Най-голям дял имат задълженията на Военно-медицинска академия – 90,9 млн. лв., като основно те са за лекарства и медикаменти (61,7 млн. лв.).</w:t>
      </w:r>
    </w:p>
    <w:p w:rsidR="000938C1" w:rsidRPr="00D856CA" w:rsidRDefault="000938C1" w:rsidP="003A57FD">
      <w:pPr>
        <w:spacing w:before="120" w:after="120"/>
        <w:ind w:firstLine="709"/>
        <w:jc w:val="both"/>
      </w:pPr>
      <w:r w:rsidRPr="00D856CA">
        <w:t>Съгласно приложение № 7 към чл. 17, ал. 1 от З</w:t>
      </w:r>
      <w:r>
        <w:t>ДБРБ</w:t>
      </w:r>
      <w:r w:rsidRPr="00D856CA">
        <w:t xml:space="preserve"> за 2013 г., утвърденият допустим максимален размер на задълженията към доставчици на БНР е 2,0 млн. лв. По баланс БНР е приключило финансовата година със задължения към доставчици в размер на 2,088 млн. лв., от които 0,886 млн. лв. са корективи. По-съществените задължения са за външни услуги, свързани с производството и разпространението на програмите, за вода, горива и енергия и за нематериални дълготрайни активи – предоставено тригодишно право на ползване на софтуерни продукти.</w:t>
      </w:r>
    </w:p>
    <w:p w:rsidR="000938C1" w:rsidRPr="00D856CA" w:rsidRDefault="000938C1" w:rsidP="003A57FD">
      <w:pPr>
        <w:spacing w:before="120" w:after="120"/>
        <w:ind w:firstLine="709"/>
        <w:jc w:val="both"/>
      </w:pPr>
      <w:r w:rsidRPr="00D856CA">
        <w:t>Съгласно приложение № 7 към чл. 17, ал. 1 от Закона за държавния бюджет на Република България за 2013 г., утвърденият допустим максимален размер на задълженията към доставчици на държавните висши военни училища е 0,2 млн. лв. Отчетените задължения към доставчици в края на годината са в размер на 0,366 млн. лв. или 0,166 млн. лв. над определения праг, утвърден с годишния закон за държавния бюджет.</w:t>
      </w:r>
    </w:p>
    <w:p w:rsidR="000938C1" w:rsidRPr="00CF1A14" w:rsidRDefault="000938C1" w:rsidP="00413A95">
      <w:pPr>
        <w:tabs>
          <w:tab w:val="right" w:pos="7938"/>
        </w:tabs>
        <w:ind w:firstLine="720"/>
        <w:jc w:val="both"/>
        <w:rPr>
          <w:color w:val="0070C0"/>
          <w:sz w:val="8"/>
          <w:szCs w:val="8"/>
          <w:lang w:eastAsia="en-US"/>
        </w:rPr>
      </w:pPr>
      <w:r w:rsidRPr="00CF1A14">
        <w:rPr>
          <w:color w:val="0070C0"/>
          <w:lang w:eastAsia="en-US"/>
        </w:rPr>
        <w:br w:type="page"/>
      </w:r>
    </w:p>
    <w:p w:rsidR="000938C1" w:rsidRPr="00ED10BC" w:rsidRDefault="000938C1" w:rsidP="00F30F79">
      <w:pPr>
        <w:pStyle w:val="Heading3"/>
        <w:numPr>
          <w:ilvl w:val="1"/>
          <w:numId w:val="72"/>
        </w:numPr>
        <w:ind w:left="900" w:hanging="540"/>
        <w:rPr>
          <w:rFonts w:ascii="Times New Roman" w:hAnsi="Times New Roman"/>
          <w:sz w:val="24"/>
          <w:lang w:val="bg-BG"/>
        </w:rPr>
      </w:pPr>
      <w:bookmarkStart w:id="198" w:name="_Toc393728072"/>
      <w:bookmarkStart w:id="199" w:name="_Toc136597751"/>
      <w:bookmarkStart w:id="200" w:name="_Toc136601654"/>
      <w:bookmarkStart w:id="201" w:name="_Toc167181041"/>
      <w:bookmarkStart w:id="202" w:name="_Toc230007077"/>
      <w:bookmarkStart w:id="203" w:name="_Toc324863431"/>
      <w:bookmarkEnd w:id="174"/>
      <w:bookmarkEnd w:id="175"/>
      <w:bookmarkEnd w:id="176"/>
      <w:bookmarkEnd w:id="177"/>
      <w:bookmarkEnd w:id="178"/>
      <w:bookmarkEnd w:id="179"/>
      <w:r w:rsidRPr="00ED10BC">
        <w:rPr>
          <w:rFonts w:ascii="Times New Roman" w:hAnsi="Times New Roman"/>
          <w:sz w:val="24"/>
          <w:lang w:val="bg-BG"/>
        </w:rPr>
        <w:t>Изпълнение на разходите</w:t>
      </w:r>
      <w:r w:rsidRPr="00673D4D">
        <w:rPr>
          <w:rStyle w:val="FootnoteReference"/>
          <w:rFonts w:ascii="Times New Roman" w:hAnsi="Times New Roman" w:cs="Arial"/>
          <w:sz w:val="18"/>
          <w:szCs w:val="18"/>
          <w:lang w:val="bg-BG"/>
        </w:rPr>
        <w:footnoteReference w:id="13"/>
      </w:r>
      <w:r w:rsidRPr="00673D4D">
        <w:rPr>
          <w:rFonts w:ascii="Times New Roman" w:hAnsi="Times New Roman"/>
          <w:sz w:val="18"/>
          <w:szCs w:val="18"/>
          <w:lang w:val="bg-BG"/>
        </w:rPr>
        <w:t xml:space="preserve"> </w:t>
      </w:r>
      <w:r w:rsidRPr="00ED10BC">
        <w:rPr>
          <w:rFonts w:ascii="Times New Roman" w:hAnsi="Times New Roman"/>
          <w:sz w:val="24"/>
          <w:lang w:val="bg-BG"/>
        </w:rPr>
        <w:t>по функции по консолидираната фискална програма за 201</w:t>
      </w:r>
      <w:r w:rsidRPr="00187783">
        <w:rPr>
          <w:rFonts w:ascii="Times New Roman" w:hAnsi="Times New Roman"/>
          <w:sz w:val="24"/>
          <w:lang w:val="en-US"/>
        </w:rPr>
        <w:t>3</w:t>
      </w:r>
      <w:r w:rsidRPr="00ED10BC">
        <w:rPr>
          <w:rFonts w:ascii="Times New Roman" w:hAnsi="Times New Roman"/>
          <w:sz w:val="24"/>
          <w:lang w:val="bg-BG"/>
        </w:rPr>
        <w:t xml:space="preserve"> г.</w:t>
      </w:r>
      <w:bookmarkEnd w:id="198"/>
    </w:p>
    <w:p w:rsidR="000938C1" w:rsidRPr="00CF1A14" w:rsidRDefault="000938C1" w:rsidP="00F85C67">
      <w:pPr>
        <w:jc w:val="both"/>
        <w:rPr>
          <w:color w:val="0070C0"/>
          <w:sz w:val="20"/>
          <w:szCs w:val="20"/>
        </w:rPr>
      </w:pPr>
    </w:p>
    <w:p w:rsidR="000938C1" w:rsidRPr="00ED10BC" w:rsidRDefault="000938C1" w:rsidP="00F85C67">
      <w:pPr>
        <w:ind w:firstLine="540"/>
        <w:jc w:val="both"/>
      </w:pPr>
      <w:r w:rsidRPr="00ED10BC">
        <w:t>Прегледът на разходите по консолидираната фискална програма по функционален признак представя политиките в отделните области на публичните услуги. Някои от тях са изцяло отговорност на държавата (централното правителство), докато за други отговорностите са и на общините или социалноосигурителните фондове.</w:t>
      </w:r>
    </w:p>
    <w:p w:rsidR="000938C1" w:rsidRPr="00CF1A14" w:rsidRDefault="000938C1" w:rsidP="00F85C67">
      <w:pPr>
        <w:jc w:val="both"/>
        <w:rPr>
          <w:color w:val="0070C0"/>
          <w:lang w:val="ru-RU"/>
        </w:rPr>
      </w:pPr>
    </w:p>
    <w:p w:rsidR="000938C1" w:rsidRPr="00CF1A14" w:rsidRDefault="000938C1" w:rsidP="00F85C67">
      <w:pPr>
        <w:jc w:val="both"/>
        <w:rPr>
          <w:color w:val="0070C0"/>
          <w:lang w:val="ru-RU"/>
        </w:rPr>
      </w:pPr>
      <w:r w:rsidRPr="00656AB5">
        <w:rPr>
          <w:noProof/>
        </w:rPr>
        <w:object w:dxaOrig="9063" w:dyaOrig="6586">
          <v:shape id="Object 20" o:spid="_x0000_i1044" type="#_x0000_t75" style="width:453pt;height:329.25pt;visibility:visible" o:ole="">
            <v:imagedata r:id="rId47" o:title="" cropbottom="-20f"/>
            <o:lock v:ext="edit" aspectratio="f"/>
          </v:shape>
          <o:OLEObject Type="Embed" ProgID="Excel.Chart.8" ShapeID="Object 20" DrawAspect="Content" ObjectID="_1467645795" r:id="rId48"/>
        </w:object>
      </w:r>
    </w:p>
    <w:p w:rsidR="000938C1" w:rsidRPr="00CF1A14" w:rsidRDefault="000938C1" w:rsidP="00F85C67">
      <w:pPr>
        <w:jc w:val="both"/>
        <w:rPr>
          <w:color w:val="0070C0"/>
          <w:lang w:val="ru-RU"/>
        </w:rPr>
      </w:pPr>
    </w:p>
    <w:p w:rsidR="000938C1" w:rsidRPr="00187783" w:rsidRDefault="000938C1" w:rsidP="00F85C67">
      <w:pPr>
        <w:jc w:val="both"/>
        <w:rPr>
          <w:color w:val="0070C0"/>
          <w:lang w:val="en-US"/>
        </w:rPr>
      </w:pPr>
    </w:p>
    <w:p w:rsidR="000938C1" w:rsidRPr="00126B26" w:rsidRDefault="000938C1" w:rsidP="00F85C67">
      <w:pPr>
        <w:jc w:val="both"/>
        <w:rPr>
          <w:color w:val="0070C0"/>
          <w:lang w:val="en-US"/>
        </w:rPr>
      </w:pPr>
    </w:p>
    <w:p w:rsidR="000938C1" w:rsidRPr="00CF1A14" w:rsidRDefault="000938C1" w:rsidP="00F85C67">
      <w:pPr>
        <w:rPr>
          <w:color w:val="0070C0"/>
          <w:lang w:val="en-US"/>
        </w:rPr>
      </w:pPr>
    </w:p>
    <w:p w:rsidR="000938C1" w:rsidRPr="00CF1A14" w:rsidRDefault="000938C1" w:rsidP="00F85C67">
      <w:pPr>
        <w:rPr>
          <w:color w:val="0070C0"/>
          <w:lang w:val="en-US"/>
        </w:rPr>
      </w:pPr>
    </w:p>
    <w:p w:rsidR="000938C1" w:rsidRPr="00CF1A14" w:rsidRDefault="000938C1" w:rsidP="00F85C67">
      <w:pPr>
        <w:ind w:firstLine="540"/>
        <w:jc w:val="both"/>
        <w:rPr>
          <w:color w:val="0070C0"/>
          <w:sz w:val="12"/>
          <w:szCs w:val="12"/>
        </w:rPr>
      </w:pPr>
    </w:p>
    <w:p w:rsidR="000938C1" w:rsidRPr="001202CA" w:rsidRDefault="000938C1" w:rsidP="00F85C67">
      <w:pPr>
        <w:ind w:firstLine="540"/>
        <w:jc w:val="both"/>
      </w:pPr>
      <w:r w:rsidRPr="001202CA">
        <w:t>В този раздел на доклада е направен преглед на отчетените разходи за 201</w:t>
      </w:r>
      <w:r w:rsidRPr="002255D3">
        <w:rPr>
          <w:lang w:val="ru-RU"/>
        </w:rPr>
        <w:t>3</w:t>
      </w:r>
      <w:r w:rsidRPr="001202CA">
        <w:t xml:space="preserve"> г. по функции:</w:t>
      </w: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lang w:val="ru-RU"/>
        </w:rPr>
      </w:pPr>
    </w:p>
    <w:p w:rsidR="000938C1" w:rsidRPr="00CF1A14" w:rsidRDefault="000938C1" w:rsidP="00F85C67">
      <w:pPr>
        <w:ind w:firstLine="540"/>
        <w:rPr>
          <w:color w:val="0070C0"/>
          <w:sz w:val="8"/>
          <w:szCs w:val="8"/>
          <w:lang w:val="ru-RU"/>
        </w:rPr>
      </w:pPr>
    </w:p>
    <w:p w:rsidR="000938C1" w:rsidRPr="00CF1A14" w:rsidRDefault="000938C1" w:rsidP="00F85C67">
      <w:pPr>
        <w:ind w:firstLine="540"/>
        <w:rPr>
          <w:color w:val="0070C0"/>
          <w:sz w:val="8"/>
          <w:szCs w:val="8"/>
          <w:lang w:val="ru-RU"/>
        </w:rPr>
      </w:pPr>
    </w:p>
    <w:p w:rsidR="000938C1" w:rsidRPr="00CF1A14" w:rsidRDefault="000938C1" w:rsidP="00F85C67">
      <w:pPr>
        <w:ind w:firstLine="540"/>
        <w:rPr>
          <w:color w:val="0070C0"/>
          <w:sz w:val="8"/>
          <w:szCs w:val="8"/>
          <w:lang w:val="ru-RU"/>
        </w:rPr>
      </w:pPr>
    </w:p>
    <w:p w:rsidR="000938C1" w:rsidRPr="00CF1A14" w:rsidRDefault="000938C1" w:rsidP="00F85C67">
      <w:pPr>
        <w:ind w:firstLine="540"/>
        <w:rPr>
          <w:color w:val="0070C0"/>
          <w:sz w:val="8"/>
          <w:szCs w:val="8"/>
          <w:lang w:val="ru-RU"/>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CF1A14" w:rsidRDefault="000938C1" w:rsidP="00F85C67">
      <w:pPr>
        <w:ind w:firstLine="540"/>
        <w:rPr>
          <w:color w:val="0070C0"/>
          <w:sz w:val="8"/>
          <w:szCs w:val="8"/>
        </w:rPr>
      </w:pPr>
    </w:p>
    <w:p w:rsidR="000938C1" w:rsidRPr="00A45C25" w:rsidRDefault="000938C1" w:rsidP="00F30F79">
      <w:pPr>
        <w:pStyle w:val="Heading3"/>
        <w:numPr>
          <w:ilvl w:val="2"/>
          <w:numId w:val="72"/>
        </w:numPr>
        <w:rPr>
          <w:rFonts w:ascii="Times New Roman" w:hAnsi="Times New Roman"/>
          <w:sz w:val="24"/>
          <w:lang w:val="bg-BG"/>
        </w:rPr>
      </w:pPr>
      <w:bookmarkStart w:id="204" w:name="_Toc261276586"/>
      <w:bookmarkStart w:id="205" w:name="_Toc324863422"/>
      <w:bookmarkStart w:id="206" w:name="_Toc326315914"/>
      <w:bookmarkStart w:id="207" w:name="_Toc393728073"/>
      <w:r w:rsidRPr="00A45C25">
        <w:rPr>
          <w:rFonts w:ascii="Times New Roman" w:hAnsi="Times New Roman"/>
          <w:sz w:val="24"/>
          <w:lang w:val="bg-BG"/>
        </w:rPr>
        <w:t>Общи държавни служби</w:t>
      </w:r>
      <w:bookmarkEnd w:id="204"/>
      <w:bookmarkEnd w:id="205"/>
      <w:bookmarkEnd w:id="206"/>
      <w:bookmarkEnd w:id="207"/>
    </w:p>
    <w:p w:rsidR="000938C1" w:rsidRPr="00A45C25" w:rsidRDefault="000938C1" w:rsidP="00F85C67">
      <w:pPr>
        <w:tabs>
          <w:tab w:val="left" w:pos="900"/>
        </w:tabs>
        <w:autoSpaceDE w:val="0"/>
        <w:autoSpaceDN w:val="0"/>
        <w:adjustRightInd w:val="0"/>
        <w:spacing w:before="120"/>
        <w:ind w:firstLine="540"/>
        <w:jc w:val="both"/>
      </w:pPr>
      <w:r w:rsidRPr="00A45C25">
        <w:t>Функция „Общи държавни служби” отразява финансирането на публичната администрация – централна и местна. Общата сума на разходите по тази функция на консолидирана основа е 1</w:t>
      </w:r>
      <w:r>
        <w:t> 818,4</w:t>
      </w:r>
      <w:r w:rsidRPr="00A45C25">
        <w:t xml:space="preserve"> млн. лв. или 2</w:t>
      </w:r>
      <w:r>
        <w:t>,3</w:t>
      </w:r>
      <w:r w:rsidRPr="00A45C25">
        <w:t xml:space="preserve"> % от БВП.</w:t>
      </w:r>
    </w:p>
    <w:p w:rsidR="000938C1" w:rsidRPr="00AE0A9B" w:rsidRDefault="000938C1" w:rsidP="00F85C67">
      <w:pPr>
        <w:ind w:firstLine="8280"/>
        <w:rPr>
          <w:b/>
          <w:sz w:val="18"/>
          <w:szCs w:val="18"/>
        </w:rPr>
      </w:pPr>
      <w:r w:rsidRPr="00AE0A9B">
        <w:rPr>
          <w:b/>
          <w:sz w:val="18"/>
          <w:szCs w:val="18"/>
        </w:rPr>
        <w:t>(млн. лв.)</w:t>
      </w:r>
    </w:p>
    <w:tbl>
      <w:tblPr>
        <w:tblW w:w="9394" w:type="dxa"/>
        <w:tblInd w:w="-110" w:type="dxa"/>
        <w:tblLayout w:type="fixed"/>
        <w:tblCellMar>
          <w:left w:w="70" w:type="dxa"/>
          <w:right w:w="70" w:type="dxa"/>
        </w:tblCellMar>
        <w:tblLook w:val="0000"/>
      </w:tblPr>
      <w:tblGrid>
        <w:gridCol w:w="2874"/>
        <w:gridCol w:w="726"/>
        <w:gridCol w:w="720"/>
        <w:gridCol w:w="538"/>
        <w:gridCol w:w="567"/>
        <w:gridCol w:w="567"/>
        <w:gridCol w:w="851"/>
        <w:gridCol w:w="425"/>
        <w:gridCol w:w="1134"/>
        <w:gridCol w:w="992"/>
      </w:tblGrid>
      <w:tr w:rsidR="000938C1" w:rsidRPr="004E0E4A" w:rsidTr="00F85C67">
        <w:trPr>
          <w:trHeight w:val="495"/>
        </w:trPr>
        <w:tc>
          <w:tcPr>
            <w:tcW w:w="2874"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ОТЧЕТ 2013 г.</w:t>
            </w:r>
          </w:p>
        </w:tc>
        <w:tc>
          <w:tcPr>
            <w:tcW w:w="726"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КФП</w:t>
            </w:r>
          </w:p>
        </w:tc>
        <w:tc>
          <w:tcPr>
            <w:tcW w:w="720"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РБ</w:t>
            </w:r>
          </w:p>
        </w:tc>
        <w:tc>
          <w:tcPr>
            <w:tcW w:w="538"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ВУЗ</w:t>
            </w:r>
          </w:p>
        </w:tc>
        <w:tc>
          <w:tcPr>
            <w:tcW w:w="567"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БАН</w:t>
            </w:r>
          </w:p>
        </w:tc>
        <w:tc>
          <w:tcPr>
            <w:tcW w:w="567"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НС</w:t>
            </w:r>
          </w:p>
        </w:tc>
        <w:tc>
          <w:tcPr>
            <w:tcW w:w="851"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Общини</w:t>
            </w:r>
          </w:p>
        </w:tc>
        <w:tc>
          <w:tcPr>
            <w:tcW w:w="425"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ИБСФ</w:t>
            </w:r>
          </w:p>
        </w:tc>
        <w:tc>
          <w:tcPr>
            <w:tcW w:w="1134" w:type="dxa"/>
            <w:tcBorders>
              <w:top w:val="double" w:sz="6" w:space="0" w:color="800000"/>
              <w:left w:val="nil"/>
              <w:bottom w:val="double" w:sz="6" w:space="0" w:color="800000"/>
              <w:right w:val="nil"/>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Предприс. програми</w:t>
            </w:r>
          </w:p>
        </w:tc>
        <w:tc>
          <w:tcPr>
            <w:tcW w:w="992" w:type="dxa"/>
            <w:tcBorders>
              <w:top w:val="double" w:sz="6" w:space="0" w:color="800000"/>
              <w:left w:val="single" w:sz="4" w:space="0" w:color="FFFFFF"/>
              <w:bottom w:val="double" w:sz="6" w:space="0" w:color="800000"/>
              <w:right w:val="double" w:sz="6" w:space="0" w:color="800000"/>
            </w:tcBorders>
            <w:shd w:val="clear" w:color="auto" w:fill="800000"/>
          </w:tcPr>
          <w:p w:rsidR="000938C1" w:rsidRPr="00F85C67" w:rsidRDefault="000938C1" w:rsidP="009E1415">
            <w:pPr>
              <w:jc w:val="center"/>
              <w:rPr>
                <w:b/>
                <w:bCs/>
                <w:color w:val="FFFFFF"/>
                <w:sz w:val="18"/>
                <w:szCs w:val="18"/>
              </w:rPr>
            </w:pPr>
            <w:r w:rsidRPr="00F85C67">
              <w:rPr>
                <w:b/>
                <w:bCs/>
                <w:color w:val="FFFFFF"/>
                <w:sz w:val="18"/>
                <w:szCs w:val="18"/>
              </w:rPr>
              <w:t>Европ. средства</w:t>
            </w:r>
            <w:r w:rsidRPr="00F85C67">
              <w:rPr>
                <w:rStyle w:val="FootnoteReference"/>
                <w:b/>
                <w:bCs/>
                <w:color w:val="FFFFFF"/>
                <w:sz w:val="18"/>
                <w:szCs w:val="18"/>
              </w:rPr>
              <w:footnoteReference w:id="14"/>
            </w:r>
          </w:p>
        </w:tc>
      </w:tr>
      <w:tr w:rsidR="000938C1" w:rsidRPr="00CF1A14" w:rsidTr="00F85C67">
        <w:trPr>
          <w:trHeight w:val="288"/>
        </w:trPr>
        <w:tc>
          <w:tcPr>
            <w:tcW w:w="2874" w:type="dxa"/>
            <w:tcBorders>
              <w:top w:val="double" w:sz="6" w:space="0" w:color="800000"/>
              <w:left w:val="double" w:sz="6" w:space="0" w:color="800000"/>
              <w:bottom w:val="nil"/>
              <w:right w:val="single" w:sz="4" w:space="0" w:color="800000"/>
            </w:tcBorders>
            <w:shd w:val="clear" w:color="auto" w:fill="FFFFCC"/>
            <w:noWrap/>
            <w:vAlign w:val="bottom"/>
          </w:tcPr>
          <w:p w:rsidR="000938C1" w:rsidRPr="003A74E7" w:rsidRDefault="000938C1" w:rsidP="009E1415">
            <w:pPr>
              <w:rPr>
                <w:b/>
                <w:bCs/>
                <w:sz w:val="18"/>
                <w:szCs w:val="18"/>
              </w:rPr>
            </w:pPr>
            <w:r w:rsidRPr="003A74E7">
              <w:rPr>
                <w:b/>
                <w:bCs/>
                <w:sz w:val="18"/>
                <w:szCs w:val="18"/>
              </w:rPr>
              <w:t>I. ОБЩИ ДЪРЖАВНИ СЛУЖБИ</w:t>
            </w:r>
          </w:p>
        </w:tc>
        <w:tc>
          <w:tcPr>
            <w:tcW w:w="726"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1 818,4</w:t>
            </w:r>
          </w:p>
        </w:tc>
        <w:tc>
          <w:tcPr>
            <w:tcW w:w="720"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999,8</w:t>
            </w:r>
          </w:p>
        </w:tc>
        <w:tc>
          <w:tcPr>
            <w:tcW w:w="538"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11,8</w:t>
            </w:r>
          </w:p>
        </w:tc>
        <w:tc>
          <w:tcPr>
            <w:tcW w:w="567"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110,8</w:t>
            </w:r>
          </w:p>
        </w:tc>
        <w:tc>
          <w:tcPr>
            <w:tcW w:w="567"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20,7</w:t>
            </w:r>
          </w:p>
        </w:tc>
        <w:tc>
          <w:tcPr>
            <w:tcW w:w="851"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520,3</w:t>
            </w:r>
          </w:p>
        </w:tc>
        <w:tc>
          <w:tcPr>
            <w:tcW w:w="425"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1,6</w:t>
            </w:r>
          </w:p>
        </w:tc>
        <w:tc>
          <w:tcPr>
            <w:tcW w:w="1134"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10,7</w:t>
            </w:r>
          </w:p>
        </w:tc>
        <w:tc>
          <w:tcPr>
            <w:tcW w:w="992" w:type="dxa"/>
            <w:tcBorders>
              <w:top w:val="double" w:sz="6" w:space="0" w:color="800000"/>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142,7</w:t>
            </w:r>
          </w:p>
        </w:tc>
      </w:tr>
      <w:tr w:rsidR="000938C1" w:rsidRPr="00CF1A14" w:rsidTr="00F85C67">
        <w:trPr>
          <w:trHeight w:val="255"/>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rPr>
                <w:b/>
                <w:bCs/>
                <w:sz w:val="18"/>
                <w:szCs w:val="18"/>
              </w:rPr>
            </w:pPr>
            <w:r w:rsidRPr="003A74E7">
              <w:rPr>
                <w:b/>
                <w:bCs/>
                <w:sz w:val="18"/>
                <w:szCs w:val="18"/>
              </w:rPr>
              <w:t>А. ИЗПЪЛНИТЕЛНИ И ЗАКОНОДАТЕЛНИ ОРГАНИ</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1 558,2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874,6</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19,4</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520,2</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1,6</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10,5</w:t>
            </w:r>
          </w:p>
        </w:tc>
        <w:tc>
          <w:tcPr>
            <w:tcW w:w="992"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131,8</w:t>
            </w:r>
          </w:p>
        </w:tc>
      </w:tr>
      <w:tr w:rsidR="000938C1" w:rsidRPr="00CF1A14" w:rsidTr="00F85C67">
        <w:trPr>
          <w:trHeight w:val="80"/>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rPr>
                <w:sz w:val="18"/>
                <w:szCs w:val="18"/>
              </w:rPr>
            </w:pPr>
            <w:r w:rsidRPr="003A74E7">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1 458,2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824,6</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31,2</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488,2</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0,6</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10,5</w:t>
            </w:r>
          </w:p>
        </w:tc>
        <w:tc>
          <w:tcPr>
            <w:tcW w:w="992"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103,1</w:t>
            </w:r>
          </w:p>
        </w:tc>
      </w:tr>
      <w:tr w:rsidR="000938C1" w:rsidRPr="00CF1A14" w:rsidTr="00F85C67">
        <w:trPr>
          <w:trHeight w:val="112"/>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rPr>
                <w:sz w:val="18"/>
                <w:szCs w:val="18"/>
              </w:rPr>
            </w:pPr>
            <w:r w:rsidRPr="003A74E7">
              <w:rPr>
                <w:sz w:val="18"/>
                <w:szCs w:val="18"/>
              </w:rPr>
              <w:t xml:space="preserve">    Капиталови разходи</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100,0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50,0</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-11,8</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32,1</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1,0</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c>
          <w:tcPr>
            <w:tcW w:w="992"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28,7</w:t>
            </w:r>
          </w:p>
        </w:tc>
      </w:tr>
      <w:tr w:rsidR="000938C1" w:rsidRPr="00CF1A14" w:rsidTr="00F85C67">
        <w:trPr>
          <w:trHeight w:val="206"/>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rPr>
                <w:b/>
                <w:bCs/>
                <w:sz w:val="18"/>
                <w:szCs w:val="18"/>
              </w:rPr>
            </w:pPr>
            <w:r w:rsidRPr="003A74E7">
              <w:rPr>
                <w:b/>
                <w:bCs/>
                <w:sz w:val="18"/>
                <w:szCs w:val="18"/>
              </w:rPr>
              <w:t>Б. ОБЩИ СЛУЖБИ</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78,0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71,2</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0,7</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0,1</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0,2</w:t>
            </w:r>
          </w:p>
        </w:tc>
        <w:tc>
          <w:tcPr>
            <w:tcW w:w="992"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5,8</w:t>
            </w:r>
          </w:p>
        </w:tc>
      </w:tr>
      <w:tr w:rsidR="000938C1" w:rsidRPr="00CF1A14" w:rsidTr="00F85C67">
        <w:trPr>
          <w:trHeight w:val="134"/>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rPr>
                <w:sz w:val="18"/>
                <w:szCs w:val="18"/>
              </w:rPr>
            </w:pPr>
            <w:r w:rsidRPr="003A74E7">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58,2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51,4</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0,7</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0,2</w:t>
            </w:r>
          </w:p>
        </w:tc>
        <w:tc>
          <w:tcPr>
            <w:tcW w:w="992"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5,8</w:t>
            </w:r>
          </w:p>
        </w:tc>
      </w:tr>
      <w:tr w:rsidR="000938C1" w:rsidRPr="00CF1A14" w:rsidTr="00F85C67">
        <w:trPr>
          <w:trHeight w:val="80"/>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rPr>
                <w:sz w:val="18"/>
                <w:szCs w:val="18"/>
              </w:rPr>
            </w:pPr>
            <w:r w:rsidRPr="003A74E7">
              <w:rPr>
                <w:sz w:val="18"/>
                <w:szCs w:val="18"/>
              </w:rPr>
              <w:t xml:space="preserve">    Капиталови разходи</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19,7</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19,7</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p>
        </w:tc>
        <w:tc>
          <w:tcPr>
            <w:tcW w:w="992"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0,0</w:t>
            </w:r>
          </w:p>
        </w:tc>
      </w:tr>
      <w:tr w:rsidR="000938C1" w:rsidRPr="00CF1A14" w:rsidTr="00F85C67">
        <w:trPr>
          <w:trHeight w:val="80"/>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jc w:val="center"/>
              <w:rPr>
                <w:sz w:val="18"/>
                <w:szCs w:val="18"/>
              </w:rPr>
            </w:pPr>
            <w:r w:rsidRPr="003A74E7">
              <w:rPr>
                <w:sz w:val="18"/>
                <w:szCs w:val="18"/>
              </w:rPr>
              <w:t>в т.ч. прираст на държавния резерв</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17,2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17,2</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92"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r>
      <w:tr w:rsidR="000938C1" w:rsidRPr="00CF1A14" w:rsidTr="00F85C67">
        <w:trPr>
          <w:trHeight w:val="198"/>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rPr>
                <w:b/>
                <w:bCs/>
                <w:sz w:val="18"/>
                <w:szCs w:val="18"/>
              </w:rPr>
            </w:pPr>
            <w:r w:rsidRPr="003A74E7">
              <w:rPr>
                <w:b/>
                <w:bCs/>
                <w:sz w:val="18"/>
                <w:szCs w:val="18"/>
              </w:rPr>
              <w:t>В. НАУКА</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182,2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54,0</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11,8</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110,8</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0,6</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992"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5,0</w:t>
            </w:r>
          </w:p>
        </w:tc>
      </w:tr>
      <w:tr w:rsidR="000938C1" w:rsidRPr="00CF1A14" w:rsidTr="00F85C67">
        <w:trPr>
          <w:trHeight w:val="80"/>
        </w:trPr>
        <w:tc>
          <w:tcPr>
            <w:tcW w:w="2874" w:type="dxa"/>
            <w:tcBorders>
              <w:top w:val="nil"/>
              <w:left w:val="double" w:sz="6" w:space="0" w:color="800000"/>
              <w:bottom w:val="nil"/>
              <w:right w:val="single" w:sz="4" w:space="0" w:color="800000"/>
            </w:tcBorders>
            <w:shd w:val="clear" w:color="auto" w:fill="FFFFCC"/>
            <w:noWrap/>
            <w:vAlign w:val="bottom"/>
          </w:tcPr>
          <w:p w:rsidR="000938C1" w:rsidRPr="003A74E7" w:rsidRDefault="000938C1" w:rsidP="009E1415">
            <w:pPr>
              <w:rPr>
                <w:sz w:val="18"/>
                <w:szCs w:val="18"/>
              </w:rPr>
            </w:pPr>
            <w:r w:rsidRPr="003A74E7">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167,0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52,5</w:t>
            </w:r>
          </w:p>
        </w:tc>
        <w:tc>
          <w:tcPr>
            <w:tcW w:w="538"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6,8</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103,0</w:t>
            </w:r>
          </w:p>
        </w:tc>
        <w:tc>
          <w:tcPr>
            <w:tcW w:w="56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0,6</w:t>
            </w:r>
          </w:p>
        </w:tc>
        <w:tc>
          <w:tcPr>
            <w:tcW w:w="85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92"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4,1</w:t>
            </w:r>
          </w:p>
        </w:tc>
      </w:tr>
      <w:tr w:rsidR="000938C1" w:rsidRPr="00CF1A14" w:rsidTr="00F85C67">
        <w:trPr>
          <w:trHeight w:val="80"/>
        </w:trPr>
        <w:tc>
          <w:tcPr>
            <w:tcW w:w="2874" w:type="dxa"/>
            <w:tcBorders>
              <w:top w:val="nil"/>
              <w:left w:val="double" w:sz="6" w:space="0" w:color="800000"/>
              <w:bottom w:val="double" w:sz="6" w:space="0" w:color="800000"/>
              <w:right w:val="single" w:sz="4" w:space="0" w:color="800000"/>
            </w:tcBorders>
            <w:shd w:val="clear" w:color="auto" w:fill="FFFFCC"/>
            <w:noWrap/>
            <w:vAlign w:val="bottom"/>
          </w:tcPr>
          <w:p w:rsidR="000938C1" w:rsidRPr="003A74E7" w:rsidRDefault="000938C1" w:rsidP="009E1415">
            <w:pPr>
              <w:rPr>
                <w:sz w:val="18"/>
                <w:szCs w:val="18"/>
              </w:rPr>
            </w:pPr>
            <w:r w:rsidRPr="003A74E7">
              <w:rPr>
                <w:sz w:val="18"/>
                <w:szCs w:val="18"/>
              </w:rPr>
              <w:t xml:space="preserve">    Капиталови разходи</w:t>
            </w:r>
          </w:p>
        </w:tc>
        <w:tc>
          <w:tcPr>
            <w:tcW w:w="726"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15,2</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1,5</w:t>
            </w:r>
          </w:p>
        </w:tc>
        <w:tc>
          <w:tcPr>
            <w:tcW w:w="538"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5,0</w:t>
            </w:r>
          </w:p>
        </w:tc>
        <w:tc>
          <w:tcPr>
            <w:tcW w:w="567"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7,8</w:t>
            </w:r>
          </w:p>
        </w:tc>
        <w:tc>
          <w:tcPr>
            <w:tcW w:w="567"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1"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425"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1134"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92" w:type="dxa"/>
            <w:tcBorders>
              <w:top w:val="nil"/>
              <w:left w:val="nil"/>
              <w:bottom w:val="double" w:sz="6" w:space="0" w:color="800000"/>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0,9</w:t>
            </w:r>
          </w:p>
        </w:tc>
      </w:tr>
    </w:tbl>
    <w:p w:rsidR="000938C1" w:rsidRPr="00CF1A14" w:rsidRDefault="000938C1" w:rsidP="00F85C67">
      <w:pPr>
        <w:ind w:firstLine="540"/>
        <w:rPr>
          <w:b/>
          <w:color w:val="0070C0"/>
          <w:lang w:val="en-US"/>
        </w:rPr>
      </w:pPr>
    </w:p>
    <w:p w:rsidR="000938C1" w:rsidRPr="007E7616" w:rsidRDefault="000938C1" w:rsidP="00F85C67">
      <w:pPr>
        <w:ind w:firstLine="540"/>
      </w:pPr>
      <w:r w:rsidRPr="007E7616">
        <w:rPr>
          <w:b/>
        </w:rPr>
        <w:t xml:space="preserve">Група А: </w:t>
      </w:r>
      <w:r w:rsidRPr="007E7616">
        <w:rPr>
          <w:b/>
          <w:i/>
        </w:rPr>
        <w:t>„Изпълнителни и законодателни органи”</w:t>
      </w:r>
    </w:p>
    <w:p w:rsidR="000938C1" w:rsidRPr="00EE2ADB" w:rsidRDefault="000938C1" w:rsidP="00F85C67">
      <w:pPr>
        <w:ind w:firstLine="540"/>
        <w:jc w:val="both"/>
      </w:pPr>
      <w:r w:rsidRPr="007E7616">
        <w:t xml:space="preserve">В тази група се включват разходите, извършени за финансовото обезпечаване на основните функции на Администрацията на президента, Народното събрание, правителството, както и дейностите на централната и местна администрация, държавните и изпълнителните агенции, търговските служби, посолствата и консулствата в чужбина и други </w:t>
      </w:r>
      <w:r w:rsidRPr="00EE2ADB">
        <w:t xml:space="preserve">новосъздадени администрации. </w:t>
      </w:r>
    </w:p>
    <w:p w:rsidR="000938C1" w:rsidRPr="00CF1A14" w:rsidRDefault="000938C1" w:rsidP="00F85C67">
      <w:pPr>
        <w:ind w:firstLine="540"/>
        <w:jc w:val="both"/>
        <w:rPr>
          <w:color w:val="0070C0"/>
        </w:rPr>
      </w:pPr>
      <w:r w:rsidRPr="00EE2ADB">
        <w:t>Общата сума на разходите на консолидирана основа за тази група е 1 558,</w:t>
      </w:r>
      <w:r>
        <w:rPr>
          <w:lang w:val="en-US"/>
        </w:rPr>
        <w:t>2</w:t>
      </w:r>
      <w:r w:rsidRPr="00EE2ADB">
        <w:t xml:space="preserve"> млн. лв., което представлява 93,1 % от предвидените в разчетите към ЗДБРБ за 2013 г. разходи за група „Изпълнителни и законодателни органи”. В структурно отношение преобладават текущите разходи по бюджетите на министерствата,  ведомствата и общините, което се обуславя от спецификата на функцията и групата. Капиталовите разходи в тази група са в размер на 100,0 млн. лв. или 55,9 % от разчета. </w:t>
      </w:r>
    </w:p>
    <w:p w:rsidR="000938C1" w:rsidRPr="00EE2ADB" w:rsidRDefault="000938C1" w:rsidP="00F85C67">
      <w:pPr>
        <w:ind w:firstLine="540"/>
        <w:jc w:val="both"/>
      </w:pPr>
      <w:r w:rsidRPr="00EE2ADB">
        <w:t>Средствата в групата са за реализиране на следните стратегически цели и приоритетни политики:</w:t>
      </w:r>
    </w:p>
    <w:p w:rsidR="000938C1" w:rsidRPr="00EE2ADB" w:rsidRDefault="000938C1" w:rsidP="00F30F79">
      <w:pPr>
        <w:numPr>
          <w:ilvl w:val="0"/>
          <w:numId w:val="10"/>
        </w:numPr>
        <w:tabs>
          <w:tab w:val="clear" w:pos="720"/>
          <w:tab w:val="num" w:pos="540"/>
          <w:tab w:val="left" w:pos="900"/>
        </w:tabs>
        <w:ind w:left="540"/>
        <w:jc w:val="both"/>
        <w:rPr>
          <w:iCs/>
        </w:rPr>
      </w:pPr>
      <w:r w:rsidRPr="00EE2ADB">
        <w:rPr>
          <w:iCs/>
        </w:rPr>
        <w:t>Защита и реализация на националните интереси на Република България чрез активно и адекватно участие в международните отношения;</w:t>
      </w:r>
    </w:p>
    <w:p w:rsidR="000938C1" w:rsidRPr="00EE2ADB" w:rsidRDefault="000938C1" w:rsidP="00F30F79">
      <w:pPr>
        <w:numPr>
          <w:ilvl w:val="0"/>
          <w:numId w:val="10"/>
        </w:numPr>
        <w:tabs>
          <w:tab w:val="clear" w:pos="720"/>
          <w:tab w:val="num" w:pos="540"/>
          <w:tab w:val="left" w:pos="900"/>
        </w:tabs>
        <w:ind w:left="540"/>
        <w:jc w:val="both"/>
        <w:rPr>
          <w:iCs/>
        </w:rPr>
      </w:pPr>
      <w:r w:rsidRPr="00EE2ADB">
        <w:rPr>
          <w:iCs/>
        </w:rPr>
        <w:t>Определяне и осъществяване на вътрешната и външната политика на Република България в съответствие с приоритетите на правителството;</w:t>
      </w:r>
    </w:p>
    <w:p w:rsidR="000938C1" w:rsidRPr="00EE2ADB" w:rsidRDefault="000938C1" w:rsidP="00F30F79">
      <w:pPr>
        <w:numPr>
          <w:ilvl w:val="0"/>
          <w:numId w:val="10"/>
        </w:numPr>
        <w:tabs>
          <w:tab w:val="clear" w:pos="720"/>
          <w:tab w:val="num" w:pos="540"/>
          <w:tab w:val="left" w:pos="900"/>
        </w:tabs>
        <w:ind w:left="540"/>
        <w:jc w:val="both"/>
        <w:rPr>
          <w:iCs/>
        </w:rPr>
      </w:pPr>
      <w:r w:rsidRPr="00EE2ADB">
        <w:rPr>
          <w:iCs/>
        </w:rPr>
        <w:t xml:space="preserve">Изпълнение на ангажиментите, произтичащи от членството на Република България в  Европейския съюз, Организацията на Северноатлантическия договор </w:t>
      </w:r>
      <w:r w:rsidRPr="00EE2ADB">
        <w:rPr>
          <w:iCs/>
          <w:lang w:val="ru-RU"/>
        </w:rPr>
        <w:t>(</w:t>
      </w:r>
      <w:r w:rsidRPr="00EE2ADB">
        <w:rPr>
          <w:iCs/>
        </w:rPr>
        <w:t>НАТО</w:t>
      </w:r>
      <w:r w:rsidRPr="00EE2ADB">
        <w:rPr>
          <w:iCs/>
          <w:lang w:val="ru-RU"/>
        </w:rPr>
        <w:t>)</w:t>
      </w:r>
      <w:r w:rsidRPr="00EE2ADB">
        <w:rPr>
          <w:iCs/>
        </w:rPr>
        <w:t>, ООН и други международни правителствени организации;</w:t>
      </w:r>
    </w:p>
    <w:p w:rsidR="000938C1" w:rsidRPr="00EE2ADB" w:rsidRDefault="000938C1" w:rsidP="00F30F79">
      <w:pPr>
        <w:numPr>
          <w:ilvl w:val="0"/>
          <w:numId w:val="10"/>
        </w:numPr>
        <w:tabs>
          <w:tab w:val="clear" w:pos="720"/>
          <w:tab w:val="num" w:pos="540"/>
          <w:tab w:val="left" w:pos="900"/>
        </w:tabs>
        <w:ind w:left="540"/>
        <w:jc w:val="both"/>
        <w:rPr>
          <w:iCs/>
        </w:rPr>
      </w:pPr>
      <w:r w:rsidRPr="00EE2ADB">
        <w:rPr>
          <w:iCs/>
        </w:rPr>
        <w:t>Събиране на приходите при висока ефективност и ефикасност и стимулиране на доброволното изпълнение;</w:t>
      </w:r>
    </w:p>
    <w:p w:rsidR="000938C1" w:rsidRPr="00EE2ADB" w:rsidRDefault="000938C1" w:rsidP="00F30F79">
      <w:pPr>
        <w:numPr>
          <w:ilvl w:val="0"/>
          <w:numId w:val="10"/>
        </w:numPr>
        <w:tabs>
          <w:tab w:val="clear" w:pos="720"/>
          <w:tab w:val="num" w:pos="540"/>
          <w:tab w:val="left" w:pos="900"/>
        </w:tabs>
        <w:ind w:left="540"/>
        <w:jc w:val="both"/>
        <w:rPr>
          <w:iCs/>
        </w:rPr>
      </w:pPr>
      <w:r w:rsidRPr="00EE2ADB">
        <w:rPr>
          <w:iCs/>
        </w:rPr>
        <w:t>Гарантиране на правовия ред в страната, борба с престъпността и ограничаване на корупцията;</w:t>
      </w:r>
    </w:p>
    <w:p w:rsidR="000938C1" w:rsidRPr="00EE2ADB" w:rsidRDefault="000938C1" w:rsidP="00F30F79">
      <w:pPr>
        <w:numPr>
          <w:ilvl w:val="0"/>
          <w:numId w:val="10"/>
        </w:numPr>
        <w:tabs>
          <w:tab w:val="clear" w:pos="720"/>
          <w:tab w:val="num" w:pos="540"/>
          <w:tab w:val="left" w:pos="900"/>
        </w:tabs>
        <w:ind w:left="540"/>
        <w:jc w:val="both"/>
        <w:rPr>
          <w:iCs/>
        </w:rPr>
      </w:pPr>
      <w:r w:rsidRPr="00EE2ADB">
        <w:rPr>
          <w:iCs/>
        </w:rPr>
        <w:t>Запазване на макроикономическата стабилност, преодоляване на последиците от глобалната финансова и икономическа криза и възстановяване на българската икономика;</w:t>
      </w:r>
    </w:p>
    <w:p w:rsidR="000938C1" w:rsidRPr="00E90630" w:rsidRDefault="000938C1" w:rsidP="00F30F79">
      <w:pPr>
        <w:numPr>
          <w:ilvl w:val="0"/>
          <w:numId w:val="10"/>
        </w:numPr>
        <w:tabs>
          <w:tab w:val="clear" w:pos="720"/>
          <w:tab w:val="num" w:pos="540"/>
          <w:tab w:val="left" w:pos="900"/>
        </w:tabs>
        <w:ind w:left="540"/>
        <w:jc w:val="both"/>
        <w:rPr>
          <w:iCs/>
        </w:rPr>
      </w:pPr>
      <w:r w:rsidRPr="00EE2ADB">
        <w:rPr>
          <w:iCs/>
        </w:rPr>
        <w:t>Осъществяване на стратегията за усъвършенстване на данъчната система, осигуряваща повишаване събираемостта на данъците;</w:t>
      </w:r>
    </w:p>
    <w:p w:rsidR="000938C1" w:rsidRPr="00EE2ADB" w:rsidRDefault="000938C1" w:rsidP="00F30F79">
      <w:pPr>
        <w:numPr>
          <w:ilvl w:val="0"/>
          <w:numId w:val="10"/>
        </w:numPr>
        <w:tabs>
          <w:tab w:val="clear" w:pos="720"/>
          <w:tab w:val="num" w:pos="540"/>
          <w:tab w:val="left" w:pos="900"/>
        </w:tabs>
        <w:ind w:left="540"/>
        <w:jc w:val="both"/>
        <w:rPr>
          <w:iCs/>
        </w:rPr>
      </w:pPr>
      <w:r w:rsidRPr="00EE2ADB">
        <w:rPr>
          <w:iCs/>
        </w:rPr>
        <w:t>Провеждане на държавната митническа политика и координиране на връзките с международни организации по проблемите на митата и митническия контрол.</w:t>
      </w:r>
    </w:p>
    <w:p w:rsidR="000938C1" w:rsidRPr="00CF1A14" w:rsidRDefault="000938C1" w:rsidP="00F85C67">
      <w:pPr>
        <w:spacing w:before="120" w:after="120"/>
        <w:ind w:firstLine="540"/>
        <w:jc w:val="both"/>
        <w:rPr>
          <w:color w:val="0070C0"/>
        </w:rPr>
      </w:pPr>
      <w:r w:rsidRPr="00824E3F">
        <w:t>С</w:t>
      </w:r>
      <w:r>
        <w:t xml:space="preserve"> </w:t>
      </w:r>
      <w:r w:rsidRPr="00824E3F">
        <w:t>разчетите към ЗДБРБ за 201</w:t>
      </w:r>
      <w:r w:rsidRPr="00824E3F">
        <w:rPr>
          <w:lang w:val="ru-RU"/>
        </w:rPr>
        <w:t>3</w:t>
      </w:r>
      <w:r w:rsidRPr="00824E3F">
        <w:t xml:space="preserve"> г. по група „Изпълнителни и законодателни органи” </w:t>
      </w:r>
      <w:r w:rsidRPr="00E30B53">
        <w:rPr>
          <w:b/>
        </w:rPr>
        <w:t>за министерствата и ведомствата</w:t>
      </w:r>
      <w:r w:rsidRPr="000C3BD5">
        <w:t xml:space="preserve"> са утвърдени средства в размер на </w:t>
      </w:r>
      <w:r w:rsidRPr="000C3BD5">
        <w:rPr>
          <w:lang w:val="ru-RU"/>
        </w:rPr>
        <w:t>613</w:t>
      </w:r>
      <w:r>
        <w:rPr>
          <w:lang w:val="ru-RU"/>
        </w:rPr>
        <w:t>,</w:t>
      </w:r>
      <w:r w:rsidRPr="000C3BD5">
        <w:rPr>
          <w:lang w:val="ru-RU"/>
        </w:rPr>
        <w:t>9</w:t>
      </w:r>
      <w:r w:rsidRPr="000C3BD5">
        <w:t xml:space="preserve"> млн. лв. В хода на изпълнението на бюджета, на основание чл. 34, ал. 1, 2 и 3 и чл. 35, ал. 2 и 5 от Закона </w:t>
      </w:r>
      <w:r w:rsidRPr="00824E3F">
        <w:t>за устройството на държавния бюджет, на министерствата и ведомствата по група „Изпълнителни и законодателни органи” са осигурени допълнителни средства в размер на 215,4 млн. лв. Отчетените разходи за годината са 805,2 млн. лв. С извършените разходи през 2013 г. са постигнати следните резултати:</w:t>
      </w:r>
    </w:p>
    <w:p w:rsidR="000938C1" w:rsidRDefault="000938C1" w:rsidP="00F30F79">
      <w:pPr>
        <w:numPr>
          <w:ilvl w:val="0"/>
          <w:numId w:val="44"/>
        </w:numPr>
        <w:tabs>
          <w:tab w:val="left" w:pos="900"/>
        </w:tabs>
        <w:ind w:left="714" w:hanging="357"/>
        <w:jc w:val="both"/>
        <w:rPr>
          <w:iCs/>
        </w:rPr>
      </w:pPr>
      <w:r w:rsidRPr="00824E3F">
        <w:rPr>
          <w:iCs/>
        </w:rPr>
        <w:t>Ефективно събиране и превеждане на приходите от данъци и осигурителни вноски към републиканския бюджет, бюджетите на Националния осигурителен институт и Националната здравноосигурителна каса, както и на осигурителните вноски за допълнителното задължително пенсионно осигуряване;</w:t>
      </w:r>
    </w:p>
    <w:p w:rsidR="000938C1" w:rsidRPr="00824E3F" w:rsidRDefault="000938C1" w:rsidP="00F30F79">
      <w:pPr>
        <w:numPr>
          <w:ilvl w:val="0"/>
          <w:numId w:val="44"/>
        </w:numPr>
        <w:tabs>
          <w:tab w:val="left" w:pos="900"/>
        </w:tabs>
        <w:jc w:val="both"/>
        <w:rPr>
          <w:iCs/>
        </w:rPr>
      </w:pPr>
      <w:r w:rsidRPr="00824E3F">
        <w:rPr>
          <w:iCs/>
        </w:rPr>
        <w:t>Подобряване на митническия контрол, повишаване на ефективността в борбата с митническите и валутни нарушения, контрабандата и незаконния трафик на наркотични вещества, прекурсори и оръжия, изделия и технологии с двойна употреба и защита на права върху интелектуалната собственост; участието на Българската митническа администрация по програма “Митници 2013” на Европейската комисия;</w:t>
      </w:r>
    </w:p>
    <w:p w:rsidR="000938C1" w:rsidRPr="00824E3F" w:rsidRDefault="000938C1" w:rsidP="00F30F79">
      <w:pPr>
        <w:numPr>
          <w:ilvl w:val="0"/>
          <w:numId w:val="44"/>
        </w:numPr>
        <w:tabs>
          <w:tab w:val="left" w:pos="900"/>
        </w:tabs>
        <w:jc w:val="both"/>
        <w:rPr>
          <w:iCs/>
        </w:rPr>
      </w:pPr>
      <w:r w:rsidRPr="00824E3F">
        <w:rPr>
          <w:iCs/>
        </w:rPr>
        <w:t>Ефективно събиране и превеждане на приходите от акцизи в републиканския бюджет;</w:t>
      </w:r>
    </w:p>
    <w:p w:rsidR="000938C1" w:rsidRPr="00824E3F" w:rsidRDefault="000938C1" w:rsidP="00F30F79">
      <w:pPr>
        <w:numPr>
          <w:ilvl w:val="0"/>
          <w:numId w:val="44"/>
        </w:numPr>
        <w:tabs>
          <w:tab w:val="left" w:pos="900"/>
        </w:tabs>
        <w:jc w:val="both"/>
        <w:rPr>
          <w:iCs/>
        </w:rPr>
      </w:pPr>
      <w:r w:rsidRPr="00824E3F">
        <w:rPr>
          <w:iCs/>
        </w:rPr>
        <w:t>Внедрена е в реална експлоатация Информационната система на Агенция „Митници“ (Българска акцизна централизирана информационна система (БАЦИС)) и Информационната система „Контрол на горивата“ на Националната агенция за приходите, с която е автоматизиран процесът по обмен на информация между двете приходни агенции и контролът на цялостната верига при реализацията на акцизни стоки;</w:t>
      </w:r>
    </w:p>
    <w:p w:rsidR="000938C1" w:rsidRPr="00824E3F" w:rsidRDefault="000938C1" w:rsidP="00F30F79">
      <w:pPr>
        <w:numPr>
          <w:ilvl w:val="0"/>
          <w:numId w:val="44"/>
        </w:numPr>
        <w:tabs>
          <w:tab w:val="left" w:pos="900"/>
        </w:tabs>
        <w:jc w:val="both"/>
        <w:rPr>
          <w:iCs/>
        </w:rPr>
      </w:pPr>
      <w:r w:rsidRPr="00824E3F">
        <w:rPr>
          <w:iCs/>
        </w:rPr>
        <w:t xml:space="preserve">Компенсиране на разходи, извършени от „НЕК“ ЕАД в качеството </w:t>
      </w:r>
      <w:r w:rsidRPr="0041625A">
        <w:rPr>
          <w:rFonts w:ascii="Tahoma" w:hAnsi="Tahoma" w:cs="Tahoma"/>
          <w:iCs/>
        </w:rPr>
        <w:t>ѝ</w:t>
      </w:r>
      <w:r w:rsidRPr="00824E3F">
        <w:rPr>
          <w:iCs/>
        </w:rPr>
        <w:t xml:space="preserve"> на обществен доставчик на електрическа енергия от възобновяеми източници по преференциални цени с оглед поевтиняване на цената на електроенергията за крайния потребител.</w:t>
      </w:r>
    </w:p>
    <w:p w:rsidR="000938C1" w:rsidRPr="00824E3F" w:rsidRDefault="000938C1" w:rsidP="00F30F79">
      <w:pPr>
        <w:numPr>
          <w:ilvl w:val="0"/>
          <w:numId w:val="44"/>
        </w:numPr>
        <w:tabs>
          <w:tab w:val="left" w:pos="900"/>
        </w:tabs>
        <w:jc w:val="both"/>
        <w:rPr>
          <w:iCs/>
        </w:rPr>
      </w:pPr>
      <w:r w:rsidRPr="00824E3F">
        <w:rPr>
          <w:iCs/>
        </w:rPr>
        <w:t>Реализиране на дейности свързани със създаването на благоприятни условия за устойчиво балансирано регионално развитие и дейности за създаването на условия за ефективен инвестиционен процес в сферата на благоустрояването;</w:t>
      </w:r>
    </w:p>
    <w:p w:rsidR="000938C1" w:rsidRPr="00824E3F" w:rsidRDefault="000938C1" w:rsidP="00F30F79">
      <w:pPr>
        <w:numPr>
          <w:ilvl w:val="0"/>
          <w:numId w:val="44"/>
        </w:numPr>
        <w:tabs>
          <w:tab w:val="left" w:pos="900"/>
        </w:tabs>
        <w:jc w:val="both"/>
        <w:rPr>
          <w:iCs/>
        </w:rPr>
      </w:pPr>
      <w:r>
        <w:rPr>
          <w:iCs/>
        </w:rPr>
        <w:t>В</w:t>
      </w:r>
      <w:r w:rsidRPr="00824E3F">
        <w:rPr>
          <w:iCs/>
        </w:rPr>
        <w:t xml:space="preserve"> изпълнение на ПМС № 67 от 2013 г. за приемане на план-сметка за разходите по подготовката и произвеждането на избори за народни представители през 2013 г.;</w:t>
      </w:r>
    </w:p>
    <w:p w:rsidR="000938C1" w:rsidRPr="00824E3F" w:rsidRDefault="000938C1" w:rsidP="00F30F79">
      <w:pPr>
        <w:numPr>
          <w:ilvl w:val="0"/>
          <w:numId w:val="44"/>
        </w:numPr>
        <w:tabs>
          <w:tab w:val="left" w:pos="900"/>
        </w:tabs>
        <w:jc w:val="both"/>
        <w:rPr>
          <w:iCs/>
        </w:rPr>
      </w:pPr>
      <w:r w:rsidRPr="00824E3F">
        <w:rPr>
          <w:iCs/>
        </w:rPr>
        <w:t>Предоставяне на софтуерна осигуровка за програмни продукти на Майкрософт с придобит лиценз с безсрочно право на ползване за нуждите на държавната администрация, за изпълнение на договор за изграждане на оптично-кабелни трасета, за изплащане на задължения към доставчици и за доставка на апаратура и консумативи;</w:t>
      </w:r>
    </w:p>
    <w:p w:rsidR="000938C1" w:rsidRPr="002909E4" w:rsidRDefault="000938C1" w:rsidP="00F30F79">
      <w:pPr>
        <w:numPr>
          <w:ilvl w:val="0"/>
          <w:numId w:val="44"/>
        </w:numPr>
        <w:tabs>
          <w:tab w:val="left" w:pos="900"/>
        </w:tabs>
        <w:spacing w:after="120"/>
        <w:jc w:val="both"/>
        <w:rPr>
          <w:iCs/>
        </w:rPr>
      </w:pPr>
      <w:r w:rsidRPr="00824E3F">
        <w:rPr>
          <w:iCs/>
        </w:rPr>
        <w:t xml:space="preserve">Осигуряване на необходимия финансов ресурс за работни заплати, социални осигуровки и средства за издръжка за нормалното функциониране на държавната </w:t>
      </w:r>
      <w:r w:rsidRPr="002909E4">
        <w:rPr>
          <w:iCs/>
        </w:rPr>
        <w:t>администрация.</w:t>
      </w:r>
    </w:p>
    <w:p w:rsidR="000938C1" w:rsidRPr="00FD1735" w:rsidRDefault="000938C1" w:rsidP="00F85C67">
      <w:pPr>
        <w:spacing w:after="120"/>
        <w:ind w:firstLine="540"/>
        <w:jc w:val="both"/>
      </w:pPr>
      <w:r w:rsidRPr="002909E4">
        <w:t xml:space="preserve">С разчетите към ЗДБРБ за 2013 г. за група “Изпълнителни и законодателни органи” </w:t>
      </w:r>
      <w:r w:rsidRPr="002909E4">
        <w:rPr>
          <w:b/>
        </w:rPr>
        <w:t>за общинските бюджети</w:t>
      </w:r>
      <w:r w:rsidRPr="002909E4">
        <w:t xml:space="preserve"> са предвидени общо средства в размер на 422,3 млн. лв. </w:t>
      </w:r>
      <w:r w:rsidRPr="00FD1735">
        <w:t>Отчетените разходи за годината са в размер на 520,</w:t>
      </w:r>
      <w:r>
        <w:rPr>
          <w:lang w:val="en-US"/>
        </w:rPr>
        <w:t>2</w:t>
      </w:r>
      <w:r w:rsidRPr="00FD1735">
        <w:t xml:space="preserve"> млн. лв., което превишава с </w:t>
      </w:r>
      <w:r>
        <w:rPr>
          <w:lang w:val="en-US"/>
        </w:rPr>
        <w:t>97</w:t>
      </w:r>
      <w:r>
        <w:t>,</w:t>
      </w:r>
      <w:r>
        <w:rPr>
          <w:lang w:val="en-US"/>
        </w:rPr>
        <w:t>9</w:t>
      </w:r>
      <w:r w:rsidRPr="00FD1735">
        <w:t xml:space="preserve"> млн. лв. разчетите към ЗДБРБ за 2013 г. Отчетените </w:t>
      </w:r>
      <w:r w:rsidRPr="00FD1735">
        <w:rPr>
          <w:i/>
        </w:rPr>
        <w:t>текущи разходи</w:t>
      </w:r>
      <w:r w:rsidRPr="00FD1735">
        <w:t xml:space="preserve"> по общинските бюджети за група „Изпълнителни и законодателни органи” са в размер на 488,</w:t>
      </w:r>
      <w:r>
        <w:t>2</w:t>
      </w:r>
      <w:r w:rsidRPr="00FD1735">
        <w:t xml:space="preserve"> млн. лв., което е 120,5 % спрямо разчетените със закона (с 83,</w:t>
      </w:r>
      <w:r>
        <w:t>1</w:t>
      </w:r>
      <w:r w:rsidRPr="00FD1735">
        <w:t xml:space="preserve"> млн. лв. повече от годишния разчет) и </w:t>
      </w:r>
      <w:r>
        <w:t>105,6</w:t>
      </w:r>
      <w:r w:rsidRPr="00FD1735">
        <w:t xml:space="preserve"> % спрямо 2012 г.</w:t>
      </w:r>
      <w:r>
        <w:t xml:space="preserve"> </w:t>
      </w:r>
      <w:r w:rsidRPr="00FD1735">
        <w:t xml:space="preserve">Отчетените </w:t>
      </w:r>
      <w:r w:rsidRPr="00FD1735">
        <w:rPr>
          <w:i/>
        </w:rPr>
        <w:t>капиталови разходи</w:t>
      </w:r>
      <w:r w:rsidRPr="00FD1735">
        <w:t xml:space="preserve"> в тази група са в размер на 32,</w:t>
      </w:r>
      <w:r>
        <w:t>1</w:t>
      </w:r>
      <w:r w:rsidRPr="00FD1735">
        <w:t xml:space="preserve"> млн. лв. или 186,</w:t>
      </w:r>
      <w:r>
        <w:t>4</w:t>
      </w:r>
      <w:r w:rsidRPr="00FD1735">
        <w:t xml:space="preserve"> % спрямо разчета.</w:t>
      </w:r>
    </w:p>
    <w:p w:rsidR="000938C1" w:rsidRPr="00CF1A14" w:rsidRDefault="000938C1" w:rsidP="00F85C67">
      <w:pPr>
        <w:ind w:firstLine="540"/>
        <w:jc w:val="both"/>
        <w:rPr>
          <w:color w:val="0070C0"/>
        </w:rPr>
      </w:pPr>
      <w:r w:rsidRPr="00442E33">
        <w:t>В делегираните от държавата дейности за текущи разходи са разчетени средства по закон в размер на 217</w:t>
      </w:r>
      <w:r>
        <w:t>,</w:t>
      </w:r>
      <w:r w:rsidRPr="00442E33">
        <w:t>2 млн. лв., а извършените разходи са 233,3</w:t>
      </w:r>
      <w:r>
        <w:t xml:space="preserve"> </w:t>
      </w:r>
      <w:r w:rsidRPr="00442E33">
        <w:t xml:space="preserve">млн.лв. или с 16,1 млн. лв. повече. </w:t>
      </w:r>
    </w:p>
    <w:p w:rsidR="000938C1" w:rsidRPr="00442E33" w:rsidRDefault="000938C1" w:rsidP="00F85C67">
      <w:pPr>
        <w:ind w:firstLine="540"/>
        <w:jc w:val="both"/>
      </w:pPr>
      <w:r w:rsidRPr="00442E33">
        <w:t>През 2013 г. общините са дофинансирали държавните дейности със собствени приходи в размер на 57,</w:t>
      </w:r>
      <w:r>
        <w:t>5</w:t>
      </w:r>
      <w:r w:rsidRPr="00442E33">
        <w:t xml:space="preserve"> млн. лв.</w:t>
      </w:r>
    </w:p>
    <w:p w:rsidR="000938C1" w:rsidRPr="00CF1A14" w:rsidRDefault="000938C1" w:rsidP="00F85C67">
      <w:pPr>
        <w:ind w:firstLine="540"/>
        <w:jc w:val="both"/>
        <w:rPr>
          <w:color w:val="0070C0"/>
        </w:rPr>
      </w:pPr>
      <w:r w:rsidRPr="00442E33">
        <w:t>В местните дейности за група “Изпълнителни и законодателни органи” са отчетени текущи разходи в размер на 197,4 млн. лв., което е с 5,1 % (9,5 млн. лв.) повече от разчетените със закона и с 2,6 млн. лв. по-малко спрямо отчетените за 2012 г. средства. В тази група са отчетени възнагражденията на председателите на общинските съвети и на общинските съветници и издръжката на общинската администрация</w:t>
      </w:r>
      <w:r w:rsidRPr="00CF1A14">
        <w:rPr>
          <w:color w:val="0070C0"/>
        </w:rPr>
        <w:t xml:space="preserve">. </w:t>
      </w:r>
    </w:p>
    <w:p w:rsidR="000938C1" w:rsidRPr="00CF1A14" w:rsidRDefault="000938C1" w:rsidP="00F85C67">
      <w:pPr>
        <w:ind w:firstLine="540"/>
        <w:jc w:val="both"/>
        <w:rPr>
          <w:color w:val="0070C0"/>
          <w:sz w:val="8"/>
          <w:szCs w:val="8"/>
        </w:rPr>
      </w:pPr>
    </w:p>
    <w:p w:rsidR="000938C1" w:rsidRPr="00B8493E" w:rsidRDefault="000938C1" w:rsidP="00F85C67">
      <w:pPr>
        <w:spacing w:after="120"/>
        <w:ind w:firstLine="539"/>
        <w:jc w:val="both"/>
      </w:pPr>
      <w:r w:rsidRPr="00747D5C">
        <w:t xml:space="preserve">Утвърдените със ЗДБРБ за 2013 г. разходи за група “Изпълнителни и законодателни органи” </w:t>
      </w:r>
      <w:r w:rsidRPr="00E30B53">
        <w:rPr>
          <w:b/>
        </w:rPr>
        <w:t>по бюджета на Народно събрание</w:t>
      </w:r>
      <w:r w:rsidRPr="00747D5C">
        <w:t xml:space="preserve"> са в размер на 47,8 млн. лв. Отчетът на разходите за 2013 г. </w:t>
      </w:r>
      <w:r>
        <w:t xml:space="preserve">за тази група </w:t>
      </w:r>
      <w:r w:rsidRPr="00747D5C">
        <w:t xml:space="preserve">възлиза на 19,4 млн. лв. Размерът на отчетените разходи на НС към 31.12.2013 г., съответно реализираната икономия, са повлияни от предсрочното </w:t>
      </w:r>
      <w:r w:rsidRPr="00CE1F7C">
        <w:t>прекратяване на мандата на 41-то Народно събрание, конституирането и дейността  на 42- то Народно събрание. За 2013 г. НС отчита по бюджетната си сметка отрицателен касов разход за придобиване на нефинансови активи (капиталови разходи) в размер на -11,8 млн. лв. Тази стойност е в резултат на извършена операция по възстановяване на средства в размер на 12,7 млн. лв. от сметката за чужди средства на НС в БНБ, по бюджета на НС и последващ превод към централния бюджет, отчетен като трансфер по „Вноски за ЦБ за минали години”. Със свое писмо, председателя</w:t>
      </w:r>
      <w:r>
        <w:t>т</w:t>
      </w:r>
      <w:r w:rsidRPr="00CE1F7C">
        <w:t xml:space="preserve"> на Народното събрание уведоми</w:t>
      </w:r>
      <w:r w:rsidRPr="00DF720F">
        <w:t xml:space="preserve"> министъра на финансите, че поради отлагането на СМР – обект „Преустройство на зала „Света София” в пленарна зала, средствата налични по сметката за чужди средства на </w:t>
      </w:r>
      <w:r>
        <w:t>НС</w:t>
      </w:r>
      <w:r w:rsidRPr="00DF720F">
        <w:t xml:space="preserve"> в БНБ в размер на 12,7 млн.</w:t>
      </w:r>
      <w:r>
        <w:t xml:space="preserve"> </w:t>
      </w:r>
      <w:r w:rsidRPr="00DF720F">
        <w:t xml:space="preserve">лв. и по бюджета на </w:t>
      </w:r>
      <w:r>
        <w:t>НС</w:t>
      </w:r>
      <w:r w:rsidRPr="00DF720F">
        <w:t xml:space="preserve"> за 2013 г., в размер на 2,3 млн.</w:t>
      </w:r>
      <w:r>
        <w:t xml:space="preserve"> </w:t>
      </w:r>
      <w:r w:rsidRPr="00DF720F">
        <w:t>лв., няма да бъдат ползвани. Предложено беше тези средства, в общ размер на 15,0 млн.</w:t>
      </w:r>
      <w:r>
        <w:t xml:space="preserve"> </w:t>
      </w:r>
      <w:r w:rsidRPr="00DF720F">
        <w:t>лв.</w:t>
      </w:r>
      <w:r>
        <w:t>,</w:t>
      </w:r>
      <w:r w:rsidRPr="00DF720F">
        <w:t xml:space="preserve"> да се използват за еднократната добавка на пенсионерите към пенсията за месец декември 2013 г.</w:t>
      </w:r>
    </w:p>
    <w:p w:rsidR="000938C1" w:rsidRPr="00213D81" w:rsidRDefault="000938C1" w:rsidP="00F85C67">
      <w:pPr>
        <w:pStyle w:val="BodyTextIndent2"/>
        <w:spacing w:line="240" w:lineRule="auto"/>
        <w:ind w:left="0" w:firstLine="539"/>
        <w:jc w:val="both"/>
      </w:pPr>
      <w:r w:rsidRPr="00213D81">
        <w:rPr>
          <w:b/>
        </w:rPr>
        <w:t>Европейски средства</w:t>
      </w:r>
      <w:r w:rsidRPr="00213D81">
        <w:t xml:space="preserve"> – изразходваните средства в групата са в размер на 1</w:t>
      </w:r>
      <w:r>
        <w:t>42,3</w:t>
      </w:r>
      <w:r w:rsidRPr="00213D81">
        <w:t xml:space="preserve"> млн. лв. и са основно по следните оперативни програми: </w:t>
      </w:r>
    </w:p>
    <w:p w:rsidR="000938C1" w:rsidRPr="003E1890" w:rsidRDefault="000938C1" w:rsidP="00F85C67">
      <w:pPr>
        <w:pStyle w:val="BodyTextIndent2"/>
        <w:spacing w:line="240" w:lineRule="auto"/>
        <w:ind w:left="0" w:firstLine="540"/>
        <w:jc w:val="both"/>
      </w:pPr>
      <w:r w:rsidRPr="003E1890">
        <w:rPr>
          <w:b/>
          <w:i/>
        </w:rPr>
        <w:t xml:space="preserve">Оперативна програма „Развитие на човешките ресурси” - </w:t>
      </w:r>
      <w:r w:rsidRPr="003E1890">
        <w:t xml:space="preserve">програмата финансира дейности за развитието на човешките ресурси в структурите на държавната администрация и гражданското общество. Оперативната програма цели да се подобри качеството на живот на хората в България чрез развитие на човешкия капитал,  постигане на високи нива на заетост, повишаване на производителността, осигуряване на равен достъп до качествени образователни услуги за всички и учене през целия живот. Бенефициент на програмата е основно държавната администрация. Изразходваните средства по </w:t>
      </w:r>
      <w:r w:rsidRPr="003E1890">
        <w:rPr>
          <w:i/>
        </w:rPr>
        <w:t xml:space="preserve">Оперативна програма „Развитие на човешките ресурси” </w:t>
      </w:r>
      <w:r w:rsidRPr="003E1890">
        <w:t>за група  “Изпълнителни и законодателни органи” са в размер на 55,0 млн. лв.</w:t>
      </w:r>
    </w:p>
    <w:p w:rsidR="000938C1" w:rsidRPr="003E1890" w:rsidRDefault="000938C1" w:rsidP="00F85C67">
      <w:pPr>
        <w:pStyle w:val="BodyTextIndent2"/>
        <w:spacing w:line="240" w:lineRule="auto"/>
        <w:ind w:left="0" w:firstLine="540"/>
        <w:jc w:val="both"/>
      </w:pPr>
      <w:r w:rsidRPr="003E1890">
        <w:rPr>
          <w:b/>
          <w:i/>
        </w:rPr>
        <w:t xml:space="preserve">Оперативна програма „Административен капацитет” - </w:t>
      </w:r>
      <w:r w:rsidRPr="003E1890">
        <w:t xml:space="preserve">програмата финансира дейности за подкрепа на доброто държавно управление, развитието на човешките ресурси в структурите на държавната администрация, съдебната система и гражданското общество, подобряване качеството на административните услуги и развитие на електронно правителство. Бенефициенти на програмата са държавната администрация, съдебната система и гражданското общество. Изразходваните средства по </w:t>
      </w:r>
      <w:r w:rsidRPr="003E1890">
        <w:rPr>
          <w:i/>
        </w:rPr>
        <w:t xml:space="preserve">Оперативна програма „Административен капацитет” </w:t>
      </w:r>
      <w:r w:rsidRPr="003E1890">
        <w:t xml:space="preserve">за група  “Изпълнителни и законодателни органи” са в размер на 25,7 млн. лв. </w:t>
      </w:r>
    </w:p>
    <w:p w:rsidR="000938C1" w:rsidRPr="00B8274E" w:rsidRDefault="000938C1" w:rsidP="00F85C67">
      <w:pPr>
        <w:pStyle w:val="BodyTextIndent2"/>
        <w:spacing w:line="240" w:lineRule="auto"/>
        <w:ind w:left="0" w:firstLine="540"/>
        <w:jc w:val="both"/>
      </w:pPr>
      <w:r w:rsidRPr="003E1890">
        <w:rPr>
          <w:b/>
          <w:i/>
        </w:rPr>
        <w:t xml:space="preserve">Оперативна програма „Регионално развитие” </w:t>
      </w:r>
      <w:r w:rsidRPr="003E1890">
        <w:t>– обща цел на програмата е</w:t>
      </w:r>
      <w:r>
        <w:t xml:space="preserve"> </w:t>
      </w:r>
      <w:r w:rsidRPr="003E1890">
        <w:t xml:space="preserve">подобряване на качеството на живот и работната среда с по-добър достъп до основните услуги и нови възможности за повишена регионална конкурентоспособност и устойчиво развитие. Програмата е свързана с мобилизиране на регионалните и местни технически и институционални възможности и ресурси за осъществяване на политиките за регионално развитие. Изразходваните средства по Оперативна програма „Регионално развитие” за </w:t>
      </w:r>
      <w:r w:rsidRPr="00B8274E">
        <w:t>група  “Изпълнителни и законодателни органи” са в размер на 20,4 млн. лв.</w:t>
      </w:r>
    </w:p>
    <w:p w:rsidR="000938C1" w:rsidRPr="00B8274E" w:rsidRDefault="000938C1" w:rsidP="00F85C67">
      <w:pPr>
        <w:ind w:firstLine="539"/>
        <w:jc w:val="both"/>
      </w:pPr>
      <w:r w:rsidRPr="00B8274E">
        <w:rPr>
          <w:b/>
          <w:i/>
        </w:rPr>
        <w:t xml:space="preserve">Оперативна програма „Техническа помощ” – </w:t>
      </w:r>
      <w:r w:rsidRPr="00B8274E">
        <w:t>програмата финансира дейности за укрепване капацитета на структури за управление на средствата от ЕС на централно и местно ниво. Тази оперативна програма осигурява инструменти и финансови средства за покриване на всички потребности на институциите, които участват в координацията, наблюдението, управлението, контрола и сертифицирането на дейности по извършване на одити и оценка на структурните инструменти. Финансират се дейности за изграждане на информационна система за управление и наблюдение на структурните фондове в България и за популяризиране на европейската кохезионна политика и нейните цели в България и осигуряване на обща и статистическа информация.</w:t>
      </w:r>
    </w:p>
    <w:p w:rsidR="000938C1" w:rsidRPr="00B8274E" w:rsidRDefault="000938C1" w:rsidP="00F85C67">
      <w:pPr>
        <w:pStyle w:val="BodyTextIndent2"/>
        <w:spacing w:after="0" w:line="240" w:lineRule="auto"/>
        <w:ind w:left="0" w:firstLine="539"/>
        <w:jc w:val="both"/>
      </w:pPr>
      <w:r w:rsidRPr="00B8274E">
        <w:t>Оперативната програма има конкретни бенефициенти - Сертифициращ орган, Одитен орган, Централно координационно звено, Централен информационен офис, Управляващ орган на Оперативна програма „Техническа помощ”, дирекция „Координация на борбата с измамите със средствата на Европейския съюз” в МВР и общините, на чиято територия са административните центрове на 28-те области в България.</w:t>
      </w:r>
      <w:r>
        <w:t xml:space="preserve"> </w:t>
      </w:r>
      <w:r w:rsidRPr="00B8274E">
        <w:t xml:space="preserve">Изразходваните средства по </w:t>
      </w:r>
      <w:r w:rsidRPr="00B8274E">
        <w:rPr>
          <w:i/>
        </w:rPr>
        <w:t xml:space="preserve">Оперативна програма „Техническа помощ” </w:t>
      </w:r>
      <w:r w:rsidRPr="00B8274E">
        <w:t>за група  “Изпълнителни и законодателни органи” са в размер на 18,9 млн. лв.</w:t>
      </w:r>
    </w:p>
    <w:p w:rsidR="000938C1" w:rsidRPr="00CF1A14" w:rsidRDefault="000938C1" w:rsidP="00F85C67">
      <w:pPr>
        <w:ind w:firstLine="540"/>
        <w:rPr>
          <w:b/>
          <w:color w:val="0070C0"/>
          <w:sz w:val="14"/>
          <w:szCs w:val="14"/>
        </w:rPr>
      </w:pPr>
    </w:p>
    <w:p w:rsidR="000938C1" w:rsidRPr="006B0D6C" w:rsidRDefault="000938C1" w:rsidP="00F85C67">
      <w:pPr>
        <w:ind w:firstLine="540"/>
        <w:rPr>
          <w:b/>
        </w:rPr>
      </w:pPr>
      <w:r w:rsidRPr="006B0D6C">
        <w:rPr>
          <w:b/>
        </w:rPr>
        <w:t xml:space="preserve">Група Б: </w:t>
      </w:r>
      <w:r w:rsidRPr="006B0D6C">
        <w:rPr>
          <w:b/>
          <w:i/>
        </w:rPr>
        <w:t>„Общи служби”</w:t>
      </w:r>
    </w:p>
    <w:p w:rsidR="000938C1" w:rsidRPr="006B0D6C" w:rsidRDefault="000938C1" w:rsidP="00F85C67">
      <w:pPr>
        <w:ind w:right="-157" w:firstLine="540"/>
        <w:jc w:val="both"/>
      </w:pPr>
      <w:r w:rsidRPr="006B0D6C">
        <w:t xml:space="preserve">С разчетите към ЗДБРБ за 2013 г. за група “Общи служби“ на консолидирано ниво са планирани 94,4 млн. лв. (вкл. нетния прираст на държавния резерв), а отчетените разходи за групата са 78,0 млн. лв. (82,6 % от годишния разчет). </w:t>
      </w:r>
    </w:p>
    <w:p w:rsidR="000938C1" w:rsidRPr="006B0D6C" w:rsidRDefault="000938C1" w:rsidP="00F85C67">
      <w:pPr>
        <w:ind w:right="-157" w:firstLine="540"/>
        <w:jc w:val="both"/>
      </w:pPr>
      <w:r w:rsidRPr="006B0D6C">
        <w:t>Отговорните администрации, ангажирани с изпълнението на функции, дейности и задачи в група „Общи служби” през 2013 г., са първостепенните разпоредители с бюджетни кредити - Министерски съвет, Министерство на финансите, Министерство на вътрешните работи, Министерство на правосъдието, Министерство на икономиката, енергетиката и туризма, Министерство на регионалното развитие, Министерство на младежта и спорта, Националния статистически институт и Държавната агенция „Държавен резерв и военновременни запаси”, в т.ч. и второстепенни разпоредители с бюджетни кредити.</w:t>
      </w:r>
    </w:p>
    <w:p w:rsidR="000938C1" w:rsidRPr="00A95BE2" w:rsidRDefault="000938C1" w:rsidP="00F85C67">
      <w:pPr>
        <w:ind w:right="-157" w:firstLine="540"/>
        <w:jc w:val="both"/>
      </w:pPr>
      <w:r w:rsidRPr="00A95BE2">
        <w:t xml:space="preserve">С най-голям относителен дял в разходите за група „Общи служби” са разходите по системите </w:t>
      </w:r>
      <w:r w:rsidRPr="00822E4A">
        <w:rPr>
          <w:b/>
        </w:rPr>
        <w:t>на министерствата и ведомства</w:t>
      </w:r>
      <w:r>
        <w:rPr>
          <w:b/>
        </w:rPr>
        <w:t>та</w:t>
      </w:r>
      <w:r w:rsidRPr="00A95BE2">
        <w:t xml:space="preserve"> – отчетените разходи за годината са в размер на 71,2 млн. лв., което е 91,3 % от общо разходите за групата. Разходи в групата са за:</w:t>
      </w:r>
    </w:p>
    <w:p w:rsidR="000938C1" w:rsidRPr="00A95BE2" w:rsidRDefault="000938C1" w:rsidP="00F30F79">
      <w:pPr>
        <w:pStyle w:val="ListParagraph"/>
        <w:numPr>
          <w:ilvl w:val="0"/>
          <w:numId w:val="61"/>
        </w:numPr>
        <w:ind w:left="720" w:right="-157" w:hanging="180"/>
        <w:jc w:val="both"/>
      </w:pPr>
      <w:r w:rsidRPr="00A95BE2">
        <w:t>изпълнението на Националната програма за статистически изследвания;</w:t>
      </w:r>
    </w:p>
    <w:p w:rsidR="000938C1" w:rsidRPr="00DB2CB0" w:rsidRDefault="000938C1" w:rsidP="00F30F79">
      <w:pPr>
        <w:pStyle w:val="ListParagraph"/>
        <w:numPr>
          <w:ilvl w:val="0"/>
          <w:numId w:val="61"/>
        </w:numPr>
        <w:ind w:left="720" w:right="-157" w:hanging="180"/>
        <w:jc w:val="both"/>
      </w:pPr>
      <w:r w:rsidRPr="00A95BE2">
        <w:t xml:space="preserve">осигуряване на правна сигурност на процесите, свързани с кредитирането и стимулиране на инвестициите чрез осъществяване на регистърното производство, за привличане на чуждестранни инвестиции чрез организиране и участие в бизнес и инвестиционни форуми, информационни кампании и др.; </w:t>
      </w:r>
    </w:p>
    <w:p w:rsidR="000938C1" w:rsidRPr="00A95BE2" w:rsidRDefault="000938C1" w:rsidP="00F30F79">
      <w:pPr>
        <w:pStyle w:val="ListParagraph"/>
        <w:numPr>
          <w:ilvl w:val="0"/>
          <w:numId w:val="61"/>
        </w:numPr>
        <w:ind w:left="720" w:right="-157" w:hanging="180"/>
        <w:jc w:val="both"/>
      </w:pPr>
      <w:r w:rsidRPr="00A95BE2">
        <w:t>натрупване, съхраняване и използване на държавните резерви и военновременните запаси на страната в съответствие с изискванията на националната сигурност, както и за създаване на задължителни запаси от нефт и нефтопродукти</w:t>
      </w:r>
      <w:r>
        <w:t>, за тестване</w:t>
      </w:r>
      <w:r w:rsidRPr="00A95BE2">
        <w:t xml:space="preserve">; </w:t>
      </w:r>
    </w:p>
    <w:p w:rsidR="000938C1" w:rsidRDefault="000938C1" w:rsidP="00F30F79">
      <w:pPr>
        <w:pStyle w:val="ListParagraph"/>
        <w:numPr>
          <w:ilvl w:val="0"/>
          <w:numId w:val="61"/>
        </w:numPr>
        <w:ind w:left="720" w:right="-157" w:hanging="180"/>
        <w:jc w:val="both"/>
      </w:pPr>
      <w:r w:rsidRPr="00A95BE2">
        <w:t>финансиране на концесионната дейност;</w:t>
      </w:r>
    </w:p>
    <w:p w:rsidR="000938C1" w:rsidRPr="00695ED4" w:rsidRDefault="000938C1" w:rsidP="00F30F79">
      <w:pPr>
        <w:pStyle w:val="ListParagraph"/>
        <w:numPr>
          <w:ilvl w:val="0"/>
          <w:numId w:val="61"/>
        </w:numPr>
        <w:ind w:left="720" w:right="-157" w:hanging="180"/>
        <w:jc w:val="both"/>
      </w:pPr>
      <w:r w:rsidRPr="00A95BE2">
        <w:t xml:space="preserve">осъществяване на методическото ръководство и контрола на дейностите, свързани с гражданското състояние, гражданската регистрация и автоматизираните </w:t>
      </w:r>
      <w:r w:rsidRPr="00695ED4">
        <w:t>информационни фондове;</w:t>
      </w:r>
    </w:p>
    <w:p w:rsidR="000938C1" w:rsidRPr="00CF1A14" w:rsidRDefault="000938C1" w:rsidP="00F30F79">
      <w:pPr>
        <w:pStyle w:val="ListParagraph"/>
        <w:numPr>
          <w:ilvl w:val="0"/>
          <w:numId w:val="61"/>
        </w:numPr>
        <w:spacing w:after="120"/>
        <w:ind w:left="720" w:right="-157" w:hanging="180"/>
        <w:jc w:val="both"/>
        <w:rPr>
          <w:color w:val="0070C0"/>
        </w:rPr>
      </w:pPr>
      <w:r w:rsidRPr="00695ED4">
        <w:t>предоставяне на особена закрила на чужденци на територията на Република България - в изпълнение на приетия от МС план за овладяване на кризисната ситуация, възникнала вследствие на засиления миграционен натиск към територията на Република България, Държавната агенция за бежанците отчита разходи в размер</w:t>
      </w:r>
      <w:r w:rsidRPr="00C73367">
        <w:t xml:space="preserve"> на 9,2 млн. лв., които са с 6,0 млн. лв. над одобрените със ЗДБРБ за 2013 г. Средствата са изразходвани за осигуряване на необходимите условия за живот в местата за настаняване на чуждите граждани, потърсили закрила, разширяване капацитета на агенцията за прием на многократно увеличения брой на бежанците, осигуряване на необходимите преводачески услуги, с цел съкращаване на времето за процедурите за даване на статут и др.</w:t>
      </w:r>
    </w:p>
    <w:p w:rsidR="000938C1" w:rsidRPr="009F718C" w:rsidRDefault="000938C1" w:rsidP="00F85C67">
      <w:pPr>
        <w:tabs>
          <w:tab w:val="left" w:pos="0"/>
        </w:tabs>
        <w:spacing w:after="120"/>
        <w:ind w:firstLine="540"/>
        <w:jc w:val="both"/>
        <w:rPr>
          <w:lang w:val="ru-RU"/>
        </w:rPr>
      </w:pPr>
      <w:r w:rsidRPr="009F718C">
        <w:t xml:space="preserve">Разходите на Държавната агенция „ Държавен резерв и военновременни запаси” през 2013 г. за попълване на държавния резерв са в размер на </w:t>
      </w:r>
      <w:r w:rsidRPr="009F718C">
        <w:rPr>
          <w:lang w:val="ru-RU"/>
        </w:rPr>
        <w:t>137,9</w:t>
      </w:r>
      <w:r w:rsidRPr="009F718C">
        <w:t xml:space="preserve"> млн. лв., а отчетеният нетен прираст на държавния резерв е </w:t>
      </w:r>
      <w:r w:rsidRPr="009F718C">
        <w:rPr>
          <w:lang w:val="ru-RU"/>
        </w:rPr>
        <w:t>17,2</w:t>
      </w:r>
      <w:r w:rsidRPr="009F718C">
        <w:t xml:space="preserve"> млн. лв.</w:t>
      </w:r>
    </w:p>
    <w:p w:rsidR="000938C1" w:rsidRPr="00CF1A14" w:rsidRDefault="000938C1" w:rsidP="00F85C67">
      <w:pPr>
        <w:tabs>
          <w:tab w:val="left" w:pos="0"/>
        </w:tabs>
        <w:ind w:firstLine="540"/>
        <w:jc w:val="both"/>
        <w:rPr>
          <w:color w:val="0070C0"/>
          <w:lang w:val="ru-RU"/>
        </w:rPr>
      </w:pPr>
    </w:p>
    <w:p w:rsidR="000938C1" w:rsidRPr="00DB2CB0" w:rsidRDefault="000938C1" w:rsidP="00F85C67">
      <w:pPr>
        <w:spacing w:after="120"/>
        <w:ind w:firstLine="539"/>
        <w:rPr>
          <w:b/>
          <w:i/>
          <w:lang w:val="ru-RU"/>
        </w:rPr>
      </w:pPr>
      <w:r w:rsidRPr="00DB2CB0">
        <w:rPr>
          <w:b/>
        </w:rPr>
        <w:t xml:space="preserve">Група В: </w:t>
      </w:r>
      <w:r w:rsidRPr="00DB2CB0">
        <w:rPr>
          <w:b/>
          <w:i/>
        </w:rPr>
        <w:t>„Наука”</w:t>
      </w:r>
    </w:p>
    <w:p w:rsidR="000938C1" w:rsidRPr="00DB2CB0" w:rsidRDefault="000938C1" w:rsidP="00F85C67">
      <w:pPr>
        <w:spacing w:after="120"/>
        <w:ind w:firstLine="539"/>
        <w:jc w:val="both"/>
        <w:rPr>
          <w:bCs/>
        </w:rPr>
      </w:pPr>
      <w:r w:rsidRPr="00DB2CB0">
        <w:rPr>
          <w:bCs/>
        </w:rPr>
        <w:t>Група „Наука” включва разходите за финансиране на науката и научните изследвания. С финансирането на тези дейности държавата има за цел развитието на българската наука в съответствие с националните интереси и общочовешките ценности.</w:t>
      </w:r>
    </w:p>
    <w:p w:rsidR="000938C1" w:rsidRDefault="000938C1" w:rsidP="00F85C67">
      <w:pPr>
        <w:ind w:firstLine="540"/>
        <w:jc w:val="both"/>
        <w:rPr>
          <w:bCs/>
        </w:rPr>
      </w:pPr>
      <w:r w:rsidRPr="00DB2CB0">
        <w:t xml:space="preserve">Общата сума на изразходваните средства по тази група за 2013 г. е 182,2 млн. лв. </w:t>
      </w:r>
      <w:r w:rsidRPr="00DB2CB0">
        <w:rPr>
          <w:bCs/>
        </w:rPr>
        <w:t xml:space="preserve">Със ЗДБРБ за 2013 г. по група „Наука” </w:t>
      </w:r>
      <w:r w:rsidRPr="00BF1FBE">
        <w:rPr>
          <w:b/>
        </w:rPr>
        <w:t>за министерствата и ведомствата</w:t>
      </w:r>
      <w:r w:rsidRPr="00DB2CB0">
        <w:rPr>
          <w:bCs/>
        </w:rPr>
        <w:t xml:space="preserve"> са предвидени средства в размер на </w:t>
      </w:r>
      <w:r w:rsidRPr="00DB2CB0">
        <w:t xml:space="preserve">76,9 </w:t>
      </w:r>
      <w:r w:rsidRPr="00DB2CB0">
        <w:rPr>
          <w:bCs/>
        </w:rPr>
        <w:t xml:space="preserve">млн. лв., като отчетените разходи в групата за годината възлизат на </w:t>
      </w:r>
      <w:r w:rsidRPr="00DB2CB0">
        <w:t>54,</w:t>
      </w:r>
      <w:r>
        <w:t>0</w:t>
      </w:r>
      <w:r w:rsidRPr="00DB2CB0">
        <w:t xml:space="preserve"> </w:t>
      </w:r>
      <w:r w:rsidRPr="00DB2CB0">
        <w:rPr>
          <w:bCs/>
        </w:rPr>
        <w:t xml:space="preserve">млн. лв. </w:t>
      </w:r>
    </w:p>
    <w:p w:rsidR="000938C1" w:rsidRPr="002255D3" w:rsidRDefault="000938C1" w:rsidP="003455CD">
      <w:pPr>
        <w:ind w:firstLine="540"/>
        <w:jc w:val="both"/>
        <w:rPr>
          <w:bCs/>
          <w:lang w:val="ru-RU"/>
        </w:rPr>
      </w:pPr>
      <w:r w:rsidRPr="00347699">
        <w:rPr>
          <w:bCs/>
        </w:rPr>
        <w:t>С отчетените средства са осигурени следните дейности</w:t>
      </w:r>
      <w:r w:rsidRPr="002255D3">
        <w:rPr>
          <w:bCs/>
          <w:lang w:val="ru-RU"/>
        </w:rPr>
        <w:t>:</w:t>
      </w:r>
    </w:p>
    <w:p w:rsidR="000938C1" w:rsidRPr="002255D3" w:rsidRDefault="000938C1" w:rsidP="003455CD">
      <w:pPr>
        <w:pStyle w:val="ListParagraph"/>
        <w:numPr>
          <w:ilvl w:val="0"/>
          <w:numId w:val="66"/>
        </w:numPr>
        <w:ind w:left="709" w:hanging="142"/>
        <w:jc w:val="both"/>
        <w:rPr>
          <w:bCs/>
          <w:lang w:val="ru-RU"/>
        </w:rPr>
      </w:pPr>
      <w:r w:rsidRPr="00347699">
        <w:rPr>
          <w:bCs/>
        </w:rPr>
        <w:t>осъществяване на националната политика в областта на науката, технологичното развитие и иновациите; разработва</w:t>
      </w:r>
      <w:r>
        <w:rPr>
          <w:bCs/>
        </w:rPr>
        <w:t>не</w:t>
      </w:r>
      <w:r w:rsidRPr="00347699">
        <w:rPr>
          <w:bCs/>
        </w:rPr>
        <w:t xml:space="preserve"> и предлага</w:t>
      </w:r>
      <w:r>
        <w:rPr>
          <w:bCs/>
        </w:rPr>
        <w:t>не</w:t>
      </w:r>
      <w:r w:rsidRPr="00347699">
        <w:rPr>
          <w:bCs/>
        </w:rPr>
        <w:t xml:space="preserve"> за утвърждаване </w:t>
      </w:r>
      <w:r>
        <w:rPr>
          <w:bCs/>
        </w:rPr>
        <w:t xml:space="preserve">на </w:t>
      </w:r>
      <w:r w:rsidRPr="00347699">
        <w:rPr>
          <w:bCs/>
        </w:rPr>
        <w:t>научни програми в съответствие с националните приоритети и приоритетите на Европейския съюз, както и програми и проекти с регионално значение (дирекция „Наука“ към Министерството на образованите и науката);</w:t>
      </w:r>
    </w:p>
    <w:p w:rsidR="000938C1" w:rsidRPr="009A6B2E" w:rsidRDefault="000938C1" w:rsidP="003455CD">
      <w:pPr>
        <w:pStyle w:val="ListParagraph"/>
        <w:numPr>
          <w:ilvl w:val="0"/>
          <w:numId w:val="66"/>
        </w:numPr>
        <w:ind w:left="709" w:hanging="142"/>
        <w:jc w:val="both"/>
        <w:rPr>
          <w:bCs/>
        </w:rPr>
      </w:pPr>
      <w:r w:rsidRPr="009A6B2E">
        <w:rPr>
          <w:bCs/>
        </w:rPr>
        <w:t>научни изследвания, информационно обслужване, приложни и спомагателни дейности в областта на земеделието, животновъдството и хранително-вкусовата промишленост (Селскостопанската академия и Национална</w:t>
      </w:r>
      <w:r>
        <w:rPr>
          <w:bCs/>
        </w:rPr>
        <w:t>та</w:t>
      </w:r>
      <w:r w:rsidRPr="009A6B2E">
        <w:rPr>
          <w:bCs/>
        </w:rPr>
        <w:t xml:space="preserve"> служба за съвети в земеделието към Министерството на земеделието и храните);</w:t>
      </w:r>
    </w:p>
    <w:p w:rsidR="000938C1" w:rsidRPr="009A6B2E" w:rsidRDefault="000938C1" w:rsidP="003455CD">
      <w:pPr>
        <w:pStyle w:val="ListParagraph"/>
        <w:numPr>
          <w:ilvl w:val="0"/>
          <w:numId w:val="66"/>
        </w:numPr>
        <w:ind w:left="709" w:hanging="142"/>
        <w:jc w:val="both"/>
        <w:rPr>
          <w:bCs/>
        </w:rPr>
      </w:pPr>
      <w:r w:rsidRPr="009A6B2E">
        <w:rPr>
          <w:bCs/>
        </w:rPr>
        <w:t>конкурсно-проектно финансиране на научните изследвания (Фонд „Научни изследвания” към Министерството на образованието и науката);</w:t>
      </w:r>
    </w:p>
    <w:p w:rsidR="000938C1" w:rsidRPr="009A6B2E" w:rsidRDefault="000938C1" w:rsidP="003455CD">
      <w:pPr>
        <w:pStyle w:val="ListParagraph"/>
        <w:numPr>
          <w:ilvl w:val="0"/>
          <w:numId w:val="66"/>
        </w:numPr>
        <w:ind w:left="709" w:hanging="142"/>
        <w:jc w:val="both"/>
        <w:rPr>
          <w:bCs/>
        </w:rPr>
      </w:pPr>
      <w:r w:rsidRPr="009A6B2E">
        <w:rPr>
          <w:bCs/>
        </w:rPr>
        <w:t>колекциониране, консервиране и дълготрайно съхранение на микробиологични образци (Национална банка за промишлени микроорганизми към МОН);</w:t>
      </w:r>
    </w:p>
    <w:p w:rsidR="000938C1" w:rsidRPr="009A6B2E" w:rsidRDefault="000938C1" w:rsidP="003455CD">
      <w:pPr>
        <w:pStyle w:val="ListParagraph"/>
        <w:numPr>
          <w:ilvl w:val="0"/>
          <w:numId w:val="66"/>
        </w:numPr>
        <w:ind w:left="709" w:hanging="142"/>
        <w:jc w:val="both"/>
        <w:rPr>
          <w:bCs/>
        </w:rPr>
      </w:pPr>
      <w:r w:rsidRPr="009A6B2E">
        <w:rPr>
          <w:bCs/>
        </w:rPr>
        <w:t>участие на България в Европейската организация за ядрени изследвания (ЦЕРН) и в Международния център за научна и техническа информация;</w:t>
      </w:r>
    </w:p>
    <w:p w:rsidR="000938C1" w:rsidRPr="009A6B2E" w:rsidRDefault="000938C1" w:rsidP="003455CD">
      <w:pPr>
        <w:pStyle w:val="ListParagraph"/>
        <w:numPr>
          <w:ilvl w:val="0"/>
          <w:numId w:val="66"/>
        </w:numPr>
        <w:ind w:left="709" w:hanging="142"/>
        <w:jc w:val="both"/>
        <w:rPr>
          <w:bCs/>
        </w:rPr>
      </w:pPr>
      <w:r w:rsidRPr="009A6B2E">
        <w:rPr>
          <w:bCs/>
        </w:rPr>
        <w:t>събиране, обработка и съхранение на научно-техническа информация и документация (Национален център за информация и документация към МОН).</w:t>
      </w:r>
    </w:p>
    <w:p w:rsidR="000938C1" w:rsidRPr="00673D4D" w:rsidRDefault="000938C1" w:rsidP="00F85C67">
      <w:pPr>
        <w:ind w:firstLine="720"/>
        <w:jc w:val="both"/>
        <w:rPr>
          <w:snapToGrid w:val="0"/>
        </w:rPr>
      </w:pPr>
      <w:r w:rsidRPr="00DF6DA6">
        <w:t>Основна част от извършените разходи през 201</w:t>
      </w:r>
      <w:r w:rsidRPr="00673D4D">
        <w:t>3</w:t>
      </w:r>
      <w:r w:rsidRPr="00DF6DA6">
        <w:t xml:space="preserve"> г. </w:t>
      </w:r>
      <w:r w:rsidRPr="00DF6DA6">
        <w:rPr>
          <w:b/>
        </w:rPr>
        <w:t>по бюджета на БАН</w:t>
      </w:r>
      <w:r w:rsidRPr="00DF6DA6">
        <w:t xml:space="preserve"> са свързани с осигуряването на дейността на поделенията в системата на БАН. </w:t>
      </w:r>
      <w:r w:rsidRPr="00D05C99">
        <w:t xml:space="preserve">Разходите за </w:t>
      </w:r>
      <w:r w:rsidRPr="00DF6DA6">
        <w:rPr>
          <w:bCs/>
        </w:rPr>
        <w:t xml:space="preserve">група „Наука” </w:t>
      </w:r>
      <w:r w:rsidRPr="00DF6DA6">
        <w:t>са в размер на 110</w:t>
      </w:r>
      <w:r>
        <w:t>,</w:t>
      </w:r>
      <w:r w:rsidRPr="00673D4D">
        <w:t>8</w:t>
      </w:r>
      <w:r w:rsidRPr="00DF6DA6">
        <w:t xml:space="preserve"> млн. лв. Отчетените разходи в групата са </w:t>
      </w:r>
      <w:r w:rsidRPr="00673D4D">
        <w:rPr>
          <w:snapToGrid w:val="0"/>
        </w:rPr>
        <w:t>с 6,</w:t>
      </w:r>
      <w:r>
        <w:rPr>
          <w:snapToGrid w:val="0"/>
        </w:rPr>
        <w:t>4</w:t>
      </w:r>
      <w:r w:rsidRPr="00673D4D">
        <w:rPr>
          <w:snapToGrid w:val="0"/>
        </w:rPr>
        <w:t xml:space="preserve"> млн. лв. (6</w:t>
      </w:r>
      <w:r>
        <w:rPr>
          <w:snapToGrid w:val="0"/>
        </w:rPr>
        <w:t>,2</w:t>
      </w:r>
      <w:r w:rsidRPr="00673D4D">
        <w:rPr>
          <w:snapToGrid w:val="0"/>
        </w:rPr>
        <w:t xml:space="preserve"> %) повече спрямо предходната година. </w:t>
      </w:r>
      <w:r w:rsidRPr="00DF6DA6">
        <w:rPr>
          <w:lang w:eastAsia="en-US"/>
        </w:rPr>
        <w:t xml:space="preserve">В изпълнение на ПМС </w:t>
      </w:r>
      <w:r>
        <w:rPr>
          <w:lang w:eastAsia="en-US"/>
        </w:rPr>
        <w:t>№</w:t>
      </w:r>
      <w:r w:rsidRPr="00673D4D">
        <w:rPr>
          <w:lang w:eastAsia="en-US"/>
        </w:rPr>
        <w:t xml:space="preserve"> 53 </w:t>
      </w:r>
      <w:r w:rsidRPr="00DF6DA6">
        <w:rPr>
          <w:lang w:eastAsia="en-US"/>
        </w:rPr>
        <w:t xml:space="preserve">от 2013 г. и ПМС </w:t>
      </w:r>
      <w:r>
        <w:rPr>
          <w:lang w:eastAsia="en-US"/>
        </w:rPr>
        <w:t>№</w:t>
      </w:r>
      <w:r w:rsidRPr="00673D4D">
        <w:rPr>
          <w:lang w:eastAsia="en-US"/>
        </w:rPr>
        <w:t xml:space="preserve"> </w:t>
      </w:r>
      <w:r w:rsidRPr="00DF6DA6">
        <w:rPr>
          <w:lang w:eastAsia="en-US"/>
        </w:rPr>
        <w:t>125 от 2013 г. бяха предоставени допълнително общо 11</w:t>
      </w:r>
      <w:r>
        <w:rPr>
          <w:lang w:eastAsia="en-US"/>
        </w:rPr>
        <w:t>,0</w:t>
      </w:r>
      <w:r w:rsidRPr="00DF6DA6">
        <w:rPr>
          <w:lang w:eastAsia="en-US"/>
        </w:rPr>
        <w:t xml:space="preserve"> млн.</w:t>
      </w:r>
      <w:r>
        <w:rPr>
          <w:lang w:eastAsia="en-US"/>
        </w:rPr>
        <w:t xml:space="preserve"> </w:t>
      </w:r>
      <w:r w:rsidRPr="00DF6DA6">
        <w:rPr>
          <w:lang w:eastAsia="en-US"/>
        </w:rPr>
        <w:t xml:space="preserve">лв. по бюджета на БАН за стимулиране на водещи иновативни и общественополезни научни изследвания </w:t>
      </w:r>
      <w:r w:rsidRPr="00D05C99">
        <w:rPr>
          <w:lang w:eastAsia="en-US"/>
        </w:rPr>
        <w:t>и за подпомагане на дейностите по научно обслужване с висока обществена и</w:t>
      </w:r>
      <w:r w:rsidRPr="00DF6DA6">
        <w:rPr>
          <w:lang w:eastAsia="en-US"/>
        </w:rPr>
        <w:t xml:space="preserve"> държавна значимост.   </w:t>
      </w:r>
    </w:p>
    <w:p w:rsidR="000938C1" w:rsidRPr="00673D4D" w:rsidRDefault="000938C1" w:rsidP="00F85C67">
      <w:pPr>
        <w:ind w:firstLine="539"/>
        <w:jc w:val="both"/>
        <w:rPr>
          <w:color w:val="0070C0"/>
          <w:sz w:val="14"/>
          <w:szCs w:val="14"/>
        </w:rPr>
      </w:pPr>
    </w:p>
    <w:p w:rsidR="000938C1" w:rsidRPr="00E82584" w:rsidRDefault="000938C1" w:rsidP="00F30F79">
      <w:pPr>
        <w:pStyle w:val="Heading3"/>
        <w:numPr>
          <w:ilvl w:val="2"/>
          <w:numId w:val="72"/>
        </w:numPr>
        <w:spacing w:before="0" w:after="120"/>
        <w:rPr>
          <w:rFonts w:ascii="Times New Roman" w:hAnsi="Times New Roman"/>
          <w:sz w:val="24"/>
          <w:lang w:val="en-US"/>
        </w:rPr>
      </w:pPr>
      <w:bookmarkStart w:id="208" w:name="_Toc261276587"/>
      <w:bookmarkStart w:id="209" w:name="_Toc324863423"/>
      <w:bookmarkStart w:id="210" w:name="_Toc326315915"/>
      <w:bookmarkStart w:id="211" w:name="_Toc393728074"/>
      <w:r w:rsidRPr="00E82584">
        <w:rPr>
          <w:rFonts w:ascii="Times New Roman" w:hAnsi="Times New Roman"/>
          <w:sz w:val="24"/>
          <w:lang w:val="bg-BG"/>
        </w:rPr>
        <w:t>Отбрана и сигурност</w:t>
      </w:r>
      <w:bookmarkEnd w:id="208"/>
      <w:bookmarkEnd w:id="209"/>
      <w:bookmarkEnd w:id="210"/>
      <w:bookmarkEnd w:id="211"/>
    </w:p>
    <w:p w:rsidR="000938C1" w:rsidRPr="00B857A3" w:rsidRDefault="000938C1" w:rsidP="00F85C67">
      <w:pPr>
        <w:ind w:firstLine="540"/>
        <w:jc w:val="both"/>
        <w:rPr>
          <w:lang w:val="ru-RU"/>
        </w:rPr>
      </w:pPr>
      <w:r w:rsidRPr="00B857A3">
        <w:t xml:space="preserve">Разходите по </w:t>
      </w:r>
      <w:r w:rsidRPr="00B857A3">
        <w:rPr>
          <w:bCs/>
        </w:rPr>
        <w:t>функция „Отбрана и сигурност” по</w:t>
      </w:r>
      <w:r w:rsidRPr="00B857A3">
        <w:t xml:space="preserve"> консолидираната фискална програма са предназначени за обезпечаване на дейностите по осигуряването на националната сигурност и отбрана, опазването на обществения и правовия ред, поддържането на отбранителния потенциал на страната и за издръжка на съдебната власт и администрацията на затворите. Отчетените разходи за 201</w:t>
      </w:r>
      <w:r w:rsidRPr="002255D3">
        <w:rPr>
          <w:lang w:val="ru-RU"/>
        </w:rPr>
        <w:t>3</w:t>
      </w:r>
      <w:r w:rsidRPr="00B857A3">
        <w:t xml:space="preserve"> г. за отбрана и сигурност са в размер на </w:t>
      </w:r>
      <w:r w:rsidRPr="002255D3">
        <w:rPr>
          <w:lang w:val="ru-RU"/>
        </w:rPr>
        <w:t>3</w:t>
      </w:r>
      <w:r>
        <w:rPr>
          <w:lang w:val="en-US"/>
        </w:rPr>
        <w:t> </w:t>
      </w:r>
      <w:r w:rsidRPr="002255D3">
        <w:rPr>
          <w:lang w:val="ru-RU"/>
        </w:rPr>
        <w:t>160</w:t>
      </w:r>
      <w:r>
        <w:rPr>
          <w:lang w:val="ru-RU"/>
        </w:rPr>
        <w:t>,</w:t>
      </w:r>
      <w:r w:rsidRPr="002255D3">
        <w:rPr>
          <w:lang w:val="ru-RU"/>
        </w:rPr>
        <w:t>4</w:t>
      </w:r>
      <w:r w:rsidRPr="00B857A3">
        <w:t xml:space="preserve"> млн. лв., което представлява </w:t>
      </w:r>
      <w:r w:rsidRPr="002255D3">
        <w:rPr>
          <w:lang w:val="ru-RU"/>
        </w:rPr>
        <w:t>4</w:t>
      </w:r>
      <w:r>
        <w:t>,</w:t>
      </w:r>
      <w:r w:rsidRPr="002255D3">
        <w:rPr>
          <w:lang w:val="ru-RU"/>
        </w:rPr>
        <w:t>0</w:t>
      </w:r>
      <w:r w:rsidRPr="00B857A3">
        <w:t xml:space="preserve"> % от БВП.</w:t>
      </w:r>
    </w:p>
    <w:p w:rsidR="000938C1" w:rsidRPr="00CF1A14" w:rsidRDefault="000938C1" w:rsidP="00F85C67">
      <w:pPr>
        <w:ind w:firstLine="540"/>
        <w:jc w:val="both"/>
        <w:rPr>
          <w:color w:val="0070C0"/>
          <w:lang w:val="ru-RU"/>
        </w:rPr>
      </w:pPr>
    </w:p>
    <w:p w:rsidR="000938C1" w:rsidRPr="00CF1A14" w:rsidRDefault="000938C1" w:rsidP="00F85C67">
      <w:pPr>
        <w:ind w:firstLine="540"/>
        <w:jc w:val="both"/>
        <w:rPr>
          <w:color w:val="0070C0"/>
          <w:lang w:val="ru-RU"/>
        </w:rPr>
      </w:pPr>
    </w:p>
    <w:p w:rsidR="000938C1" w:rsidRPr="00CF1A14" w:rsidRDefault="000938C1" w:rsidP="00F85C67">
      <w:pPr>
        <w:ind w:firstLine="540"/>
        <w:jc w:val="both"/>
        <w:rPr>
          <w:color w:val="0070C0"/>
          <w:sz w:val="14"/>
          <w:szCs w:val="14"/>
          <w:lang w:val="ru-RU"/>
        </w:rPr>
      </w:pPr>
    </w:p>
    <w:p w:rsidR="000938C1" w:rsidRPr="00B857A3" w:rsidRDefault="000938C1" w:rsidP="00F85C67">
      <w:pPr>
        <w:ind w:firstLine="8252"/>
        <w:rPr>
          <w:b/>
          <w:sz w:val="18"/>
          <w:szCs w:val="18"/>
        </w:rPr>
      </w:pPr>
      <w:r w:rsidRPr="00B857A3">
        <w:rPr>
          <w:b/>
          <w:sz w:val="18"/>
          <w:szCs w:val="18"/>
        </w:rPr>
        <w:t xml:space="preserve"> (млн. лв.)</w:t>
      </w:r>
    </w:p>
    <w:tbl>
      <w:tblPr>
        <w:tblW w:w="10980" w:type="dxa"/>
        <w:tblInd w:w="-650" w:type="dxa"/>
        <w:tblLayout w:type="fixed"/>
        <w:tblCellMar>
          <w:left w:w="70" w:type="dxa"/>
          <w:right w:w="70" w:type="dxa"/>
        </w:tblCellMar>
        <w:tblLook w:val="0000"/>
      </w:tblPr>
      <w:tblGrid>
        <w:gridCol w:w="2520"/>
        <w:gridCol w:w="720"/>
        <w:gridCol w:w="720"/>
        <w:gridCol w:w="540"/>
        <w:gridCol w:w="720"/>
        <w:gridCol w:w="540"/>
        <w:gridCol w:w="540"/>
        <w:gridCol w:w="540"/>
        <w:gridCol w:w="540"/>
        <w:gridCol w:w="720"/>
        <w:gridCol w:w="540"/>
        <w:gridCol w:w="720"/>
        <w:gridCol w:w="720"/>
        <w:gridCol w:w="900"/>
      </w:tblGrid>
      <w:tr w:rsidR="000938C1" w:rsidRPr="00E82584" w:rsidTr="009E1415">
        <w:trPr>
          <w:trHeight w:val="615"/>
        </w:trPr>
        <w:tc>
          <w:tcPr>
            <w:tcW w:w="2520" w:type="dxa"/>
            <w:tcBorders>
              <w:top w:val="double" w:sz="6" w:space="0" w:color="800000"/>
              <w:left w:val="double" w:sz="6" w:space="0" w:color="800000"/>
              <w:bottom w:val="nil"/>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ОТЧЕТ 201</w:t>
            </w:r>
            <w:r w:rsidRPr="00F85C67">
              <w:rPr>
                <w:b/>
                <w:bCs/>
                <w:color w:val="FFFFFF"/>
                <w:sz w:val="18"/>
                <w:szCs w:val="18"/>
                <w:lang w:val="en-US"/>
              </w:rPr>
              <w:t>3</w:t>
            </w:r>
            <w:r w:rsidRPr="00F85C67">
              <w:rPr>
                <w:b/>
                <w:bCs/>
                <w:color w:val="FFFFFF"/>
                <w:sz w:val="18"/>
                <w:szCs w:val="18"/>
              </w:rPr>
              <w:t xml:space="preserve"> г.</w:t>
            </w:r>
          </w:p>
        </w:tc>
        <w:tc>
          <w:tcPr>
            <w:tcW w:w="720" w:type="dxa"/>
            <w:tcBorders>
              <w:top w:val="double" w:sz="6" w:space="0" w:color="800000"/>
              <w:left w:val="nil"/>
              <w:bottom w:val="nil"/>
              <w:right w:val="single" w:sz="4" w:space="0" w:color="FFFFFF"/>
            </w:tcBorders>
            <w:shd w:val="clear" w:color="auto" w:fill="800000"/>
            <w:noWrap/>
            <w:vAlign w:val="center"/>
          </w:tcPr>
          <w:p w:rsidR="000938C1" w:rsidRPr="00F85C67" w:rsidRDefault="000938C1" w:rsidP="009E1415">
            <w:pPr>
              <w:jc w:val="center"/>
              <w:rPr>
                <w:b/>
                <w:bCs/>
                <w:color w:val="FFFFFF"/>
                <w:sz w:val="16"/>
                <w:szCs w:val="16"/>
              </w:rPr>
            </w:pPr>
            <w:r w:rsidRPr="00F85C67">
              <w:rPr>
                <w:b/>
                <w:bCs/>
                <w:color w:val="FFFFFF"/>
                <w:sz w:val="16"/>
                <w:szCs w:val="16"/>
              </w:rPr>
              <w:t>КФП</w:t>
            </w:r>
          </w:p>
        </w:tc>
        <w:tc>
          <w:tcPr>
            <w:tcW w:w="720" w:type="dxa"/>
            <w:tcBorders>
              <w:top w:val="double" w:sz="6" w:space="0" w:color="800000"/>
              <w:left w:val="nil"/>
              <w:bottom w:val="nil"/>
              <w:right w:val="single" w:sz="4" w:space="0" w:color="FFFFFF"/>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РБ</w:t>
            </w:r>
          </w:p>
        </w:tc>
        <w:tc>
          <w:tcPr>
            <w:tcW w:w="540" w:type="dxa"/>
            <w:tcBorders>
              <w:top w:val="double" w:sz="6" w:space="0" w:color="800000"/>
              <w:left w:val="nil"/>
              <w:bottom w:val="nil"/>
              <w:right w:val="single" w:sz="4" w:space="0" w:color="FFFFFF"/>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Соц. осигу</w:t>
            </w:r>
          </w:p>
          <w:p w:rsidR="000938C1" w:rsidRPr="00F85C67" w:rsidRDefault="000938C1" w:rsidP="009E1415">
            <w:pPr>
              <w:jc w:val="center"/>
              <w:rPr>
                <w:b/>
                <w:bCs/>
                <w:color w:val="FFFFFF"/>
                <w:sz w:val="16"/>
                <w:szCs w:val="16"/>
              </w:rPr>
            </w:pPr>
            <w:r w:rsidRPr="00F85C67">
              <w:rPr>
                <w:b/>
                <w:bCs/>
                <w:color w:val="FFFFFF"/>
                <w:sz w:val="16"/>
                <w:szCs w:val="16"/>
              </w:rPr>
              <w:t>ряване</w:t>
            </w:r>
          </w:p>
        </w:tc>
        <w:tc>
          <w:tcPr>
            <w:tcW w:w="720" w:type="dxa"/>
            <w:tcBorders>
              <w:top w:val="double" w:sz="6" w:space="0" w:color="800000"/>
              <w:left w:val="nil"/>
              <w:bottom w:val="nil"/>
              <w:right w:val="single" w:sz="4" w:space="0" w:color="FFFFFF"/>
            </w:tcBorders>
            <w:shd w:val="clear" w:color="auto" w:fill="800000"/>
            <w:noWrap/>
            <w:vAlign w:val="center"/>
          </w:tcPr>
          <w:p w:rsidR="000938C1" w:rsidRPr="00F85C67" w:rsidRDefault="000938C1" w:rsidP="009E1415">
            <w:pPr>
              <w:jc w:val="center"/>
              <w:rPr>
                <w:b/>
                <w:bCs/>
                <w:color w:val="FFFFFF"/>
                <w:sz w:val="16"/>
                <w:szCs w:val="16"/>
              </w:rPr>
            </w:pPr>
            <w:r w:rsidRPr="00F85C67">
              <w:rPr>
                <w:b/>
                <w:bCs/>
                <w:color w:val="FFFFFF"/>
                <w:sz w:val="16"/>
                <w:szCs w:val="16"/>
              </w:rPr>
              <w:t>Съдеб. власт</w:t>
            </w:r>
          </w:p>
        </w:tc>
        <w:tc>
          <w:tcPr>
            <w:tcW w:w="540" w:type="dxa"/>
            <w:tcBorders>
              <w:top w:val="double" w:sz="6" w:space="0" w:color="800000"/>
              <w:left w:val="nil"/>
              <w:bottom w:val="nil"/>
              <w:right w:val="single" w:sz="4" w:space="0" w:color="FFFFFF"/>
            </w:tcBorders>
            <w:shd w:val="clear" w:color="auto" w:fill="800000"/>
            <w:noWrap/>
            <w:vAlign w:val="center"/>
          </w:tcPr>
          <w:p w:rsidR="000938C1" w:rsidRPr="00F85C67" w:rsidRDefault="000938C1" w:rsidP="009E1415">
            <w:pPr>
              <w:jc w:val="center"/>
              <w:rPr>
                <w:b/>
                <w:bCs/>
                <w:color w:val="FFFFFF"/>
                <w:sz w:val="16"/>
                <w:szCs w:val="16"/>
              </w:rPr>
            </w:pPr>
            <w:r w:rsidRPr="00F85C67">
              <w:rPr>
                <w:b/>
                <w:bCs/>
                <w:color w:val="FFFFFF"/>
                <w:sz w:val="16"/>
                <w:szCs w:val="16"/>
              </w:rPr>
              <w:t>ВУЗ</w:t>
            </w:r>
          </w:p>
        </w:tc>
        <w:tc>
          <w:tcPr>
            <w:tcW w:w="540" w:type="dxa"/>
            <w:tcBorders>
              <w:top w:val="double" w:sz="6" w:space="0" w:color="800000"/>
              <w:left w:val="nil"/>
              <w:bottom w:val="nil"/>
              <w:right w:val="single" w:sz="4" w:space="0" w:color="FFFFFF"/>
            </w:tcBorders>
            <w:shd w:val="clear" w:color="auto" w:fill="800000"/>
            <w:noWrap/>
            <w:vAlign w:val="center"/>
          </w:tcPr>
          <w:p w:rsidR="000938C1" w:rsidRPr="00F85C67" w:rsidRDefault="000938C1" w:rsidP="009E1415">
            <w:pPr>
              <w:jc w:val="center"/>
              <w:rPr>
                <w:b/>
                <w:bCs/>
                <w:color w:val="FFFFFF"/>
                <w:sz w:val="16"/>
                <w:szCs w:val="16"/>
              </w:rPr>
            </w:pPr>
            <w:r w:rsidRPr="00F85C67">
              <w:rPr>
                <w:b/>
                <w:bCs/>
                <w:color w:val="FFFFFF"/>
                <w:sz w:val="16"/>
                <w:szCs w:val="16"/>
              </w:rPr>
              <w:t>БАН</w:t>
            </w:r>
          </w:p>
        </w:tc>
        <w:tc>
          <w:tcPr>
            <w:tcW w:w="540" w:type="dxa"/>
            <w:tcBorders>
              <w:top w:val="double" w:sz="6" w:space="0" w:color="800000"/>
              <w:left w:val="nil"/>
              <w:right w:val="double" w:sz="6" w:space="0" w:color="800000"/>
            </w:tcBorders>
            <w:shd w:val="clear" w:color="auto" w:fill="800000"/>
          </w:tcPr>
          <w:p w:rsidR="000938C1" w:rsidRPr="00F85C67" w:rsidRDefault="000938C1" w:rsidP="009E1415">
            <w:pPr>
              <w:jc w:val="center"/>
              <w:rPr>
                <w:b/>
                <w:bCs/>
                <w:color w:val="FFFFFF"/>
              </w:rPr>
            </w:pPr>
          </w:p>
          <w:p w:rsidR="000938C1" w:rsidRPr="00F85C67" w:rsidRDefault="000938C1" w:rsidP="009E1415">
            <w:pPr>
              <w:jc w:val="center"/>
              <w:rPr>
                <w:b/>
                <w:bCs/>
                <w:color w:val="FFFFFF"/>
                <w:sz w:val="16"/>
                <w:szCs w:val="16"/>
              </w:rPr>
            </w:pPr>
            <w:r w:rsidRPr="00F85C67">
              <w:rPr>
                <w:b/>
                <w:bCs/>
                <w:color w:val="FFFFFF"/>
                <w:sz w:val="16"/>
                <w:szCs w:val="16"/>
              </w:rPr>
              <w:t>БНР</w:t>
            </w:r>
          </w:p>
        </w:tc>
        <w:tc>
          <w:tcPr>
            <w:tcW w:w="540" w:type="dxa"/>
            <w:tcBorders>
              <w:top w:val="double" w:sz="6" w:space="0" w:color="800000"/>
              <w:left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НС</w:t>
            </w:r>
          </w:p>
        </w:tc>
        <w:tc>
          <w:tcPr>
            <w:tcW w:w="720" w:type="dxa"/>
            <w:tcBorders>
              <w:top w:val="double" w:sz="6" w:space="0" w:color="800000"/>
              <w:left w:val="double" w:sz="6" w:space="0" w:color="800000"/>
              <w:bottom w:val="nil"/>
              <w:right w:val="single" w:sz="4" w:space="0" w:color="FFFFFF"/>
            </w:tcBorders>
            <w:shd w:val="clear" w:color="auto" w:fill="800000"/>
            <w:noWrap/>
            <w:vAlign w:val="center"/>
          </w:tcPr>
          <w:p w:rsidR="000938C1" w:rsidRPr="00F85C67" w:rsidRDefault="000938C1" w:rsidP="009E1415">
            <w:pPr>
              <w:jc w:val="center"/>
              <w:rPr>
                <w:b/>
                <w:bCs/>
                <w:color w:val="FFFFFF"/>
                <w:sz w:val="16"/>
                <w:szCs w:val="16"/>
              </w:rPr>
            </w:pPr>
            <w:r w:rsidRPr="00F85C67">
              <w:rPr>
                <w:b/>
                <w:bCs/>
                <w:color w:val="FFFFFF"/>
                <w:sz w:val="16"/>
                <w:szCs w:val="16"/>
              </w:rPr>
              <w:t>Общи -</w:t>
            </w:r>
          </w:p>
          <w:p w:rsidR="000938C1" w:rsidRPr="00F85C67" w:rsidRDefault="000938C1" w:rsidP="009E1415">
            <w:pPr>
              <w:jc w:val="center"/>
              <w:rPr>
                <w:b/>
                <w:bCs/>
                <w:color w:val="FFFFFF"/>
                <w:sz w:val="16"/>
                <w:szCs w:val="16"/>
              </w:rPr>
            </w:pPr>
            <w:r w:rsidRPr="00F85C67">
              <w:rPr>
                <w:b/>
                <w:bCs/>
                <w:color w:val="FFFFFF"/>
                <w:sz w:val="16"/>
                <w:szCs w:val="16"/>
              </w:rPr>
              <w:t>ни</w:t>
            </w:r>
          </w:p>
        </w:tc>
        <w:tc>
          <w:tcPr>
            <w:tcW w:w="540" w:type="dxa"/>
            <w:tcBorders>
              <w:top w:val="double" w:sz="6" w:space="0" w:color="800000"/>
              <w:left w:val="nil"/>
              <w:right w:val="double" w:sz="6" w:space="0" w:color="800000"/>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ИБ</w:t>
            </w:r>
          </w:p>
          <w:p w:rsidR="000938C1" w:rsidRPr="00F85C67" w:rsidRDefault="000938C1" w:rsidP="009E1415">
            <w:pPr>
              <w:jc w:val="center"/>
              <w:rPr>
                <w:b/>
                <w:bCs/>
                <w:color w:val="FFFFFF"/>
                <w:sz w:val="16"/>
                <w:szCs w:val="16"/>
              </w:rPr>
            </w:pPr>
            <w:r w:rsidRPr="00F85C67">
              <w:rPr>
                <w:b/>
                <w:bCs/>
                <w:color w:val="FFFFFF"/>
                <w:sz w:val="16"/>
                <w:szCs w:val="16"/>
              </w:rPr>
              <w:t>СФ</w:t>
            </w:r>
          </w:p>
        </w:tc>
        <w:tc>
          <w:tcPr>
            <w:tcW w:w="720" w:type="dxa"/>
            <w:tcBorders>
              <w:top w:val="double" w:sz="6" w:space="0" w:color="800000"/>
              <w:left w:val="double" w:sz="6" w:space="0" w:color="800000"/>
              <w:bottom w:val="nil"/>
              <w:right w:val="single" w:sz="4" w:space="0" w:color="FFFFFF"/>
            </w:tcBorders>
            <w:shd w:val="clear" w:color="auto" w:fill="800000"/>
            <w:noWrap/>
            <w:vAlign w:val="center"/>
          </w:tcPr>
          <w:p w:rsidR="000938C1" w:rsidRPr="00F85C67" w:rsidRDefault="000938C1" w:rsidP="009E1415">
            <w:pPr>
              <w:jc w:val="center"/>
              <w:rPr>
                <w:b/>
                <w:bCs/>
                <w:color w:val="FFFFFF"/>
                <w:sz w:val="16"/>
                <w:szCs w:val="16"/>
              </w:rPr>
            </w:pPr>
            <w:r w:rsidRPr="00F85C67">
              <w:rPr>
                <w:b/>
                <w:bCs/>
                <w:color w:val="FFFFFF"/>
                <w:sz w:val="16"/>
                <w:szCs w:val="16"/>
              </w:rPr>
              <w:t>Предп.</w:t>
            </w:r>
          </w:p>
          <w:p w:rsidR="000938C1" w:rsidRPr="00F85C67" w:rsidRDefault="000938C1" w:rsidP="009E1415">
            <w:pPr>
              <w:jc w:val="center"/>
              <w:rPr>
                <w:b/>
                <w:bCs/>
                <w:color w:val="FFFFFF"/>
                <w:sz w:val="16"/>
                <w:szCs w:val="16"/>
              </w:rPr>
            </w:pPr>
            <w:r w:rsidRPr="00F85C67">
              <w:rPr>
                <w:b/>
                <w:bCs/>
                <w:color w:val="FFFFFF"/>
                <w:sz w:val="16"/>
                <w:szCs w:val="16"/>
              </w:rPr>
              <w:t>п-ми</w:t>
            </w:r>
          </w:p>
        </w:tc>
        <w:tc>
          <w:tcPr>
            <w:tcW w:w="720" w:type="dxa"/>
            <w:tcBorders>
              <w:top w:val="double" w:sz="2" w:space="0" w:color="800000"/>
              <w:left w:val="nil"/>
              <w:bottom w:val="single" w:sz="4" w:space="0" w:color="FFFFFF"/>
              <w:right w:val="single" w:sz="4" w:space="0" w:color="FFFFFF"/>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 xml:space="preserve">Европ. </w:t>
            </w:r>
          </w:p>
          <w:p w:rsidR="000938C1" w:rsidRPr="00F85C67" w:rsidRDefault="000938C1" w:rsidP="009E1415">
            <w:pPr>
              <w:jc w:val="center"/>
              <w:rPr>
                <w:b/>
                <w:bCs/>
                <w:color w:val="FFFFFF"/>
                <w:sz w:val="16"/>
                <w:szCs w:val="16"/>
              </w:rPr>
            </w:pPr>
            <w:r w:rsidRPr="00F85C67">
              <w:rPr>
                <w:b/>
                <w:bCs/>
                <w:color w:val="FFFFFF"/>
                <w:sz w:val="16"/>
                <w:szCs w:val="16"/>
              </w:rPr>
              <w:t>ср-ва</w:t>
            </w:r>
          </w:p>
        </w:tc>
        <w:tc>
          <w:tcPr>
            <w:tcW w:w="900" w:type="dxa"/>
            <w:tcBorders>
              <w:top w:val="double" w:sz="2" w:space="0" w:color="800000"/>
              <w:left w:val="single" w:sz="4" w:space="0" w:color="FFFFFF"/>
              <w:bottom w:val="single" w:sz="4" w:space="0" w:color="FFFFFF"/>
              <w:right w:val="double" w:sz="2" w:space="0" w:color="800000"/>
            </w:tcBorders>
            <w:shd w:val="clear" w:color="auto" w:fill="800000"/>
            <w:vAlign w:val="center"/>
          </w:tcPr>
          <w:p w:rsidR="000938C1" w:rsidRPr="00F85C67" w:rsidRDefault="000938C1" w:rsidP="009E1415">
            <w:pPr>
              <w:jc w:val="center"/>
              <w:rPr>
                <w:b/>
                <w:bCs/>
                <w:color w:val="FFFFFF"/>
                <w:sz w:val="14"/>
                <w:szCs w:val="14"/>
              </w:rPr>
            </w:pPr>
            <w:r w:rsidRPr="00F85C67">
              <w:rPr>
                <w:b/>
                <w:bCs/>
                <w:color w:val="FFFFFF"/>
                <w:sz w:val="14"/>
                <w:szCs w:val="14"/>
              </w:rPr>
              <w:t>Др.сметки</w:t>
            </w:r>
            <w:r w:rsidRPr="00F85C67">
              <w:rPr>
                <w:rStyle w:val="FootnoteReference"/>
                <w:b/>
                <w:bCs/>
                <w:color w:val="FFFFFF"/>
                <w:sz w:val="14"/>
                <w:szCs w:val="14"/>
              </w:rPr>
              <w:footnoteReference w:id="15"/>
            </w:r>
          </w:p>
          <w:p w:rsidR="000938C1" w:rsidRPr="00F85C67" w:rsidRDefault="000938C1" w:rsidP="009E1415">
            <w:pPr>
              <w:jc w:val="center"/>
              <w:rPr>
                <w:b/>
                <w:bCs/>
                <w:color w:val="FFFFFF"/>
                <w:sz w:val="16"/>
                <w:szCs w:val="16"/>
                <w:highlight w:val="yellow"/>
              </w:rPr>
            </w:pP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b/>
                <w:bCs/>
                <w:sz w:val="18"/>
                <w:szCs w:val="18"/>
              </w:rPr>
            </w:pPr>
            <w:r w:rsidRPr="00B5093D">
              <w:rPr>
                <w:b/>
                <w:bCs/>
                <w:sz w:val="18"/>
                <w:szCs w:val="18"/>
              </w:rPr>
              <w:t>II. ОТБРАНА И СИГУРНОСТ</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3 160,4</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2 559,7</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438,7</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0,1</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b/>
                <w:bCs/>
                <w:color w:val="000000"/>
                <w:sz w:val="18"/>
                <w:szCs w:val="18"/>
              </w:rPr>
            </w:pPr>
            <w:r>
              <w:rPr>
                <w:b/>
                <w:bCs/>
                <w:color w:val="000000"/>
                <w:sz w:val="18"/>
                <w:szCs w:val="18"/>
              </w:rPr>
              <w:t>0,0</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0,0</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85,5</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0,2</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720" w:type="dxa"/>
            <w:tcBorders>
              <w:top w:val="single" w:sz="4" w:space="0" w:color="FFFFFF"/>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60,9</w:t>
            </w:r>
          </w:p>
        </w:tc>
        <w:tc>
          <w:tcPr>
            <w:tcW w:w="900" w:type="dxa"/>
            <w:tcBorders>
              <w:top w:val="single" w:sz="4" w:space="0" w:color="FFFFFF"/>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15,1</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b/>
                <w:bCs/>
                <w:sz w:val="18"/>
                <w:szCs w:val="18"/>
              </w:rPr>
            </w:pPr>
            <w:r w:rsidRPr="00B5093D">
              <w:rPr>
                <w:b/>
                <w:bCs/>
                <w:sz w:val="18"/>
                <w:szCs w:val="18"/>
              </w:rPr>
              <w:t xml:space="preserve">А. ОТБРАНА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995,9</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995,7</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0,1</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0,0</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0,1</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r>
      <w:tr w:rsidR="000938C1" w:rsidRPr="00CF1A14" w:rsidTr="009E1415">
        <w:trPr>
          <w:trHeight w:val="102"/>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898,3</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898,1</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0,0</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80"/>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97,6</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97,6</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0,0</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b/>
                <w:bCs/>
                <w:sz w:val="18"/>
                <w:szCs w:val="18"/>
              </w:rPr>
            </w:pPr>
            <w:r w:rsidRPr="00B5093D">
              <w:rPr>
                <w:b/>
                <w:bCs/>
                <w:sz w:val="18"/>
                <w:szCs w:val="18"/>
              </w:rPr>
              <w:t>Б. ПОЛИЦИЯ, ВЪТРЕШЕН РЕД И СИГУРНОСТ</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1 423,1</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1 350,3</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21,3</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0,2</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36,2</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b/>
                <w:bCs/>
                <w:sz w:val="18"/>
                <w:szCs w:val="18"/>
              </w:rPr>
            </w:pPr>
            <w:r>
              <w:rPr>
                <w:b/>
                <w:bCs/>
                <w:sz w:val="18"/>
                <w:szCs w:val="18"/>
              </w:rPr>
              <w:t>15,1</w:t>
            </w:r>
          </w:p>
        </w:tc>
      </w:tr>
      <w:tr w:rsidR="000938C1" w:rsidRPr="00CF1A14" w:rsidTr="009E1415">
        <w:trPr>
          <w:trHeight w:val="148"/>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1 342,9</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1 301,0</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20,8</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6,0</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sz w:val="18"/>
                <w:szCs w:val="18"/>
              </w:rPr>
            </w:pPr>
            <w:r>
              <w:rPr>
                <w:sz w:val="18"/>
                <w:szCs w:val="18"/>
              </w:rPr>
              <w:t>15,1</w:t>
            </w:r>
          </w:p>
        </w:tc>
      </w:tr>
      <w:tr w:rsidR="000938C1" w:rsidRPr="00CF1A14" w:rsidTr="009E1415">
        <w:trPr>
          <w:trHeight w:val="80"/>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80,2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49,4</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0,6</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0,2</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30,1</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sz w:val="18"/>
                <w:szCs w:val="18"/>
              </w:rPr>
            </w:pPr>
            <w:r>
              <w:rPr>
                <w:sz w:val="18"/>
                <w:szCs w:val="18"/>
              </w:rPr>
              <w:t> </w:t>
            </w:r>
          </w:p>
        </w:tc>
      </w:tr>
      <w:tr w:rsidR="000938C1" w:rsidRPr="00CF1A14" w:rsidTr="009E1415">
        <w:trPr>
          <w:trHeight w:val="102"/>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b/>
                <w:bCs/>
                <w:sz w:val="18"/>
                <w:szCs w:val="18"/>
              </w:rPr>
            </w:pPr>
            <w:r w:rsidRPr="00B5093D">
              <w:rPr>
                <w:b/>
                <w:bCs/>
                <w:sz w:val="18"/>
                <w:szCs w:val="18"/>
              </w:rPr>
              <w:t>В. СЪДЕБНА ВЛАСТ</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523,1</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77,4</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438,7</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7,1</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r>
      <w:tr w:rsidR="000938C1" w:rsidRPr="00CF1A14" w:rsidTr="009E1415">
        <w:trPr>
          <w:trHeight w:val="80"/>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507,0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65,9</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437,2</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3,8</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16,2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11,5</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1,4</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3,3</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b/>
                <w:bCs/>
                <w:sz w:val="18"/>
                <w:szCs w:val="18"/>
              </w:rPr>
            </w:pPr>
            <w:r w:rsidRPr="00B5093D">
              <w:rPr>
                <w:b/>
                <w:bCs/>
                <w:sz w:val="18"/>
                <w:szCs w:val="18"/>
              </w:rPr>
              <w:t>Г. АДМИНИСТРАЦИЯ НА ЗАТВОРИТЕ</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114,7</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114,5</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0,2</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112,9</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112,7</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0,2</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1,8</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1,8</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b/>
                <w:bCs/>
                <w:sz w:val="18"/>
                <w:szCs w:val="18"/>
              </w:rPr>
            </w:pPr>
            <w:r w:rsidRPr="00B5093D">
              <w:rPr>
                <w:b/>
                <w:bCs/>
                <w:sz w:val="18"/>
                <w:szCs w:val="18"/>
              </w:rPr>
              <w:t>Д. ЗАЩИТА НА НАСЕЛЕНИЕТО , УПРАВЛЕНИЕ И ДЕЙНОСТИ ПРИ СТИХИЙНИ БЕДСТВИЯ И АВАРИИ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103,5</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21,9</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b/>
                <w:bCs/>
                <w:color w:val="000000"/>
                <w:sz w:val="18"/>
                <w:szCs w:val="18"/>
              </w:rPr>
            </w:pPr>
            <w:r>
              <w:rPr>
                <w:b/>
                <w:bCs/>
                <w:color w:val="000000"/>
                <w:sz w:val="18"/>
                <w:szCs w:val="18"/>
              </w:rPr>
              <w:t>0,0</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64,1</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17,4</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23,7</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6,7</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0,0</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16,8</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255"/>
        </w:trPr>
        <w:tc>
          <w:tcPr>
            <w:tcW w:w="2520" w:type="dxa"/>
            <w:tcBorders>
              <w:top w:val="nil"/>
              <w:left w:val="double" w:sz="6" w:space="0" w:color="800000"/>
              <w:bottom w:val="nil"/>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0,4</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0,3</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540" w:type="dxa"/>
            <w:tcBorders>
              <w:top w:val="nil"/>
              <w:left w:val="nil"/>
              <w:bottom w:val="nil"/>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0,0</w:t>
            </w:r>
          </w:p>
        </w:tc>
        <w:tc>
          <w:tcPr>
            <w:tcW w:w="540" w:type="dxa"/>
            <w:tcBorders>
              <w:top w:val="nil"/>
              <w:left w:val="single" w:sz="4" w:space="0" w:color="993300"/>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0,2</w:t>
            </w:r>
          </w:p>
        </w:tc>
        <w:tc>
          <w:tcPr>
            <w:tcW w:w="54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900"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270"/>
        </w:trPr>
        <w:tc>
          <w:tcPr>
            <w:tcW w:w="2520" w:type="dxa"/>
            <w:tcBorders>
              <w:top w:val="nil"/>
              <w:left w:val="double" w:sz="6" w:space="0" w:color="800000"/>
              <w:bottom w:val="double" w:sz="6" w:space="0" w:color="800000"/>
              <w:right w:val="single" w:sz="4" w:space="0" w:color="800000"/>
            </w:tcBorders>
            <w:shd w:val="clear" w:color="auto" w:fill="FFFFCC"/>
            <w:noWrap/>
            <w:vAlign w:val="bottom"/>
          </w:tcPr>
          <w:p w:rsidR="000938C1" w:rsidRPr="00B5093D" w:rsidRDefault="000938C1" w:rsidP="009E1415">
            <w:pPr>
              <w:rPr>
                <w:sz w:val="18"/>
                <w:szCs w:val="18"/>
              </w:rPr>
            </w:pPr>
            <w:r w:rsidRPr="00B5093D">
              <w:rPr>
                <w:sz w:val="18"/>
                <w:szCs w:val="18"/>
              </w:rPr>
              <w:t xml:space="preserve">    Предотвратяване и ликвидиране на последиците от бедствия и аварии</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79,3</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14,9</w:t>
            </w:r>
          </w:p>
        </w:tc>
        <w:tc>
          <w:tcPr>
            <w:tcW w:w="54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54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40" w:type="dxa"/>
            <w:tcBorders>
              <w:top w:val="nil"/>
              <w:left w:val="nil"/>
              <w:bottom w:val="double" w:sz="6" w:space="0" w:color="800000"/>
              <w:right w:val="single" w:sz="4" w:space="0" w:color="9933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540" w:type="dxa"/>
            <w:tcBorders>
              <w:top w:val="nil"/>
              <w:left w:val="single" w:sz="4" w:space="0" w:color="993300"/>
              <w:bottom w:val="double" w:sz="6" w:space="0" w:color="800000"/>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47,1</w:t>
            </w:r>
          </w:p>
        </w:tc>
        <w:tc>
          <w:tcPr>
            <w:tcW w:w="540" w:type="dxa"/>
            <w:tcBorders>
              <w:top w:val="nil"/>
              <w:left w:val="nil"/>
              <w:bottom w:val="double" w:sz="6" w:space="0" w:color="800000"/>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 </w:t>
            </w:r>
          </w:p>
        </w:tc>
        <w:tc>
          <w:tcPr>
            <w:tcW w:w="720" w:type="dxa"/>
            <w:tcBorders>
              <w:top w:val="nil"/>
              <w:left w:val="single" w:sz="4" w:space="0" w:color="800000"/>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17,3</w:t>
            </w:r>
          </w:p>
        </w:tc>
        <w:tc>
          <w:tcPr>
            <w:tcW w:w="900" w:type="dxa"/>
            <w:tcBorders>
              <w:top w:val="nil"/>
              <w:left w:val="nil"/>
              <w:bottom w:val="double" w:sz="6" w:space="0" w:color="800000"/>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bl>
    <w:p w:rsidR="000938C1" w:rsidRPr="00CF1A14" w:rsidRDefault="000938C1" w:rsidP="00F85C67">
      <w:pPr>
        <w:ind w:firstLine="540"/>
        <w:rPr>
          <w:b/>
          <w:color w:val="0070C0"/>
        </w:rPr>
      </w:pPr>
    </w:p>
    <w:p w:rsidR="000938C1" w:rsidRPr="00CF1A14" w:rsidRDefault="000938C1" w:rsidP="00F85C67">
      <w:pPr>
        <w:ind w:firstLine="540"/>
        <w:rPr>
          <w:b/>
          <w:color w:val="0070C0"/>
          <w:lang w:val="en-US"/>
        </w:rPr>
      </w:pPr>
    </w:p>
    <w:p w:rsidR="000938C1" w:rsidRPr="00B857A3" w:rsidRDefault="000938C1" w:rsidP="00F85C67">
      <w:pPr>
        <w:ind w:firstLine="540"/>
        <w:rPr>
          <w:b/>
          <w:i/>
        </w:rPr>
      </w:pPr>
      <w:r w:rsidRPr="00B857A3">
        <w:rPr>
          <w:b/>
        </w:rPr>
        <w:t xml:space="preserve">Група А: </w:t>
      </w:r>
      <w:r w:rsidRPr="00B857A3">
        <w:rPr>
          <w:b/>
          <w:i/>
        </w:rPr>
        <w:t>„Отбрана”</w:t>
      </w:r>
    </w:p>
    <w:p w:rsidR="000938C1" w:rsidRPr="00CF1A14" w:rsidRDefault="000938C1" w:rsidP="00F85C67">
      <w:pPr>
        <w:ind w:firstLine="540"/>
        <w:jc w:val="both"/>
        <w:rPr>
          <w:color w:val="0070C0"/>
          <w:sz w:val="12"/>
          <w:szCs w:val="12"/>
        </w:rPr>
      </w:pPr>
    </w:p>
    <w:p w:rsidR="000938C1" w:rsidRPr="00CF1A14" w:rsidRDefault="000938C1" w:rsidP="00F85C67">
      <w:pPr>
        <w:ind w:firstLine="540"/>
        <w:jc w:val="both"/>
        <w:rPr>
          <w:color w:val="0070C0"/>
          <w:sz w:val="12"/>
          <w:szCs w:val="12"/>
        </w:rPr>
      </w:pPr>
    </w:p>
    <w:p w:rsidR="000938C1" w:rsidRPr="00B47226" w:rsidRDefault="000938C1" w:rsidP="00F85C67">
      <w:pPr>
        <w:ind w:firstLine="540"/>
        <w:jc w:val="both"/>
      </w:pPr>
      <w:r w:rsidRPr="00B857A3">
        <w:t xml:space="preserve">Извършените разходи </w:t>
      </w:r>
      <w:r w:rsidRPr="00B857A3">
        <w:rPr>
          <w:bCs/>
        </w:rPr>
        <w:t>по</w:t>
      </w:r>
      <w:r w:rsidRPr="00B857A3">
        <w:t xml:space="preserve"> консолидираната фискална програма за група </w:t>
      </w:r>
      <w:r w:rsidRPr="00B857A3">
        <w:rPr>
          <w:b/>
          <w:i/>
        </w:rPr>
        <w:t>„Отбрана”</w:t>
      </w:r>
      <w:r>
        <w:rPr>
          <w:b/>
          <w:i/>
        </w:rPr>
        <w:t xml:space="preserve"> </w:t>
      </w:r>
      <w:r w:rsidRPr="00B47226">
        <w:t>през 201</w:t>
      </w:r>
      <w:r w:rsidRPr="002255D3">
        <w:rPr>
          <w:lang w:val="ru-RU"/>
        </w:rPr>
        <w:t>3</w:t>
      </w:r>
      <w:r w:rsidRPr="00B47226">
        <w:t xml:space="preserve"> г. са в размер на </w:t>
      </w:r>
      <w:r w:rsidRPr="002255D3">
        <w:rPr>
          <w:lang w:val="ru-RU"/>
        </w:rPr>
        <w:t>995</w:t>
      </w:r>
      <w:r>
        <w:rPr>
          <w:lang w:val="ru-RU"/>
        </w:rPr>
        <w:t>,</w:t>
      </w:r>
      <w:r w:rsidRPr="002255D3">
        <w:rPr>
          <w:lang w:val="ru-RU"/>
        </w:rPr>
        <w:t>9</w:t>
      </w:r>
      <w:r w:rsidRPr="00B47226">
        <w:t xml:space="preserve"> млн. лв. От тях </w:t>
      </w:r>
      <w:r w:rsidRPr="002255D3">
        <w:rPr>
          <w:lang w:val="ru-RU"/>
        </w:rPr>
        <w:t>995</w:t>
      </w:r>
      <w:r>
        <w:rPr>
          <w:lang w:val="ru-RU"/>
        </w:rPr>
        <w:t>,</w:t>
      </w:r>
      <w:r w:rsidRPr="002255D3">
        <w:rPr>
          <w:lang w:val="ru-RU"/>
        </w:rPr>
        <w:t>7</w:t>
      </w:r>
      <w:r w:rsidRPr="00B47226">
        <w:t xml:space="preserve"> млн. лв. са изразходвани по бюджетите на </w:t>
      </w:r>
      <w:r w:rsidRPr="00B47226">
        <w:rPr>
          <w:b/>
        </w:rPr>
        <w:t>министерства и ведомства</w:t>
      </w:r>
      <w:r>
        <w:rPr>
          <w:b/>
        </w:rPr>
        <w:t xml:space="preserve">, </w:t>
      </w:r>
      <w:r w:rsidRPr="00B47226">
        <w:t>при разчетени със ЗДБРБ за 201</w:t>
      </w:r>
      <w:r w:rsidRPr="002255D3">
        <w:rPr>
          <w:lang w:val="ru-RU"/>
        </w:rPr>
        <w:t>3</w:t>
      </w:r>
      <w:r w:rsidRPr="00B47226">
        <w:t xml:space="preserve"> г. разходи в </w:t>
      </w:r>
      <w:r w:rsidRPr="000C3E23">
        <w:t xml:space="preserve">размер на </w:t>
      </w:r>
      <w:r w:rsidRPr="002255D3">
        <w:rPr>
          <w:lang w:val="ru-RU"/>
        </w:rPr>
        <w:t>1</w:t>
      </w:r>
      <w:r w:rsidRPr="000C3E23">
        <w:rPr>
          <w:lang w:val="en-US"/>
        </w:rPr>
        <w:t> </w:t>
      </w:r>
      <w:r w:rsidRPr="002255D3">
        <w:rPr>
          <w:lang w:val="ru-RU"/>
        </w:rPr>
        <w:t>02</w:t>
      </w:r>
      <w:r w:rsidRPr="000C3E23">
        <w:t>2,</w:t>
      </w:r>
      <w:r w:rsidRPr="002255D3">
        <w:rPr>
          <w:lang w:val="ru-RU"/>
        </w:rPr>
        <w:t>4</w:t>
      </w:r>
      <w:r w:rsidRPr="000C3E23">
        <w:t xml:space="preserve"> млн. лв. </w:t>
      </w:r>
      <w:r w:rsidRPr="002255D3">
        <w:rPr>
          <w:lang w:val="ru-RU"/>
        </w:rPr>
        <w:t>(</w:t>
      </w:r>
      <w:r w:rsidRPr="000C3E23">
        <w:t>с резерва за непредвидени и неотложни разходи</w:t>
      </w:r>
      <w:r w:rsidRPr="002255D3">
        <w:rPr>
          <w:lang w:val="ru-RU"/>
        </w:rPr>
        <w:t>)</w:t>
      </w:r>
      <w:r w:rsidRPr="000C3E23">
        <w:t xml:space="preserve">. Най-голям </w:t>
      </w:r>
      <w:r w:rsidRPr="00B47226">
        <w:t>относителен дял имат разходите, отчетени по бюджета на МО – 994,9 млн. лв., от които 96,8 млн. лв. са изразходвани за изпълнение на инвестиционната програма на министерството.</w:t>
      </w:r>
    </w:p>
    <w:p w:rsidR="000938C1" w:rsidRPr="006123FE" w:rsidRDefault="000938C1" w:rsidP="00F85C67">
      <w:pPr>
        <w:ind w:firstLine="540"/>
        <w:jc w:val="both"/>
      </w:pPr>
      <w:r w:rsidRPr="00B47226">
        <w:t>В хода на изпълнението на държавния бюджет, на основание чл. 34, ал.</w:t>
      </w:r>
      <w:r>
        <w:t xml:space="preserve"> </w:t>
      </w:r>
      <w:r w:rsidRPr="00B47226">
        <w:t>1</w:t>
      </w:r>
      <w:r>
        <w:t xml:space="preserve"> и</w:t>
      </w:r>
      <w:r w:rsidRPr="00B47226">
        <w:t xml:space="preserve"> 2 и чл. 35, ал. 2 и 5 от Закона за устройството на държавния бюджет, на министерствата и ведомствата по група „Отбрана” са осигурени допълнителни средства в размер на 4,4 млн. л</w:t>
      </w:r>
      <w:r>
        <w:t>е</w:t>
      </w:r>
      <w:r w:rsidRPr="00B47226">
        <w:t>в</w:t>
      </w:r>
      <w:r>
        <w:t>а</w:t>
      </w:r>
      <w:r w:rsidRPr="00B47226">
        <w:t>.</w:t>
      </w:r>
    </w:p>
    <w:p w:rsidR="000938C1" w:rsidRDefault="000938C1" w:rsidP="00F85C67">
      <w:pPr>
        <w:pStyle w:val="BodyText"/>
        <w:spacing w:after="0"/>
        <w:ind w:firstLine="539"/>
        <w:jc w:val="both"/>
      </w:pPr>
      <w:r w:rsidRPr="006123FE">
        <w:t xml:space="preserve">Усилията на отбранителната политика през 2013 г. бяха фокусирани върху осигуряване на условия за изпълнение на конституционно възложените мисии и задачи на въоръжените сили, както и ангажиментите на страната ни по линия на НАТО и Общата политика за сигурност и отбрана на ЕС. Продължи процесът на трансформация на системата за отбрана, с акцент върху професионализацията, модернизацията и подобряване на отбранителния мениджмънт. </w:t>
      </w:r>
      <w:r w:rsidRPr="00B47226">
        <w:t>През 2013 г. са обезпечени дейностите, свързани с развитието на отбранителните способности на страната. Запази се стратегическ</w:t>
      </w:r>
      <w:r>
        <w:t>а</w:t>
      </w:r>
      <w:r w:rsidRPr="00B47226">
        <w:t xml:space="preserve">та цел за изграждане, в рамките на наличните финансови ресурси, на въоръжени сили, способни да изпълняват успешно задачите си по трите възложени им мисии: „Отбрана“, „Подкрепа на международния мир“ и „Принос към националната сигурност в мирно време“.  </w:t>
      </w:r>
    </w:p>
    <w:p w:rsidR="000938C1" w:rsidRDefault="000938C1" w:rsidP="00F85C67">
      <w:pPr>
        <w:widowControl w:val="0"/>
        <w:ind w:firstLine="540"/>
        <w:jc w:val="both"/>
        <w:rPr>
          <w:color w:val="0070C0"/>
          <w:sz w:val="12"/>
          <w:szCs w:val="12"/>
        </w:rPr>
      </w:pPr>
    </w:p>
    <w:p w:rsidR="000938C1" w:rsidRPr="00CF1A14" w:rsidRDefault="000938C1" w:rsidP="00F85C67">
      <w:pPr>
        <w:widowControl w:val="0"/>
        <w:ind w:firstLine="540"/>
        <w:jc w:val="both"/>
        <w:rPr>
          <w:color w:val="0070C0"/>
          <w:sz w:val="12"/>
          <w:szCs w:val="12"/>
        </w:rPr>
      </w:pPr>
    </w:p>
    <w:p w:rsidR="000938C1" w:rsidRPr="00FB6095" w:rsidRDefault="000938C1" w:rsidP="00F85C67">
      <w:pPr>
        <w:ind w:firstLine="540"/>
        <w:rPr>
          <w:b/>
        </w:rPr>
      </w:pPr>
      <w:r w:rsidRPr="00FB6095">
        <w:rPr>
          <w:b/>
        </w:rPr>
        <w:t xml:space="preserve">Група Б: </w:t>
      </w:r>
      <w:r w:rsidRPr="00FB6095">
        <w:rPr>
          <w:b/>
          <w:i/>
        </w:rPr>
        <w:t>„Полиция, вътрешен ред и сигурност”</w:t>
      </w:r>
    </w:p>
    <w:p w:rsidR="000938C1" w:rsidRPr="00CF1A14" w:rsidRDefault="000938C1" w:rsidP="00F85C67">
      <w:pPr>
        <w:ind w:right="-108" w:firstLine="540"/>
        <w:rPr>
          <w:color w:val="0070C0"/>
          <w:sz w:val="12"/>
          <w:szCs w:val="12"/>
        </w:rPr>
      </w:pPr>
    </w:p>
    <w:p w:rsidR="000938C1" w:rsidRPr="00B337EE" w:rsidRDefault="000938C1" w:rsidP="00F85C67">
      <w:pPr>
        <w:pStyle w:val="BodyText"/>
        <w:ind w:firstLine="540"/>
        <w:jc w:val="both"/>
      </w:pPr>
      <w:r w:rsidRPr="00B337EE">
        <w:t xml:space="preserve">Разходите за група „Полиция, вътрешен ред и сигурност” по КФП са в размер на 1 423,1 млн. лв. </w:t>
      </w:r>
    </w:p>
    <w:p w:rsidR="000938C1" w:rsidRDefault="000938C1" w:rsidP="00F85C67">
      <w:pPr>
        <w:pStyle w:val="BodyText"/>
        <w:ind w:firstLine="540"/>
        <w:jc w:val="both"/>
      </w:pPr>
      <w:r w:rsidRPr="008C7EA4">
        <w:t xml:space="preserve">Със ЗДБРБ за 2013 г. по бюджетите </w:t>
      </w:r>
      <w:r w:rsidRPr="005C798E">
        <w:rPr>
          <w:b/>
        </w:rPr>
        <w:t>на министерства</w:t>
      </w:r>
      <w:r>
        <w:rPr>
          <w:b/>
        </w:rPr>
        <w:t>та</w:t>
      </w:r>
      <w:r w:rsidRPr="005C798E">
        <w:rPr>
          <w:b/>
        </w:rPr>
        <w:t xml:space="preserve"> и ведомства</w:t>
      </w:r>
      <w:r>
        <w:rPr>
          <w:b/>
        </w:rPr>
        <w:t>та</w:t>
      </w:r>
      <w:r w:rsidRPr="008C7EA4">
        <w:t xml:space="preserve"> са утвърдени </w:t>
      </w:r>
      <w:r w:rsidRPr="00142BAE">
        <w:t xml:space="preserve">1 262,2 млн. лв., </w:t>
      </w:r>
      <w:r w:rsidRPr="002255D3">
        <w:rPr>
          <w:lang w:val="ru-RU"/>
        </w:rPr>
        <w:t>(</w:t>
      </w:r>
      <w:r w:rsidRPr="00142BAE">
        <w:t>вкл. с резерва за непредвидени и неотложни разходи</w:t>
      </w:r>
      <w:r w:rsidRPr="002255D3">
        <w:rPr>
          <w:lang w:val="ru-RU"/>
        </w:rPr>
        <w:t>)</w:t>
      </w:r>
      <w:r w:rsidRPr="00142BAE">
        <w:t xml:space="preserve"> в т.ч. на МВР –</w:t>
      </w:r>
      <w:r w:rsidRPr="00CA6CF0">
        <w:rPr>
          <w:lang w:val="ru-RU"/>
        </w:rPr>
        <w:t xml:space="preserve">1 118,3 </w:t>
      </w:r>
      <w:r w:rsidRPr="00CA6CF0">
        <w:t xml:space="preserve">млн. лв. </w:t>
      </w:r>
      <w:r w:rsidRPr="002255D3">
        <w:rPr>
          <w:lang w:val="ru-RU"/>
        </w:rPr>
        <w:t>(</w:t>
      </w:r>
      <w:r w:rsidRPr="00CA6CF0">
        <w:t xml:space="preserve">в т. ч. </w:t>
      </w:r>
      <w:r>
        <w:t>одобрени допълнителни разходи по бюджета на МВР с ПМС 217/26.09.2013 г</w:t>
      </w:r>
      <w:r w:rsidRPr="009E4EAF">
        <w:t>. за сметка на резерва за непредвидени и неотложни разходи</w:t>
      </w:r>
      <w:r>
        <w:t xml:space="preserve"> в частта за структурни реформи и допълнителни фискални мерки</w:t>
      </w:r>
      <w:r w:rsidRPr="002255D3">
        <w:rPr>
          <w:lang w:val="ru-RU"/>
        </w:rPr>
        <w:t>)</w:t>
      </w:r>
      <w:r w:rsidRPr="00CA6CF0">
        <w:t>, на Държавната агенция „Национална сигурност” /ДАНС/ – 85,4 млн. лв., на Националната служба за охрана /НСО/ – 35,3 млн. лв.</w:t>
      </w:r>
      <w:r>
        <w:t>,</w:t>
      </w:r>
      <w:r w:rsidRPr="00CA6CF0">
        <w:t xml:space="preserve"> на Националната разузнавателна служба /НРС/ – 18,2</w:t>
      </w:r>
      <w:r>
        <w:t xml:space="preserve"> млн. лв. и на </w:t>
      </w:r>
      <w:r w:rsidRPr="00CA6CF0">
        <w:t>Министерския съвет, за Центъра за превенция и противодействие на корупцията и орга</w:t>
      </w:r>
      <w:r>
        <w:t xml:space="preserve">низираната престъпност (БОРКОР) - </w:t>
      </w:r>
      <w:r w:rsidRPr="00CA6CF0">
        <w:t>5,0 млн.</w:t>
      </w:r>
      <w:r>
        <w:t xml:space="preserve"> </w:t>
      </w:r>
      <w:r w:rsidRPr="00CA6CF0">
        <w:t>лв.</w:t>
      </w:r>
    </w:p>
    <w:p w:rsidR="000938C1" w:rsidRPr="002826A7" w:rsidRDefault="000938C1" w:rsidP="00F85C67">
      <w:pPr>
        <w:pStyle w:val="BodyText"/>
        <w:ind w:firstLine="540"/>
        <w:jc w:val="both"/>
      </w:pPr>
      <w:r w:rsidRPr="00CA6CF0">
        <w:t xml:space="preserve">По отчет разходите на министерствата и ведомствата са 1 350,3 млн. лв., в т.ч. 1 201,8 </w:t>
      </w:r>
      <w:r w:rsidRPr="002826A7">
        <w:t xml:space="preserve">млн. лв. – по бюджета на МВР,  89,0 млн. лв. – на ДАНС, 36,1 млн. лв. – на НСО, 19,9 млн. лв. – на НРС и 3,5 млн. лв. – на БОРКОР.   Отчетените разходи по група “Полиция, вътрешен ред и сигурност” за министерствата и ведомствата са 107,0 % спрямо одобрените със ЗДБРБ  за 2013 г. </w:t>
      </w:r>
    </w:p>
    <w:p w:rsidR="000938C1" w:rsidRPr="004F7E9E" w:rsidRDefault="000938C1" w:rsidP="00F85C67">
      <w:pPr>
        <w:pStyle w:val="BodyText"/>
        <w:ind w:firstLine="540"/>
        <w:jc w:val="both"/>
      </w:pPr>
      <w:r w:rsidRPr="004F7E9E">
        <w:t>В хода на изпълнението на държавния бюджет, на основание чл. 34, ал.</w:t>
      </w:r>
      <w:r>
        <w:t xml:space="preserve"> </w:t>
      </w:r>
      <w:r w:rsidRPr="004F7E9E">
        <w:t xml:space="preserve">1 и 2 и чл. 35, ал. 2 и 5 от Закона за устройството на държавния бюджет, на министерствата и ведомствата по група „Полиция, вътрешен ред и сигурност” са предоставени допълнителни средства в размер на 121,1 млн. лв.   </w:t>
      </w:r>
    </w:p>
    <w:p w:rsidR="000938C1" w:rsidRPr="00E509A8" w:rsidRDefault="000938C1" w:rsidP="00F85C67">
      <w:pPr>
        <w:tabs>
          <w:tab w:val="left" w:pos="-180"/>
          <w:tab w:val="left" w:pos="0"/>
        </w:tabs>
        <w:ind w:right="23"/>
        <w:jc w:val="both"/>
      </w:pPr>
      <w:r w:rsidRPr="00E509A8">
        <w:t xml:space="preserve">С изразходваните средства през 2013 г. са постигнати следните резултати по отношение приоритетните политики на правителството в областта на сигурността и вътрешния ред на страната: </w:t>
      </w:r>
    </w:p>
    <w:p w:rsidR="000938C1" w:rsidRPr="00E509A8" w:rsidRDefault="000938C1" w:rsidP="00F30F79">
      <w:pPr>
        <w:numPr>
          <w:ilvl w:val="0"/>
          <w:numId w:val="67"/>
        </w:numPr>
        <w:tabs>
          <w:tab w:val="left" w:pos="-180"/>
          <w:tab w:val="left" w:pos="0"/>
        </w:tabs>
        <w:ind w:left="851" w:right="23" w:hanging="284"/>
        <w:jc w:val="both"/>
        <w:rPr>
          <w:bCs/>
        </w:rPr>
      </w:pPr>
      <w:r w:rsidRPr="00E509A8">
        <w:rPr>
          <w:bCs/>
        </w:rPr>
        <w:t xml:space="preserve"> противодействие на престъпността, защита на националната сигурност, опазване на обществения ред и борба с корупцията;</w:t>
      </w:r>
    </w:p>
    <w:p w:rsidR="000938C1" w:rsidRPr="00E509A8" w:rsidRDefault="000938C1" w:rsidP="00F30F79">
      <w:pPr>
        <w:numPr>
          <w:ilvl w:val="0"/>
          <w:numId w:val="67"/>
        </w:numPr>
        <w:tabs>
          <w:tab w:val="left" w:pos="-180"/>
          <w:tab w:val="left" w:pos="0"/>
        </w:tabs>
        <w:ind w:left="851" w:right="23" w:hanging="284"/>
        <w:jc w:val="both"/>
        <w:rPr>
          <w:bCs/>
        </w:rPr>
      </w:pPr>
      <w:r w:rsidRPr="00E509A8">
        <w:rPr>
          <w:bCs/>
        </w:rPr>
        <w:t>противодействие на международния тероризъм, предотвратяване на посегателствата срещу функционирането на критично важни системи в икономиката, енергетиката, транспорта, комуникациите и социалната сфера, разкриване и предотвратяване на посегателствата срещу финансовата сигурност и срещу националната система за защита на класифицираната информация;</w:t>
      </w:r>
    </w:p>
    <w:p w:rsidR="000938C1" w:rsidRPr="00E509A8" w:rsidRDefault="000938C1" w:rsidP="00F30F79">
      <w:pPr>
        <w:numPr>
          <w:ilvl w:val="0"/>
          <w:numId w:val="67"/>
        </w:numPr>
        <w:tabs>
          <w:tab w:val="left" w:pos="-180"/>
          <w:tab w:val="left" w:pos="0"/>
        </w:tabs>
        <w:ind w:left="851" w:right="23" w:hanging="284"/>
        <w:jc w:val="both"/>
        <w:rPr>
          <w:bCs/>
        </w:rPr>
      </w:pPr>
      <w:r w:rsidRPr="00E509A8">
        <w:rPr>
          <w:bCs/>
        </w:rPr>
        <w:t>разкриване, предотвратяване и пресичане на незаконна международна търговия с оръжие, изделия и технологии с възможна двойна употреба;</w:t>
      </w:r>
    </w:p>
    <w:p w:rsidR="000938C1" w:rsidRPr="00E509A8" w:rsidRDefault="000938C1" w:rsidP="00F30F79">
      <w:pPr>
        <w:numPr>
          <w:ilvl w:val="0"/>
          <w:numId w:val="67"/>
        </w:numPr>
        <w:tabs>
          <w:tab w:val="left" w:pos="-180"/>
          <w:tab w:val="left" w:pos="0"/>
        </w:tabs>
        <w:ind w:left="851" w:right="23" w:hanging="284"/>
        <w:jc w:val="both"/>
        <w:rPr>
          <w:bCs/>
        </w:rPr>
      </w:pPr>
      <w:r w:rsidRPr="00E509A8">
        <w:rPr>
          <w:bCs/>
        </w:rPr>
        <w:t>противодействие на миграционните процеси, които застрашават националната сигурност, охрана и контрол на държавната граница;</w:t>
      </w:r>
    </w:p>
    <w:p w:rsidR="000938C1" w:rsidRPr="00E509A8" w:rsidRDefault="000938C1" w:rsidP="00F30F79">
      <w:pPr>
        <w:numPr>
          <w:ilvl w:val="0"/>
          <w:numId w:val="67"/>
        </w:numPr>
        <w:tabs>
          <w:tab w:val="left" w:pos="-180"/>
          <w:tab w:val="left" w:pos="0"/>
        </w:tabs>
        <w:ind w:left="851" w:right="23" w:hanging="284"/>
        <w:jc w:val="both"/>
        <w:rPr>
          <w:bCs/>
        </w:rPr>
      </w:pPr>
      <w:r w:rsidRPr="00E509A8">
        <w:rPr>
          <w:bCs/>
        </w:rPr>
        <w:t>осигуряване на държавен противопожарен контрол, пожарогасителна и аварийно-спасителна дейност;</w:t>
      </w:r>
    </w:p>
    <w:p w:rsidR="000938C1" w:rsidRPr="00E509A8" w:rsidRDefault="000938C1" w:rsidP="00F30F79">
      <w:pPr>
        <w:numPr>
          <w:ilvl w:val="0"/>
          <w:numId w:val="67"/>
        </w:numPr>
        <w:tabs>
          <w:tab w:val="left" w:pos="-180"/>
          <w:tab w:val="left" w:pos="0"/>
        </w:tabs>
        <w:spacing w:after="120"/>
        <w:ind w:left="851" w:right="23" w:hanging="284"/>
        <w:jc w:val="both"/>
        <w:rPr>
          <w:bCs/>
        </w:rPr>
      </w:pPr>
      <w:r w:rsidRPr="00E509A8">
        <w:rPr>
          <w:bCs/>
        </w:rPr>
        <w:t>анализиране, планиране и разработване на мерки и комплексни решения за предотвратяване на възможността за създаване на корупционни практики и противодействие на корупцията като цяло и на организираната престъпност в частта, в която двете престъпни явления взаимно се припокриват, с оглед спецификата на дейността на отделните държавни органи и техните администрации.</w:t>
      </w:r>
    </w:p>
    <w:p w:rsidR="000938C1" w:rsidRPr="00AC30D5" w:rsidRDefault="000938C1" w:rsidP="0052476D">
      <w:pPr>
        <w:tabs>
          <w:tab w:val="left" w:pos="-180"/>
          <w:tab w:val="left" w:pos="0"/>
          <w:tab w:val="left" w:pos="567"/>
        </w:tabs>
        <w:ind w:right="23"/>
        <w:jc w:val="both"/>
      </w:pPr>
      <w:r w:rsidRPr="00AC30D5">
        <w:rPr>
          <w:bCs/>
        </w:rPr>
        <w:tab/>
      </w:r>
      <w:r>
        <w:rPr>
          <w:bCs/>
        </w:rPr>
        <w:t xml:space="preserve">Отчетените </w:t>
      </w:r>
      <w:r>
        <w:t>р</w:t>
      </w:r>
      <w:r w:rsidRPr="00AC30D5">
        <w:t xml:space="preserve">азходи по </w:t>
      </w:r>
      <w:r w:rsidRPr="00AC30D5">
        <w:rPr>
          <w:b/>
        </w:rPr>
        <w:t>общинските бюджети за</w:t>
      </w:r>
      <w:r w:rsidRPr="00AC30D5">
        <w:t xml:space="preserve"> група „Полиция, вътрешен ред и сигурност” </w:t>
      </w:r>
      <w:r>
        <w:t xml:space="preserve">за 2013 г. </w:t>
      </w:r>
      <w:r w:rsidRPr="00AC30D5">
        <w:t xml:space="preserve">са в размер на 21,3 млн. лв. </w:t>
      </w:r>
      <w:r>
        <w:t>Извършените</w:t>
      </w:r>
      <w:r w:rsidRPr="00AC30D5">
        <w:t xml:space="preserve"> текущи разходи за тази група са в размер на 20,8 млн. лв., което е 86,9 % от разчетите към закона и 112,0 % </w:t>
      </w:r>
      <w:r>
        <w:t>спрямо</w:t>
      </w:r>
      <w:r w:rsidRPr="00AC30D5">
        <w:t xml:space="preserve"> отчетените за 2012 г. В </w:t>
      </w:r>
      <w:r w:rsidRPr="00AC30D5">
        <w:rPr>
          <w:i/>
        </w:rPr>
        <w:t>делегираните от държавата дейности</w:t>
      </w:r>
      <w:r w:rsidRPr="00AC30D5">
        <w:t xml:space="preserve"> за текущи разходи са разчетени средства по закон в размер на 9,9 млн. лв., а извършените разходи са 7,8 млн. лв. или</w:t>
      </w:r>
      <w:r>
        <w:t xml:space="preserve"> </w:t>
      </w:r>
      <w:r w:rsidRPr="00AC30D5">
        <w:t>78,8 % от плана. Изпълнението е 105,2 % спрямо отчета за 2012 г. Тук се отчитат разходите за персонал и издръжка на местните комисии за борба срещу противообществените прояви на малолетните и непълнолетните, на центровете за социална превенция и консултативни кабинети, на областните съвети по наркотични вещества и на превантивно-информационните центрове, на детските педагогически стаи, домовете за временно настаняване на пълнолетни лица, заведенията за отрезвяване, районните инспектори, разходите за персонал на секретарите на местните комисии за борба с трафика на хора.</w:t>
      </w:r>
    </w:p>
    <w:p w:rsidR="000938C1" w:rsidRPr="00AC30D5" w:rsidRDefault="000938C1" w:rsidP="00F85C67">
      <w:pPr>
        <w:tabs>
          <w:tab w:val="left" w:pos="-180"/>
          <w:tab w:val="left" w:pos="0"/>
        </w:tabs>
        <w:ind w:right="23"/>
        <w:jc w:val="both"/>
      </w:pPr>
      <w:r w:rsidRPr="00AC30D5">
        <w:t>По отчетни данни за 2013 г. общините са дофинансирали държавните дейности със собствени приходи в размер на 0</w:t>
      </w:r>
      <w:r>
        <w:t>,</w:t>
      </w:r>
      <w:r w:rsidRPr="00AC30D5">
        <w:t xml:space="preserve">7 млн.лв. </w:t>
      </w:r>
    </w:p>
    <w:p w:rsidR="000938C1" w:rsidRPr="00AC30D5" w:rsidRDefault="000938C1" w:rsidP="00F85C67">
      <w:pPr>
        <w:tabs>
          <w:tab w:val="left" w:pos="-180"/>
          <w:tab w:val="left" w:pos="0"/>
        </w:tabs>
        <w:ind w:right="23"/>
        <w:jc w:val="both"/>
      </w:pPr>
      <w:r w:rsidRPr="00AC30D5">
        <w:t xml:space="preserve">В </w:t>
      </w:r>
      <w:r w:rsidRPr="00AC30D5">
        <w:rPr>
          <w:i/>
        </w:rPr>
        <w:t>местните дейности</w:t>
      </w:r>
      <w:r w:rsidRPr="00AC30D5">
        <w:t xml:space="preserve"> за текущи разходи са разчетени средства по закон в размер на 14,1 млн. лв., а извършените разходи са 12,3 млн. лв. или 87,2 % от плана. Изпълнението е   119,3 % от отчета за 2012 г. Тук се отчитат разходите за звената „Общинска полиция”. </w:t>
      </w:r>
    </w:p>
    <w:p w:rsidR="000938C1" w:rsidRPr="0052476D" w:rsidRDefault="000938C1" w:rsidP="00F85C67">
      <w:pPr>
        <w:tabs>
          <w:tab w:val="left" w:pos="-180"/>
          <w:tab w:val="left" w:pos="0"/>
        </w:tabs>
        <w:spacing w:after="120"/>
        <w:ind w:right="23"/>
        <w:jc w:val="both"/>
        <w:rPr>
          <w:sz w:val="8"/>
          <w:szCs w:val="8"/>
        </w:rPr>
      </w:pPr>
    </w:p>
    <w:p w:rsidR="000938C1" w:rsidRPr="00E857A4" w:rsidRDefault="000938C1" w:rsidP="00F85C67">
      <w:pPr>
        <w:tabs>
          <w:tab w:val="left" w:pos="-180"/>
          <w:tab w:val="left" w:pos="0"/>
        </w:tabs>
        <w:spacing w:after="120"/>
        <w:ind w:right="23"/>
        <w:jc w:val="both"/>
      </w:pPr>
      <w:r w:rsidRPr="00E857A4">
        <w:t xml:space="preserve">Отчетените капиталови разходи в тази група са в размер на 0,6 млн. лв., основно за местни дейности. </w:t>
      </w:r>
    </w:p>
    <w:p w:rsidR="000938C1" w:rsidRPr="00EF6CF3" w:rsidRDefault="000938C1" w:rsidP="00F85C67">
      <w:pPr>
        <w:pStyle w:val="BodyText"/>
        <w:ind w:firstLine="540"/>
        <w:jc w:val="both"/>
      </w:pPr>
      <w:r w:rsidRPr="00D47D59">
        <w:rPr>
          <w:b/>
        </w:rPr>
        <w:t xml:space="preserve">Европейски средства </w:t>
      </w:r>
      <w:r w:rsidRPr="00D47D59">
        <w:t xml:space="preserve">-  изразходваните средства в група „Полиция, вътрешен ред и сигурност” са в размер на 36,2 млн. лв. </w:t>
      </w:r>
      <w:r w:rsidRPr="002255D3">
        <w:rPr>
          <w:lang w:val="ru-RU"/>
        </w:rPr>
        <w:t>(</w:t>
      </w:r>
      <w:r w:rsidRPr="00D47D59">
        <w:t>в т.ч. 30,1 млн. лв. капиталови разходи</w:t>
      </w:r>
      <w:r w:rsidRPr="002255D3">
        <w:rPr>
          <w:lang w:val="ru-RU"/>
        </w:rPr>
        <w:t>)</w:t>
      </w:r>
      <w:r w:rsidRPr="00D47D59">
        <w:t xml:space="preserve"> и са основно по оперативна програма „Околна среда“.  Извършените разходи по програмата са предимно за придобиване на материални дълготрайни </w:t>
      </w:r>
      <w:r w:rsidRPr="003E7E27">
        <w:t>активи.</w:t>
      </w:r>
    </w:p>
    <w:p w:rsidR="000938C1" w:rsidRPr="00CF1A14" w:rsidRDefault="000938C1" w:rsidP="00F85C67">
      <w:pPr>
        <w:ind w:right="-108" w:firstLine="540"/>
        <w:rPr>
          <w:color w:val="0070C0"/>
          <w:sz w:val="12"/>
          <w:szCs w:val="12"/>
        </w:rPr>
      </w:pPr>
    </w:p>
    <w:p w:rsidR="000938C1" w:rsidRPr="00C4216F" w:rsidRDefault="000938C1" w:rsidP="00F85C67">
      <w:pPr>
        <w:ind w:firstLine="540"/>
        <w:rPr>
          <w:b/>
        </w:rPr>
      </w:pPr>
      <w:r w:rsidRPr="00C4216F">
        <w:rPr>
          <w:b/>
        </w:rPr>
        <w:t xml:space="preserve">Група В: </w:t>
      </w:r>
      <w:r w:rsidRPr="00C4216F">
        <w:rPr>
          <w:b/>
          <w:i/>
        </w:rPr>
        <w:t>„Съдебна власт”</w:t>
      </w:r>
    </w:p>
    <w:p w:rsidR="000938C1" w:rsidRPr="00CF1A14" w:rsidRDefault="000938C1" w:rsidP="00F85C67">
      <w:pPr>
        <w:ind w:firstLine="540"/>
        <w:jc w:val="both"/>
        <w:rPr>
          <w:color w:val="0070C0"/>
          <w:sz w:val="12"/>
          <w:szCs w:val="12"/>
        </w:rPr>
      </w:pPr>
    </w:p>
    <w:p w:rsidR="000938C1" w:rsidRPr="008A05C7" w:rsidRDefault="000938C1" w:rsidP="00F85C67">
      <w:pPr>
        <w:ind w:firstLine="540"/>
        <w:jc w:val="both"/>
      </w:pPr>
      <w:r w:rsidRPr="00C4216F">
        <w:t>Средствата в тази група са предназначени за осигуряване на дейността на органите на съдебната власт, както и за издръжка на Главна дирекция „Охрана”, Агенцията по вписванията, Националното бюро за правна помощ (второстепенни разпоредители с бюджетни кредити към министъра на правосъдието) и разходите по програма „Инвестиции на органите на съдебната власт”. Със ЗДБРБ за 201</w:t>
      </w:r>
      <w:r>
        <w:t>3</w:t>
      </w:r>
      <w:r w:rsidRPr="00C4216F">
        <w:t xml:space="preserve"> г. в тази група са </w:t>
      </w:r>
      <w:r>
        <w:t>предвидени</w:t>
      </w:r>
      <w:r w:rsidRPr="00C4216F">
        <w:t xml:space="preserve"> разходи в размер на 472,8 млн. лв., от които 404,0 млн. лв. (с резерва за </w:t>
      </w:r>
      <w:r w:rsidRPr="00DD64E3">
        <w:t xml:space="preserve">непредвидени и неотложни разходи) по бюджета на съдебната власт и 66,7 млн. лв. по </w:t>
      </w:r>
      <w:r w:rsidRPr="008A05C7">
        <w:t>бюджета на МП</w:t>
      </w:r>
      <w:r w:rsidRPr="008A05C7">
        <w:rPr>
          <w:lang w:val="ru-RU"/>
        </w:rPr>
        <w:t>.</w:t>
      </w:r>
    </w:p>
    <w:p w:rsidR="000938C1" w:rsidRDefault="000938C1" w:rsidP="00F85C67">
      <w:pPr>
        <w:ind w:firstLine="540"/>
        <w:jc w:val="both"/>
      </w:pPr>
      <w:r>
        <w:t>С</w:t>
      </w:r>
      <w:r w:rsidRPr="008A05C7">
        <w:t>редства</w:t>
      </w:r>
      <w:r>
        <w:t>та</w:t>
      </w:r>
      <w:r w:rsidRPr="008A05C7">
        <w:t xml:space="preserve"> </w:t>
      </w:r>
      <w:r w:rsidRPr="008A05C7">
        <w:rPr>
          <w:b/>
        </w:rPr>
        <w:t>по бюджета на съдебната власт</w:t>
      </w:r>
      <w:r w:rsidRPr="008A05C7">
        <w:t xml:space="preserve"> са предвидени за финансово осигуряване на основните политики, заложени в Стратегията за реформа на българската съдебна система. Финансирането на дейностите при изпълнението на бюджета приоритетно са насочени за обезпечаване дейността на съдебната система, която да гарантира прилагането на законите, постигането на равен достъп до правосъдие и на европейски стандарти в областта на правната помощ, съдебното изпълнение и алтернативното решаване на спорове.</w:t>
      </w:r>
    </w:p>
    <w:p w:rsidR="000938C1" w:rsidRPr="006D7E82" w:rsidRDefault="000938C1" w:rsidP="00F85C67">
      <w:pPr>
        <w:spacing w:after="120"/>
        <w:ind w:firstLine="539"/>
        <w:jc w:val="both"/>
      </w:pPr>
      <w:r w:rsidRPr="00673D4D">
        <w:rPr>
          <w:b/>
        </w:rPr>
        <w:t>П</w:t>
      </w:r>
      <w:r w:rsidRPr="006D7E82">
        <w:rPr>
          <w:b/>
        </w:rPr>
        <w:t>о бюджета на Министерството на правосъдието</w:t>
      </w:r>
      <w:r w:rsidRPr="006D7E82">
        <w:t xml:space="preserve"> в тази група са </w:t>
      </w:r>
      <w:r>
        <w:t>предвид</w:t>
      </w:r>
      <w:r w:rsidRPr="006D7E82">
        <w:t>ени разходи за реализиране на следните политики: осигуряване на сигурност и опазване на обществения ред в съдебните сгради; опазване здравето и живота на магистрати и свидетели; оказване на своевременно съдействие на органите на съдебната власт при призоваване, принудително довеждане, задържане и конвоиране.</w:t>
      </w:r>
    </w:p>
    <w:p w:rsidR="000938C1" w:rsidRPr="00F33457" w:rsidRDefault="000938C1" w:rsidP="00F85C67">
      <w:pPr>
        <w:ind w:firstLine="540"/>
        <w:jc w:val="both"/>
      </w:pPr>
      <w:r w:rsidRPr="00F33457">
        <w:t>Общият размер на отчетените разходи по група „Съдебна власт” за 2013 г. е 523,1 млн. лв., от тях 438,7 млн. лв. по бюджета на съдебната власт и 77,4 млн. лв. по бюджета на МП.</w:t>
      </w:r>
    </w:p>
    <w:p w:rsidR="000938C1" w:rsidRPr="00F15226" w:rsidRDefault="000938C1" w:rsidP="00F85C67">
      <w:pPr>
        <w:ind w:firstLine="540"/>
        <w:jc w:val="both"/>
      </w:pPr>
      <w:r w:rsidRPr="00F15226">
        <w:t xml:space="preserve">В отчета на разходите </w:t>
      </w:r>
      <w:r w:rsidRPr="00F15226">
        <w:rPr>
          <w:b/>
        </w:rPr>
        <w:t>по бюджета на съдебната власт</w:t>
      </w:r>
      <w:r w:rsidRPr="00F15226">
        <w:t xml:space="preserve"> са включени: извършени разходи за сметка на наличностите по сметки от предходни години (чл.2, ал.</w:t>
      </w:r>
      <w:r>
        <w:t xml:space="preserve"> </w:t>
      </w:r>
      <w:r w:rsidRPr="00F15226">
        <w:t>5 от ЗДБРБ за 2013 г.); корекции на основание чл.</w:t>
      </w:r>
      <w:r>
        <w:t xml:space="preserve"> </w:t>
      </w:r>
      <w:r w:rsidRPr="00F15226">
        <w:t>34, ал.</w:t>
      </w:r>
      <w:r>
        <w:t xml:space="preserve"> </w:t>
      </w:r>
      <w:r w:rsidRPr="00F15226">
        <w:t>1 и 2 от ЗУДБ – ПМС №36/2001г. за изграждане на Комплексна автоматизирана система (КАС); ПМС № 109/2013 г., ПМС № 146/2013 г., ПМС № 231/2013 г. и ПМС № 268/2013 г. за одобряване на допълнителни бюджетни кредити по бюджета на съдебната власт за 2013 г.; трансфери от МТСП; трансфери от Националния фонд (МФ) - Норвежки финансов механизъм.</w:t>
      </w:r>
    </w:p>
    <w:p w:rsidR="000938C1" w:rsidRDefault="000938C1" w:rsidP="00F85C67">
      <w:pPr>
        <w:ind w:firstLine="540"/>
        <w:jc w:val="both"/>
      </w:pPr>
      <w:r w:rsidRPr="00F15226">
        <w:t xml:space="preserve">В отчета на разходите </w:t>
      </w:r>
      <w:r w:rsidRPr="00F15226">
        <w:rPr>
          <w:b/>
        </w:rPr>
        <w:t xml:space="preserve">по бюджета на МП </w:t>
      </w:r>
      <w:r w:rsidRPr="00F15226">
        <w:t xml:space="preserve">с най-голям размер разходи е програма </w:t>
      </w:r>
      <w:r w:rsidRPr="00F15226">
        <w:rPr>
          <w:color w:val="0070C0"/>
        </w:rPr>
        <w:t>„</w:t>
      </w:r>
      <w:r w:rsidRPr="00F15226">
        <w:t xml:space="preserve">Инвестиции на органите на съдебната власт”. През отчетния период изпълнението на разходите в програмата е в размер на 20,2 млн. лв., като от тях 8,4 млн. лв. са за капиталови разходи и 11,8 млн. лв. - разходи за издръжка на имотите, предоставени за управление на МП за нуждите на органите на съдебната власт. Съгласно чл. 130 а,  т. 2 от Конституцията на Република България министърът на правосъдието управлява имуществото на съдебната власт. На основание чл. 388, ал. 2 от Закона за съдебната власт средствата за строителство и основен ремонт на недвижимите имоти, както и средствата за задълженията, произтичащи от собствеността на имотите – данъци, такси, наеми, застраховки и преоценки се осигуряват по бюджета на МП. Чрез реализация на дейностите по програмата се цели удовлетворяване нуждите на органите на съдебната власт от подходящ сграден фонд за осъществяване на дейността им. </w:t>
      </w:r>
    </w:p>
    <w:p w:rsidR="000938C1" w:rsidRDefault="000938C1" w:rsidP="00F85C67">
      <w:pPr>
        <w:jc w:val="both"/>
      </w:pPr>
      <w:r w:rsidRPr="00F15226">
        <w:t xml:space="preserve">По програма „Равен достъп до правосъдието”, изпълнявана от Националното бюро за правна помощ (НБПП) съвместно с адвокатските съвети, са изразходвани средства в размер на 11,0 млн. лв., като от тях по Закона за правната помощ са отчетени администрирани разходи в размер на 10,4 млн. лв., които представляват изплатени адвокатски хонорари. Целта на програмата е да защитава правата и законовите интереси на гражданите, като се гарантира равен достъп на лицата до правосъдие, чрез осигуряване и предоставяне на ефективна правна помощ. През 2013 г. е предоставена правна помощ на 44 742 лица. Изплатени са адвокатски възнаграждения за предоставена правна помощ на 43 327 лица. </w:t>
      </w:r>
    </w:p>
    <w:p w:rsidR="000938C1" w:rsidRPr="00DA1693" w:rsidRDefault="000938C1" w:rsidP="00F85C67">
      <w:pPr>
        <w:jc w:val="both"/>
        <w:rPr>
          <w:highlight w:val="yellow"/>
        </w:rPr>
      </w:pPr>
      <w:r w:rsidRPr="00F15226">
        <w:t>По програма "</w:t>
      </w:r>
      <w:r w:rsidRPr="002C36B9">
        <w:t>Охрана на съдебната власт и на лицата, застрашени в наказателно производство" са отчетени общо разходи в размер на 29,4 млн. лв. Общият брой на обектите, подлежащи на охрана от Главна дирекция „Охрана“, съгласно чл. 391, ал. 3, т. 1 от Закона за съдебната власт, към настоящия момент е 227. От тях, поетите под охрана към 31.12.2013 г. са 169 обекта. Направени са инвестиции за оборудване на 28 денонощни оперативно дежурни части за видео наблюдение и оперативно наблюдение на служебните автомобили</w:t>
      </w:r>
      <w:r w:rsidRPr="00DA1693">
        <w:t>.</w:t>
      </w:r>
    </w:p>
    <w:p w:rsidR="000938C1" w:rsidRDefault="000938C1" w:rsidP="00F85C67">
      <w:pPr>
        <w:jc w:val="both"/>
      </w:pPr>
      <w:r w:rsidRPr="00DA1693">
        <w:t xml:space="preserve">За изпълнение на дейностите по програма ”Регистри” за Агенцията по вписванията са отчетени 16,9 млн. лв., от които за персонал – 9,8 млн. лв., за издръжка – 4,8 млн. лв. и за капиталови разходи – 2,2 млн. лв. С най-голям относителен дял от общо направените разходи за текуща издръжка са разходите за външни услуги. Средствата са изразходвани за наеми, охрана, телефонни и пощенски услуги, комуникационна свързаност, софтуерна и хардуерна поддръжка, абонаментна поддръжка на асансьори, климатични инсталации, сервиз на пожарогасители и други за нуждите на регионалните дирекции и ЦУ София. </w:t>
      </w:r>
    </w:p>
    <w:p w:rsidR="000938C1" w:rsidRDefault="000938C1" w:rsidP="00F85C67">
      <w:pPr>
        <w:jc w:val="both"/>
      </w:pPr>
    </w:p>
    <w:p w:rsidR="000938C1" w:rsidRPr="00DA1693" w:rsidRDefault="000938C1" w:rsidP="00F85C67">
      <w:pPr>
        <w:jc w:val="both"/>
      </w:pPr>
    </w:p>
    <w:p w:rsidR="000938C1" w:rsidRPr="00DA1693" w:rsidRDefault="000938C1" w:rsidP="00F85C67">
      <w:pPr>
        <w:ind w:firstLine="540"/>
        <w:jc w:val="both"/>
        <w:rPr>
          <w:sz w:val="12"/>
          <w:szCs w:val="12"/>
        </w:rPr>
      </w:pPr>
    </w:p>
    <w:p w:rsidR="000938C1" w:rsidRPr="007F78A5" w:rsidRDefault="000938C1" w:rsidP="00F85C67">
      <w:pPr>
        <w:ind w:firstLine="540"/>
        <w:rPr>
          <w:b/>
        </w:rPr>
      </w:pPr>
      <w:r w:rsidRPr="007F78A5">
        <w:rPr>
          <w:b/>
        </w:rPr>
        <w:t xml:space="preserve">Група Г: </w:t>
      </w:r>
      <w:r w:rsidRPr="007F78A5">
        <w:rPr>
          <w:b/>
          <w:i/>
        </w:rPr>
        <w:t>„Администрация на затворите”</w:t>
      </w:r>
    </w:p>
    <w:p w:rsidR="000938C1" w:rsidRPr="00CF1A14" w:rsidRDefault="000938C1" w:rsidP="00F85C67">
      <w:pPr>
        <w:ind w:firstLine="540"/>
        <w:rPr>
          <w:b/>
          <w:color w:val="0070C0"/>
          <w:sz w:val="12"/>
          <w:szCs w:val="12"/>
        </w:rPr>
      </w:pPr>
    </w:p>
    <w:p w:rsidR="000938C1" w:rsidRDefault="000938C1" w:rsidP="00F85C67">
      <w:pPr>
        <w:pStyle w:val="BodyTextIndent"/>
        <w:spacing w:after="0"/>
        <w:ind w:left="0" w:right="-159" w:firstLine="540"/>
        <w:jc w:val="both"/>
        <w:rPr>
          <w:lang w:val="bg-BG"/>
        </w:rPr>
      </w:pPr>
      <w:r w:rsidRPr="007F78A5">
        <w:rPr>
          <w:lang w:val="bg-BG"/>
        </w:rPr>
        <w:t xml:space="preserve">В тази група са включени разходите за финансово осигуряване на основните дейности и задачи, възложени със Закона за изпълнение на наказанията и задържането под стража, на </w:t>
      </w:r>
      <w:r w:rsidRPr="00515E7E">
        <w:rPr>
          <w:lang w:val="bg-BG"/>
        </w:rPr>
        <w:t xml:space="preserve">Главна дирекция </w:t>
      </w:r>
      <w:r w:rsidRPr="002255D3">
        <w:rPr>
          <w:lang w:val="ru-RU" w:eastAsia="bg-BG"/>
        </w:rPr>
        <w:t>„</w:t>
      </w:r>
      <w:r w:rsidRPr="00515E7E">
        <w:rPr>
          <w:lang w:val="bg-BG"/>
        </w:rPr>
        <w:t>Изпълнение на наказанията” към МП, както и средства за развитие на пробационната дейност в изпълнение на Наказателния кодекс. Утвърдените средства за годината по КФП са в размер на 124,6 млн. лв.</w:t>
      </w:r>
      <w:r w:rsidRPr="002255D3">
        <w:rPr>
          <w:lang w:val="ru-RU"/>
        </w:rPr>
        <w:t xml:space="preserve"> (</w:t>
      </w:r>
      <w:r w:rsidRPr="00515E7E">
        <w:rPr>
          <w:lang w:val="bg-BG"/>
        </w:rPr>
        <w:t>с резерва за непредвидени и неотложни разходи</w:t>
      </w:r>
      <w:r w:rsidRPr="002255D3">
        <w:rPr>
          <w:lang w:val="ru-RU"/>
        </w:rPr>
        <w:t>)</w:t>
      </w:r>
      <w:r w:rsidRPr="00515E7E">
        <w:rPr>
          <w:lang w:val="bg-BG"/>
        </w:rPr>
        <w:t xml:space="preserve">. </w:t>
      </w:r>
    </w:p>
    <w:p w:rsidR="000938C1" w:rsidRPr="00515E7E" w:rsidRDefault="000938C1" w:rsidP="00F85C67">
      <w:pPr>
        <w:pStyle w:val="BodyTextIndent"/>
        <w:spacing w:after="0"/>
        <w:ind w:left="0" w:right="-159" w:firstLine="540"/>
        <w:jc w:val="both"/>
        <w:rPr>
          <w:lang w:val="bg-BG"/>
        </w:rPr>
      </w:pPr>
      <w:r w:rsidRPr="00515E7E">
        <w:rPr>
          <w:lang w:val="bg-BG"/>
        </w:rPr>
        <w:t>Одобрените средства са за реализиране на политиката по изпълнение на наказанията, която осигурява защитата на обществото от правонарушителите, тяхната ресоциализация и социалната им рехабилитация. Политиката е насочена към превъзпитание на лишените от свобода и към усъвършенстване и демократизиране на институциите на наказателно - изпълнителната система, като необходима предпоставка за хуманно третиране на закононарушителите и гаранция за спазването на правата на човека.</w:t>
      </w:r>
    </w:p>
    <w:p w:rsidR="000938C1" w:rsidRDefault="000938C1" w:rsidP="00F85C67">
      <w:pPr>
        <w:pStyle w:val="BodyTextIndent"/>
        <w:spacing w:after="0"/>
        <w:ind w:left="0" w:right="-159" w:firstLine="540"/>
        <w:jc w:val="both"/>
        <w:rPr>
          <w:lang w:val="bg-BG"/>
        </w:rPr>
      </w:pPr>
      <w:r w:rsidRPr="007951AA">
        <w:rPr>
          <w:lang w:val="bg-BG"/>
        </w:rPr>
        <w:t xml:space="preserve">Общият размер на отчетените разходи </w:t>
      </w:r>
      <w:r>
        <w:rPr>
          <w:lang w:val="bg-BG"/>
        </w:rPr>
        <w:t xml:space="preserve">на консолидирано ниво за </w:t>
      </w:r>
      <w:r w:rsidRPr="007951AA">
        <w:rPr>
          <w:lang w:val="bg-BG"/>
        </w:rPr>
        <w:t xml:space="preserve"> групата </w:t>
      </w:r>
      <w:r>
        <w:rPr>
          <w:lang w:val="bg-BG"/>
        </w:rPr>
        <w:t>през</w:t>
      </w:r>
      <w:r w:rsidRPr="007951AA">
        <w:rPr>
          <w:lang w:val="bg-BG"/>
        </w:rPr>
        <w:t xml:space="preserve"> 2013 г. е 114,7 млн. лв., в т.ч.: за </w:t>
      </w:r>
      <w:r w:rsidRPr="00B94F19">
        <w:rPr>
          <w:lang w:val="bg-BG"/>
        </w:rPr>
        <w:t>текущи разходи – 112,9 млн. лв. и за капиталови разходи – 1,8 млн. л</w:t>
      </w:r>
      <w:r>
        <w:rPr>
          <w:lang w:val="bg-BG"/>
        </w:rPr>
        <w:t>е</w:t>
      </w:r>
      <w:r w:rsidRPr="00B94F19">
        <w:rPr>
          <w:lang w:val="bg-BG"/>
        </w:rPr>
        <w:t>в</w:t>
      </w:r>
      <w:r>
        <w:rPr>
          <w:lang w:val="bg-BG"/>
        </w:rPr>
        <w:t>а</w:t>
      </w:r>
      <w:r w:rsidRPr="00B94F19">
        <w:rPr>
          <w:lang w:val="bg-BG"/>
        </w:rPr>
        <w:t>.</w:t>
      </w:r>
    </w:p>
    <w:p w:rsidR="000938C1" w:rsidRPr="002255D3" w:rsidRDefault="000938C1" w:rsidP="00F85C67">
      <w:pPr>
        <w:pStyle w:val="BodyTextIndent"/>
        <w:spacing w:after="0"/>
        <w:ind w:left="0" w:right="-159" w:firstLine="540"/>
        <w:jc w:val="both"/>
        <w:rPr>
          <w:lang w:val="ru-RU" w:eastAsia="bg-BG"/>
        </w:rPr>
      </w:pPr>
      <w:r>
        <w:rPr>
          <w:lang w:val="bg-BG"/>
        </w:rPr>
        <w:t xml:space="preserve">В групата </w:t>
      </w:r>
      <w:r w:rsidRPr="002255D3">
        <w:rPr>
          <w:lang w:val="ru-RU" w:eastAsia="bg-BG"/>
        </w:rPr>
        <w:t>разходи</w:t>
      </w:r>
      <w:r>
        <w:rPr>
          <w:lang w:val="bg-BG" w:eastAsia="bg-BG"/>
        </w:rPr>
        <w:t xml:space="preserve">те се отчитат по </w:t>
      </w:r>
      <w:r w:rsidRPr="002255D3">
        <w:rPr>
          <w:b/>
          <w:lang w:val="ru-RU" w:eastAsia="bg-BG"/>
        </w:rPr>
        <w:t>политика „Изпълнение на наказанията”</w:t>
      </w:r>
      <w:r w:rsidRPr="002255D3">
        <w:rPr>
          <w:lang w:val="ru-RU" w:eastAsia="bg-BG"/>
        </w:rPr>
        <w:t xml:space="preserve">, която се изпълнява от двете програми </w:t>
      </w:r>
      <w:r w:rsidRPr="00CE1B03">
        <w:rPr>
          <w:lang w:val="ru-RU" w:eastAsia="bg-BG"/>
        </w:rPr>
        <w:t>–</w:t>
      </w:r>
      <w:r w:rsidRPr="002255D3">
        <w:rPr>
          <w:lang w:val="ru-RU" w:eastAsia="bg-BG"/>
        </w:rPr>
        <w:t>„Затвори-изолация на правонарушителите” и „Следствени арести и пробация”</w:t>
      </w:r>
      <w:r>
        <w:rPr>
          <w:lang w:val="bg-BG" w:eastAsia="bg-BG"/>
        </w:rPr>
        <w:t>. П</w:t>
      </w:r>
      <w:r w:rsidRPr="002255D3">
        <w:rPr>
          <w:lang w:val="ru-RU" w:eastAsia="bg-BG"/>
        </w:rPr>
        <w:t>реобладаващи са разходите за изпълнение на програма „Затвори - изолация на правонарушителите”, които са в размер на 82,7 млн.</w:t>
      </w:r>
      <w:r>
        <w:rPr>
          <w:lang w:val="ru-RU" w:eastAsia="bg-BG"/>
        </w:rPr>
        <w:t xml:space="preserve"> </w:t>
      </w:r>
      <w:r w:rsidRPr="002255D3">
        <w:rPr>
          <w:lang w:val="ru-RU" w:eastAsia="bg-BG"/>
        </w:rPr>
        <w:t>лв., или 72,</w:t>
      </w:r>
      <w:r>
        <w:rPr>
          <w:lang w:val="bg-BG" w:eastAsia="bg-BG"/>
        </w:rPr>
        <w:t>1</w:t>
      </w:r>
      <w:r w:rsidRPr="002255D3">
        <w:rPr>
          <w:lang w:val="ru-RU" w:eastAsia="bg-BG"/>
        </w:rPr>
        <w:t xml:space="preserve"> % от разходите по политиката.   </w:t>
      </w:r>
    </w:p>
    <w:p w:rsidR="000938C1" w:rsidRPr="00E3316C" w:rsidRDefault="000938C1" w:rsidP="00F85C67">
      <w:pPr>
        <w:spacing w:after="120"/>
        <w:ind w:firstLine="567"/>
        <w:jc w:val="both"/>
      </w:pPr>
      <w:r w:rsidRPr="00E3316C">
        <w:t>Общо ведомствените разходи по политика „Изпълнение на наказанията” са в размер на 86,2 млн.</w:t>
      </w:r>
      <w:r>
        <w:t xml:space="preserve"> </w:t>
      </w:r>
      <w:r w:rsidRPr="00E3316C">
        <w:t>лв., от които за програма „Затвори - изолация на правонарушителите”- 56,5 млн.</w:t>
      </w:r>
      <w:r>
        <w:t xml:space="preserve"> </w:t>
      </w:r>
      <w:r w:rsidRPr="00E3316C">
        <w:t>лв., а за програма „Следствени арести и пробация” – 29,7 млн.</w:t>
      </w:r>
      <w:r>
        <w:t xml:space="preserve"> </w:t>
      </w:r>
      <w:r w:rsidRPr="00E3316C">
        <w:t>лв. Отчетените администрирани разходи за изпълнение на политиката са в размер на 28,5 млн.лв.</w:t>
      </w:r>
    </w:p>
    <w:p w:rsidR="000938C1" w:rsidRPr="00B94F19" w:rsidRDefault="000938C1" w:rsidP="00F85C67">
      <w:pPr>
        <w:pStyle w:val="BodyTextIndent"/>
        <w:ind w:left="0" w:right="-159" w:firstLine="567"/>
        <w:jc w:val="both"/>
        <w:rPr>
          <w:lang w:val="bg-BG"/>
        </w:rPr>
      </w:pPr>
      <w:r w:rsidRPr="00B94F19">
        <w:rPr>
          <w:lang w:val="bg-BG"/>
        </w:rPr>
        <w:t xml:space="preserve">От изразходените средства за издръжка на ГД „Изпълнение на наказанията“, в размер на 37,0 млн. лв.,  най–голям дял имат разходите за вода, горива и енергия – 16,5 млн. лв., следвани от разходите за храна в размер на 12,3 млн. лв. и постелен инвентар и облекло – 1,5 млн. лв. </w:t>
      </w:r>
    </w:p>
    <w:p w:rsidR="000938C1" w:rsidRPr="00CF1A14" w:rsidRDefault="000938C1" w:rsidP="00F85C67">
      <w:pPr>
        <w:ind w:right="-159" w:firstLine="540"/>
        <w:jc w:val="both"/>
        <w:rPr>
          <w:color w:val="0070C0"/>
        </w:rPr>
      </w:pPr>
    </w:p>
    <w:p w:rsidR="000938C1" w:rsidRPr="00351282" w:rsidRDefault="000938C1" w:rsidP="00F85C67">
      <w:pPr>
        <w:ind w:left="1620" w:hanging="1080"/>
        <w:rPr>
          <w:b/>
          <w:i/>
        </w:rPr>
      </w:pPr>
      <w:r w:rsidRPr="00351282">
        <w:rPr>
          <w:b/>
        </w:rPr>
        <w:t>Група Д:</w:t>
      </w:r>
      <w:r w:rsidRPr="00351282">
        <w:rPr>
          <w:i/>
        </w:rPr>
        <w:t>„</w:t>
      </w:r>
      <w:r w:rsidRPr="00351282">
        <w:rPr>
          <w:b/>
          <w:i/>
        </w:rPr>
        <w:t>Защита на населението, управление и дейности при стихийни бедствия и аварии”</w:t>
      </w:r>
    </w:p>
    <w:p w:rsidR="000938C1" w:rsidRPr="00CF1A14" w:rsidRDefault="000938C1" w:rsidP="00F85C67">
      <w:pPr>
        <w:ind w:firstLine="540"/>
        <w:rPr>
          <w:b/>
          <w:color w:val="0070C0"/>
          <w:sz w:val="12"/>
          <w:szCs w:val="12"/>
        </w:rPr>
      </w:pPr>
    </w:p>
    <w:p w:rsidR="000938C1" w:rsidRPr="00351282" w:rsidRDefault="000938C1" w:rsidP="00F85C67">
      <w:pPr>
        <w:ind w:firstLine="540"/>
        <w:jc w:val="both"/>
      </w:pPr>
      <w:r w:rsidRPr="00351282">
        <w:t>Разходите за защита на населението, управление и дейности при стихийни бедствия и аварии са предназначени за осигуряване на дейностите по отбранително-мобилизационната подготовка, в изпълнение на Закона за отбраната и въоръжените сили на Република България, за изпълнение на разпоредбите на Закона за защита при бедствия, касаещи  дейностите на държавните органи и общинската администрация по управлението при кризи, стихийни бедствия и аварии, в т.ч. за изпълнението на мерки по предотвратяване на последствията от тях.</w:t>
      </w:r>
    </w:p>
    <w:p w:rsidR="000938C1" w:rsidRPr="00185C37" w:rsidRDefault="000938C1" w:rsidP="00F85C67">
      <w:pPr>
        <w:tabs>
          <w:tab w:val="num" w:pos="426"/>
          <w:tab w:val="num" w:pos="962"/>
        </w:tabs>
        <w:ind w:firstLine="540"/>
        <w:jc w:val="both"/>
      </w:pPr>
      <w:r w:rsidRPr="0096117B">
        <w:t xml:space="preserve">В група „Защита на населението, управление и дейности при стихийни бедствия и аварии” и през 2013 г. най-голям дял заемат средствата за предотвратяване, овладяване и преодоляване на последици от бедствия и аварии, разчетени със ЗДБРБ за 2013 г. в размер на </w:t>
      </w:r>
      <w:r>
        <w:t>79,3</w:t>
      </w:r>
      <w:r w:rsidRPr="0096117B">
        <w:t xml:space="preserve"> млн. лв. Средствата са предоставяни на министерства, ведомства и общини съгласно Решения от № 1 до Решение № 7 от 2013 г. на Междуведомствената комисия за възстановяване и </w:t>
      </w:r>
      <w:r w:rsidRPr="00185C37">
        <w:t>подпомагане към МС.</w:t>
      </w:r>
    </w:p>
    <w:p w:rsidR="000938C1" w:rsidRPr="00CF1A14" w:rsidRDefault="000938C1" w:rsidP="00F85C67">
      <w:pPr>
        <w:tabs>
          <w:tab w:val="num" w:pos="426"/>
          <w:tab w:val="num" w:pos="962"/>
        </w:tabs>
        <w:ind w:firstLine="540"/>
        <w:jc w:val="both"/>
        <w:rPr>
          <w:color w:val="0070C0"/>
        </w:rPr>
      </w:pPr>
      <w:r w:rsidRPr="00185C37">
        <w:t xml:space="preserve">В хода на изпълнението на държавния бюджет, на основание чл. 34, ал. 1 и 2  от Закона за устройството на държавния бюджет, по бюджетите на министерствата и ведомствата  са осигурени допълнителни средства в размер на 19,8 млн. лв., като те са основно за предотвратяване, овладяване и преодоляване на последици от бедствия. </w:t>
      </w:r>
    </w:p>
    <w:p w:rsidR="000938C1" w:rsidRPr="00185C37" w:rsidRDefault="000938C1" w:rsidP="00F85C67">
      <w:pPr>
        <w:tabs>
          <w:tab w:val="num" w:pos="426"/>
          <w:tab w:val="num" w:pos="962"/>
        </w:tabs>
        <w:ind w:firstLine="540"/>
        <w:jc w:val="both"/>
      </w:pPr>
      <w:r w:rsidRPr="00185C37">
        <w:t xml:space="preserve">През 2013 г. в група „Защита на населението, управление и дейности при стихийни бедствия и аварии” на консолидирано ниво са отчетени разходи в размер на 103,5 млн. лв., от които разходите за предотвратяване и ликвидиране на последиците от бедствия и аварии </w:t>
      </w:r>
      <w:r w:rsidRPr="00763C4D">
        <w:t xml:space="preserve">са </w:t>
      </w:r>
      <w:r w:rsidRPr="002255D3">
        <w:rPr>
          <w:lang w:val="ru-RU"/>
        </w:rPr>
        <w:t>79</w:t>
      </w:r>
      <w:r>
        <w:t>,</w:t>
      </w:r>
      <w:r w:rsidRPr="002255D3">
        <w:rPr>
          <w:lang w:val="ru-RU"/>
        </w:rPr>
        <w:t>3</w:t>
      </w:r>
      <w:r w:rsidRPr="00763C4D">
        <w:t xml:space="preserve"> млн. лв. От</w:t>
      </w:r>
      <w:r w:rsidRPr="00185C37">
        <w:t xml:space="preserve"> предоставените средства за   предотвратяване и ликвидиране на последиците от бедствия и аварии</w:t>
      </w:r>
      <w:r w:rsidRPr="00763C4D">
        <w:t xml:space="preserve">, </w:t>
      </w:r>
      <w:r w:rsidRPr="002255D3">
        <w:rPr>
          <w:lang w:val="ru-RU"/>
        </w:rPr>
        <w:t>47</w:t>
      </w:r>
      <w:r>
        <w:t>,1</w:t>
      </w:r>
      <w:r w:rsidRPr="00763C4D">
        <w:t xml:space="preserve"> млн. лв. са по бюджетите на общините и 14,9 млн.</w:t>
      </w:r>
      <w:r w:rsidRPr="00185C37">
        <w:t xml:space="preserve"> лв. по бюджетите на министерствата и ведомствата. </w:t>
      </w:r>
    </w:p>
    <w:p w:rsidR="000938C1" w:rsidRPr="003049F2" w:rsidRDefault="000938C1" w:rsidP="00F85C67">
      <w:pPr>
        <w:tabs>
          <w:tab w:val="num" w:pos="426"/>
          <w:tab w:val="num" w:pos="962"/>
        </w:tabs>
        <w:ind w:firstLine="540"/>
        <w:jc w:val="both"/>
      </w:pPr>
      <w:r w:rsidRPr="003049F2">
        <w:t>С изразходените средства през 2013 г. са постигнати следните резултати:</w:t>
      </w:r>
    </w:p>
    <w:p w:rsidR="000938C1" w:rsidRPr="003049F2" w:rsidRDefault="000938C1" w:rsidP="00F85C67">
      <w:pPr>
        <w:ind w:firstLine="567"/>
        <w:jc w:val="both"/>
        <w:rPr>
          <w:rFonts w:ascii="Calibri" w:hAnsi="Calibri"/>
        </w:rPr>
      </w:pPr>
      <w:r w:rsidRPr="003049F2">
        <w:t>Извършване на възстановител</w:t>
      </w:r>
      <w:r>
        <w:t>н</w:t>
      </w:r>
      <w:r w:rsidRPr="003049F2">
        <w:t>и дейности и преодоляване на щетите от настъпили бедствия и инциденти през 2012</w:t>
      </w:r>
      <w:r>
        <w:t xml:space="preserve"> </w:t>
      </w:r>
      <w:r w:rsidRPr="003049F2">
        <w:t>г. и 2013</w:t>
      </w:r>
      <w:r>
        <w:t xml:space="preserve"> </w:t>
      </w:r>
      <w:r w:rsidRPr="003049F2">
        <w:t>г., като по</w:t>
      </w:r>
      <w:r>
        <w:t>-</w:t>
      </w:r>
      <w:r w:rsidRPr="003049F2">
        <w:t>значителните събития са:</w:t>
      </w:r>
      <w:r>
        <w:t xml:space="preserve"> </w:t>
      </w:r>
      <w:r w:rsidRPr="003049F2">
        <w:t>земетресението на 22 май 2012 г. с епицентър в района на гр.</w:t>
      </w:r>
      <w:r>
        <w:t xml:space="preserve"> </w:t>
      </w:r>
      <w:r w:rsidRPr="003049F2">
        <w:t>Перник; вредното въздействие на води през юни 2013 г. и февруари 2012 г. в областите Ловеч, Смолян, Хасково, Ямбол, Благоевград и др</w:t>
      </w:r>
      <w:r>
        <w:t>.</w:t>
      </w:r>
      <w:r w:rsidRPr="003049F2">
        <w:t>;</w:t>
      </w:r>
      <w:r>
        <w:t xml:space="preserve"> </w:t>
      </w:r>
      <w:r w:rsidRPr="003049F2">
        <w:t>градушка в област Габрово през март 2013 г. и щорм в община Бяла (Варна) през 2012 г.;</w:t>
      </w:r>
      <w:r>
        <w:t xml:space="preserve"> </w:t>
      </w:r>
      <w:r w:rsidRPr="003049F2">
        <w:t>активизирани свлачища в к.к. Златни пясъци (общ. Варна); с. Осеново (общ. Сатовча); с. Тънка бара (общ. Неделино) и в общините Горна Оряховица, Червен бряг, Ковачевци, Лъки и Трявна;</w:t>
      </w:r>
      <w:r>
        <w:t xml:space="preserve"> </w:t>
      </w:r>
      <w:r w:rsidRPr="003049F2">
        <w:t>опасни състояния на пътни съоръжения (мост на р. Марица по бул. „Васил Априлов”, гр. Пловдив; мост над р. Благоевградска Бистрица на бул. „Св. Димитър Солунски”, гр. Благоевград); аварии с химическо замърсяване на питейни води за гр. Меричлери (общ. Димитровград); с изтичане на трихлоретан в „Полимери Девня” АД; срутване на земни маси в мина Ораново, взривове на бойни припаси, на съхранени</w:t>
      </w:r>
      <w:r>
        <w:t>е</w:t>
      </w:r>
      <w:r w:rsidRPr="003049F2">
        <w:t xml:space="preserve"> в складове на частно търговско дружество в района на „Петолъчката” (обл. Сливен) и др.;</w:t>
      </w:r>
      <w:r>
        <w:t xml:space="preserve"> </w:t>
      </w:r>
      <w:r w:rsidRPr="003049F2">
        <w:t>полски и горски пожари (обл. Благоевград, Кюстендил, Хасково, Перник) и общини Белица, Роман, Берковица и др.;</w:t>
      </w:r>
      <w:r>
        <w:t xml:space="preserve"> </w:t>
      </w:r>
      <w:r w:rsidRPr="003049F2">
        <w:t xml:space="preserve">третиране на площи в Дунавските общини и обл. Бургас срещу комари. </w:t>
      </w:r>
    </w:p>
    <w:p w:rsidR="000938C1" w:rsidRPr="004A10D5" w:rsidRDefault="000938C1" w:rsidP="00F85C67">
      <w:pPr>
        <w:pStyle w:val="BodyText"/>
        <w:widowControl w:val="0"/>
        <w:spacing w:after="0"/>
        <w:ind w:firstLine="540"/>
        <w:jc w:val="both"/>
      </w:pPr>
      <w:r w:rsidRPr="004A10D5">
        <w:t>В рамките на предоставените през годината средства, са реализирани и дейностите по осигуряването на готовността на централната и териториалната администрация за работа във военно време. Предоставените средства по дейността са разходвани основно за:</w:t>
      </w:r>
    </w:p>
    <w:p w:rsidR="000938C1" w:rsidRPr="004A10D5" w:rsidRDefault="000938C1" w:rsidP="00F30F79">
      <w:pPr>
        <w:numPr>
          <w:ilvl w:val="0"/>
          <w:numId w:val="11"/>
        </w:numPr>
        <w:tabs>
          <w:tab w:val="clear" w:pos="720"/>
          <w:tab w:val="num" w:pos="540"/>
          <w:tab w:val="left" w:pos="900"/>
          <w:tab w:val="left" w:pos="1260"/>
        </w:tabs>
        <w:ind w:left="540" w:hanging="540"/>
        <w:jc w:val="both"/>
      </w:pPr>
      <w:r w:rsidRPr="004A10D5">
        <w:t>поддържане в готовност за използване на системата за управление;</w:t>
      </w:r>
    </w:p>
    <w:p w:rsidR="000938C1" w:rsidRPr="004A10D5" w:rsidRDefault="000938C1" w:rsidP="00F30F79">
      <w:pPr>
        <w:numPr>
          <w:ilvl w:val="0"/>
          <w:numId w:val="11"/>
        </w:numPr>
        <w:tabs>
          <w:tab w:val="clear" w:pos="720"/>
          <w:tab w:val="num" w:pos="540"/>
          <w:tab w:val="left" w:pos="900"/>
          <w:tab w:val="left" w:pos="1260"/>
        </w:tabs>
        <w:ind w:left="540" w:hanging="540"/>
        <w:jc w:val="both"/>
      </w:pPr>
      <w:r w:rsidRPr="004A10D5">
        <w:t>поддържане на денонощно дежурство за оповестяване и преминаване от мирно във военно положение;</w:t>
      </w:r>
    </w:p>
    <w:p w:rsidR="000938C1" w:rsidRPr="004A10D5" w:rsidRDefault="000938C1" w:rsidP="00F30F79">
      <w:pPr>
        <w:numPr>
          <w:ilvl w:val="0"/>
          <w:numId w:val="11"/>
        </w:numPr>
        <w:tabs>
          <w:tab w:val="clear" w:pos="720"/>
          <w:tab w:val="num" w:pos="540"/>
          <w:tab w:val="left" w:pos="900"/>
          <w:tab w:val="left" w:pos="1260"/>
        </w:tabs>
        <w:ind w:left="540" w:hanging="540"/>
        <w:jc w:val="both"/>
      </w:pPr>
      <w:r w:rsidRPr="004A10D5">
        <w:t>поддържане на индивидуалните и колективни средства за защита;</w:t>
      </w:r>
    </w:p>
    <w:p w:rsidR="000938C1" w:rsidRPr="004A10D5" w:rsidRDefault="000938C1" w:rsidP="00F30F79">
      <w:pPr>
        <w:numPr>
          <w:ilvl w:val="0"/>
          <w:numId w:val="11"/>
        </w:numPr>
        <w:tabs>
          <w:tab w:val="clear" w:pos="720"/>
          <w:tab w:val="num" w:pos="540"/>
          <w:tab w:val="left" w:pos="900"/>
          <w:tab w:val="left" w:pos="1260"/>
        </w:tabs>
        <w:spacing w:after="120"/>
        <w:ind w:left="540" w:hanging="540"/>
        <w:jc w:val="both"/>
      </w:pPr>
      <w:r w:rsidRPr="004A10D5">
        <w:t>подготовка на ръководния състав за работа във военно време.</w:t>
      </w:r>
    </w:p>
    <w:p w:rsidR="000938C1" w:rsidRPr="00AD32F8" w:rsidRDefault="000938C1" w:rsidP="00F85C67">
      <w:pPr>
        <w:pStyle w:val="BodyText"/>
        <w:widowControl w:val="0"/>
        <w:spacing w:after="0"/>
        <w:ind w:firstLine="539"/>
        <w:jc w:val="both"/>
      </w:pPr>
      <w:r w:rsidRPr="00AD32F8">
        <w:t xml:space="preserve">Разходите по </w:t>
      </w:r>
      <w:r w:rsidRPr="00AD32F8">
        <w:rPr>
          <w:b/>
        </w:rPr>
        <w:t>общинските бюджети</w:t>
      </w:r>
      <w:r w:rsidRPr="00AD32F8">
        <w:t xml:space="preserve"> за групата са в размер на 64,1 млн. лв., като от тях </w:t>
      </w:r>
      <w:r>
        <w:t>47,1</w:t>
      </w:r>
      <w:r w:rsidRPr="00AD32F8">
        <w:t xml:space="preserve"> млн. лв. са изразходвани за предотвратяване и ликвидиране на последиците от бедствия и аварии. </w:t>
      </w:r>
    </w:p>
    <w:p w:rsidR="000938C1" w:rsidRPr="00AD32F8" w:rsidRDefault="000938C1" w:rsidP="00F85C67">
      <w:pPr>
        <w:pStyle w:val="BodyText"/>
        <w:widowControl w:val="0"/>
        <w:spacing w:after="0"/>
        <w:ind w:firstLine="539"/>
        <w:jc w:val="both"/>
      </w:pPr>
      <w:r w:rsidRPr="00AD32F8">
        <w:t xml:space="preserve">В група „Защита на населението, управление и дейности при стихийни бедствия и аварии” при </w:t>
      </w:r>
      <w:r w:rsidRPr="00AD32F8">
        <w:rPr>
          <w:i/>
        </w:rPr>
        <w:t xml:space="preserve">делегираните от държавата дейности </w:t>
      </w:r>
      <w:r w:rsidRPr="00AD32F8">
        <w:t xml:space="preserve">за текущи разходи са разчетени средства по закон в размер на 15,5 млн. лв., а извършените разходи са 33,6 млн. лв. или 18,1 млн. лв. повече спрямо плана. </w:t>
      </w:r>
      <w:r w:rsidRPr="00AD32F8">
        <w:rPr>
          <w:sz w:val="22"/>
          <w:szCs w:val="22"/>
        </w:rPr>
        <w:t xml:space="preserve">Тук </w:t>
      </w:r>
      <w:r w:rsidRPr="00AD32F8">
        <w:t>се отчитат средствата, преведени на общините по решения на Междуведомствената комисия за възстановяване и подпомагане (МВКВП) към МС, разходите за отбранително-мобилизационни мероприятия и за доброволните формирования за предотвратяване или овладяване на бедствия, пожари и извънредни ситуации. Превишението на отчетените средства спрямо закона са във връзка с предоставените допълнителни средства по решения на МВКВП, за превантивна дейност и за ликвидиране на последиците от стихийни бедствия и аварии, както и предоставени допълнителни средства от централния бюджет за новосъздадени доброволни формирования.</w:t>
      </w:r>
    </w:p>
    <w:p w:rsidR="000938C1" w:rsidRPr="0077136C" w:rsidRDefault="000938C1" w:rsidP="00F85C67">
      <w:pPr>
        <w:pStyle w:val="BodyText"/>
        <w:widowControl w:val="0"/>
        <w:spacing w:after="0"/>
        <w:ind w:firstLine="539"/>
        <w:jc w:val="both"/>
      </w:pPr>
      <w:r w:rsidRPr="00AD32F8">
        <w:t xml:space="preserve">По отчетни данни за 2013 г. общините са дофинансирали държавните дейности със собствени </w:t>
      </w:r>
      <w:r w:rsidRPr="0077136C">
        <w:t xml:space="preserve">приходи в размер на 1,7 млн. </w:t>
      </w:r>
      <w:r>
        <w:t>лева</w:t>
      </w:r>
      <w:r w:rsidRPr="0077136C">
        <w:t>.</w:t>
      </w:r>
    </w:p>
    <w:p w:rsidR="000938C1" w:rsidRPr="00015A27" w:rsidRDefault="000938C1" w:rsidP="00F85C67">
      <w:pPr>
        <w:pStyle w:val="BodyText"/>
        <w:widowControl w:val="0"/>
        <w:spacing w:after="0"/>
        <w:ind w:firstLine="539"/>
        <w:jc w:val="both"/>
      </w:pPr>
      <w:r w:rsidRPr="0077136C">
        <w:t xml:space="preserve">В групата, за </w:t>
      </w:r>
      <w:r w:rsidRPr="0077136C">
        <w:rPr>
          <w:i/>
        </w:rPr>
        <w:t>местните дейности</w:t>
      </w:r>
      <w:r w:rsidRPr="0077136C">
        <w:t xml:space="preserve"> за текущи разходи са разчетени средства по закон в размер на 7,5 млн. лв., а извършените разходи са 2,6 млн. лв. Тук се отчитат разходите за осигуряване дейностите по плана за защита при бедствия и за неотложни и непредвидени разходи, свързани със защитата на населението при ликвидиране на последици от </w:t>
      </w:r>
      <w:r w:rsidRPr="00015A27">
        <w:t>стихийни бедствия и производствени аварии.</w:t>
      </w:r>
    </w:p>
    <w:p w:rsidR="000938C1" w:rsidRDefault="000938C1" w:rsidP="00F85C67">
      <w:pPr>
        <w:pStyle w:val="BodyText"/>
        <w:ind w:firstLine="540"/>
        <w:jc w:val="both"/>
      </w:pPr>
      <w:r w:rsidRPr="00EF6CF3">
        <w:rPr>
          <w:b/>
        </w:rPr>
        <w:t xml:space="preserve">Европейски средства </w:t>
      </w:r>
      <w:r w:rsidRPr="00EF6CF3">
        <w:t xml:space="preserve">-  </w:t>
      </w:r>
      <w:r>
        <w:t>разходите</w:t>
      </w:r>
      <w:r w:rsidRPr="00EF6CF3">
        <w:t xml:space="preserve"> в група „</w:t>
      </w:r>
      <w:r>
        <w:t>З</w:t>
      </w:r>
      <w:r w:rsidRPr="00EF6CF3">
        <w:t xml:space="preserve">ащита на населението,  управление и дейности при стихийни бедствия и аварии” са в </w:t>
      </w:r>
      <w:r w:rsidRPr="003C7A61">
        <w:t>размер на 17,4 млн. лв</w:t>
      </w:r>
      <w:r>
        <w:t xml:space="preserve">., </w:t>
      </w:r>
      <w:r w:rsidRPr="003C7A61">
        <w:t xml:space="preserve">основно по оперативна програма „Регионално развитие”. </w:t>
      </w:r>
      <w:r>
        <w:t xml:space="preserve">Средствата са </w:t>
      </w:r>
      <w:r w:rsidRPr="00AD32F8">
        <w:t xml:space="preserve">изразходвани за предотвратяване и ликвидиране на последиците от бедствия и аварии. </w:t>
      </w:r>
      <w:r w:rsidRPr="003C7A61">
        <w:t>Дейностите</w:t>
      </w:r>
      <w:r>
        <w:t xml:space="preserve"> по </w:t>
      </w:r>
      <w:r w:rsidRPr="003C7A61">
        <w:t>оперативна програма „Регионално развитие”</w:t>
      </w:r>
      <w:r>
        <w:t xml:space="preserve"> </w:t>
      </w:r>
      <w:r w:rsidRPr="003C7A61">
        <w:t>в това функционално</w:t>
      </w:r>
      <w:r>
        <w:t xml:space="preserve"> направление са свързани с п</w:t>
      </w:r>
      <w:r w:rsidRPr="005E5250">
        <w:t>одобряване на физическата среда и превенция</w:t>
      </w:r>
      <w:r>
        <w:t>та</w:t>
      </w:r>
      <w:r w:rsidRPr="005E5250">
        <w:t xml:space="preserve"> на риска</w:t>
      </w:r>
      <w:r>
        <w:t xml:space="preserve">. </w:t>
      </w:r>
      <w:r w:rsidRPr="005E5250">
        <w:t xml:space="preserve">Една от </w:t>
      </w:r>
      <w:r w:rsidRPr="00DE3FE0">
        <w:t>целите на оперативната програма е да се повиши</w:t>
      </w:r>
      <w:r>
        <w:t xml:space="preserve"> </w:t>
      </w:r>
      <w:r w:rsidRPr="00DE3FE0">
        <w:t>качеството</w:t>
      </w:r>
      <w:r>
        <w:t xml:space="preserve"> </w:t>
      </w:r>
      <w:r w:rsidRPr="00DE3FE0">
        <w:t>на</w:t>
      </w:r>
      <w:r>
        <w:t xml:space="preserve"> </w:t>
      </w:r>
      <w:r w:rsidRPr="00DE3FE0">
        <w:t>живот</w:t>
      </w:r>
      <w:r>
        <w:t xml:space="preserve"> </w:t>
      </w:r>
      <w:r w:rsidRPr="00DE3FE0">
        <w:t>и</w:t>
      </w:r>
      <w:r>
        <w:t xml:space="preserve"> </w:t>
      </w:r>
      <w:r w:rsidRPr="00DE3FE0">
        <w:t>съответните</w:t>
      </w:r>
      <w:r>
        <w:t xml:space="preserve"> </w:t>
      </w:r>
      <w:r w:rsidRPr="0029016D">
        <w:t>екологични</w:t>
      </w:r>
      <w:r>
        <w:t xml:space="preserve"> </w:t>
      </w:r>
      <w:r w:rsidRPr="0029016D">
        <w:t>условия, включително</w:t>
      </w:r>
      <w:r>
        <w:t xml:space="preserve"> </w:t>
      </w:r>
      <w:r w:rsidRPr="0029016D">
        <w:t>предотвратяване</w:t>
      </w:r>
      <w:r>
        <w:t xml:space="preserve"> </w:t>
      </w:r>
      <w:r w:rsidRPr="0029016D">
        <w:t>на</w:t>
      </w:r>
      <w:r>
        <w:t xml:space="preserve"> </w:t>
      </w:r>
      <w:r w:rsidRPr="0029016D">
        <w:t>рискове.</w:t>
      </w:r>
      <w:r>
        <w:t xml:space="preserve"> </w:t>
      </w:r>
      <w:r w:rsidRPr="0029016D">
        <w:t>Програмата подкрепя</w:t>
      </w:r>
      <w:r>
        <w:t xml:space="preserve"> </w:t>
      </w:r>
      <w:r w:rsidRPr="0029016D">
        <w:t>инвестиции, които</w:t>
      </w:r>
      <w:r>
        <w:t xml:space="preserve"> </w:t>
      </w:r>
      <w:r w:rsidRPr="0029016D">
        <w:t>насърчават</w:t>
      </w:r>
      <w:r>
        <w:t xml:space="preserve"> </w:t>
      </w:r>
      <w:r w:rsidRPr="0029016D">
        <w:t>предотвратяването</w:t>
      </w:r>
      <w:r>
        <w:t xml:space="preserve"> </w:t>
      </w:r>
      <w:r w:rsidRPr="0029016D">
        <w:t>на</w:t>
      </w:r>
      <w:r>
        <w:t xml:space="preserve"> </w:t>
      </w:r>
      <w:r w:rsidRPr="0029016D">
        <w:t>рискове</w:t>
      </w:r>
      <w:r>
        <w:t xml:space="preserve"> </w:t>
      </w:r>
      <w:r w:rsidRPr="0029016D">
        <w:t>и</w:t>
      </w:r>
      <w:r>
        <w:t xml:space="preserve"> </w:t>
      </w:r>
      <w:r w:rsidRPr="0029016D">
        <w:t xml:space="preserve">подпомагат за </w:t>
      </w:r>
      <w:r w:rsidRPr="00756345">
        <w:t>адекватното справяне с</w:t>
      </w:r>
      <w:r>
        <w:t xml:space="preserve"> </w:t>
      </w:r>
      <w:r w:rsidRPr="00756345">
        <w:t>потенциално</w:t>
      </w:r>
      <w:r>
        <w:t xml:space="preserve"> </w:t>
      </w:r>
      <w:r w:rsidRPr="00756345">
        <w:t>разрушителни</w:t>
      </w:r>
      <w:r>
        <w:t xml:space="preserve"> </w:t>
      </w:r>
      <w:r w:rsidRPr="00756345">
        <w:t>природни</w:t>
      </w:r>
      <w:r>
        <w:t xml:space="preserve"> </w:t>
      </w:r>
      <w:r w:rsidRPr="00756345">
        <w:t>стихии. Подкрепят се и конкретни</w:t>
      </w:r>
      <w:r>
        <w:t xml:space="preserve"> </w:t>
      </w:r>
      <w:r w:rsidRPr="00756345">
        <w:t>инвестиции</w:t>
      </w:r>
      <w:r>
        <w:t xml:space="preserve"> </w:t>
      </w:r>
      <w:r w:rsidRPr="00756345">
        <w:t>за</w:t>
      </w:r>
      <w:r>
        <w:t xml:space="preserve"> </w:t>
      </w:r>
      <w:r w:rsidRPr="00756345">
        <w:t>предотвратяване</w:t>
      </w:r>
      <w:r>
        <w:t xml:space="preserve"> </w:t>
      </w:r>
      <w:r w:rsidRPr="00756345">
        <w:t>на</w:t>
      </w:r>
      <w:r>
        <w:t xml:space="preserve"> </w:t>
      </w:r>
      <w:r w:rsidRPr="00756345">
        <w:t>риска</w:t>
      </w:r>
      <w:r>
        <w:t xml:space="preserve"> </w:t>
      </w:r>
      <w:r w:rsidRPr="00756345">
        <w:t>в</w:t>
      </w:r>
      <w:r>
        <w:t xml:space="preserve"> </w:t>
      </w:r>
      <w:r w:rsidRPr="00756345">
        <w:t>градски</w:t>
      </w:r>
      <w:r>
        <w:t xml:space="preserve"> </w:t>
      </w:r>
      <w:r w:rsidRPr="00756345">
        <w:t>райони, в</w:t>
      </w:r>
      <w:r>
        <w:t xml:space="preserve"> </w:t>
      </w:r>
      <w:r w:rsidRPr="00756345">
        <w:t>които</w:t>
      </w:r>
      <w:r>
        <w:t xml:space="preserve"> </w:t>
      </w:r>
      <w:r w:rsidRPr="00756345">
        <w:t>рисковете</w:t>
      </w:r>
      <w:r>
        <w:t xml:space="preserve"> </w:t>
      </w:r>
      <w:r w:rsidRPr="00756345">
        <w:t>от</w:t>
      </w:r>
      <w:r>
        <w:t xml:space="preserve"> </w:t>
      </w:r>
      <w:r w:rsidRPr="00756345">
        <w:t>влошаване</w:t>
      </w:r>
      <w:r>
        <w:t xml:space="preserve"> </w:t>
      </w:r>
      <w:r w:rsidRPr="00756345">
        <w:t>на</w:t>
      </w:r>
      <w:r>
        <w:t xml:space="preserve"> </w:t>
      </w:r>
      <w:r w:rsidRPr="00756345">
        <w:t>качеството</w:t>
      </w:r>
      <w:r>
        <w:t xml:space="preserve"> </w:t>
      </w:r>
      <w:r w:rsidRPr="00756345">
        <w:t>на</w:t>
      </w:r>
      <w:r>
        <w:t xml:space="preserve"> </w:t>
      </w:r>
      <w:r w:rsidRPr="00756345">
        <w:t>градската</w:t>
      </w:r>
      <w:r>
        <w:t xml:space="preserve"> </w:t>
      </w:r>
      <w:r w:rsidRPr="00756345">
        <w:t>среда</w:t>
      </w:r>
      <w:r>
        <w:t xml:space="preserve"> </w:t>
      </w:r>
      <w:r w:rsidRPr="00756345">
        <w:t>и</w:t>
      </w:r>
      <w:r>
        <w:t xml:space="preserve"> </w:t>
      </w:r>
      <w:r w:rsidRPr="00756345">
        <w:t>от</w:t>
      </w:r>
      <w:r>
        <w:t xml:space="preserve"> </w:t>
      </w:r>
      <w:r w:rsidRPr="00756345">
        <w:t>екологично</w:t>
      </w:r>
      <w:r>
        <w:t xml:space="preserve"> </w:t>
      </w:r>
      <w:r w:rsidRPr="00756345">
        <w:t>замърсяване</w:t>
      </w:r>
      <w:r>
        <w:t xml:space="preserve"> </w:t>
      </w:r>
      <w:r w:rsidRPr="00756345">
        <w:t>в</w:t>
      </w:r>
      <w:r>
        <w:t xml:space="preserve"> </w:t>
      </w:r>
      <w:r w:rsidRPr="00756345">
        <w:t>следствие</w:t>
      </w:r>
      <w:r>
        <w:t xml:space="preserve"> </w:t>
      </w:r>
      <w:r w:rsidRPr="00756345">
        <w:t>на</w:t>
      </w:r>
      <w:r>
        <w:t xml:space="preserve"> </w:t>
      </w:r>
      <w:r w:rsidRPr="00756345">
        <w:t>пожар</w:t>
      </w:r>
      <w:r>
        <w:t xml:space="preserve"> </w:t>
      </w:r>
      <w:r w:rsidRPr="00756345">
        <w:t>са</w:t>
      </w:r>
      <w:r>
        <w:t xml:space="preserve"> </w:t>
      </w:r>
      <w:r w:rsidRPr="00756345">
        <w:t>най-големи.</w:t>
      </w:r>
      <w:r>
        <w:t xml:space="preserve"> Бенефициенти по програмата са общини, сдружения на общини, организации с нестопанска цел в партньорство с общини, МВР/</w:t>
      </w:r>
      <w:r w:rsidRPr="0094545F">
        <w:t>Национална</w:t>
      </w:r>
      <w:r>
        <w:t xml:space="preserve"> </w:t>
      </w:r>
      <w:r w:rsidRPr="0094545F">
        <w:t>служба</w:t>
      </w:r>
      <w:r>
        <w:t xml:space="preserve"> </w:t>
      </w:r>
      <w:r w:rsidRPr="0094545F">
        <w:t>„Пожарна</w:t>
      </w:r>
      <w:r>
        <w:t xml:space="preserve"> </w:t>
      </w:r>
      <w:r w:rsidRPr="0094545F">
        <w:t>безопасност</w:t>
      </w:r>
      <w:r>
        <w:t xml:space="preserve"> </w:t>
      </w:r>
      <w:r w:rsidRPr="0094545F">
        <w:t>и</w:t>
      </w:r>
      <w:r>
        <w:t xml:space="preserve"> </w:t>
      </w:r>
      <w:r w:rsidRPr="0094545F">
        <w:t>защита</w:t>
      </w:r>
      <w:r>
        <w:t xml:space="preserve"> </w:t>
      </w:r>
      <w:r w:rsidRPr="0094545F">
        <w:t>на</w:t>
      </w:r>
      <w:r>
        <w:t xml:space="preserve"> </w:t>
      </w:r>
      <w:r w:rsidRPr="0094545F">
        <w:t>населението”</w:t>
      </w:r>
      <w:r>
        <w:t>.</w:t>
      </w:r>
    </w:p>
    <w:p w:rsidR="000938C1" w:rsidRPr="00A3401C" w:rsidRDefault="000938C1" w:rsidP="00F30F79">
      <w:pPr>
        <w:pStyle w:val="Heading3"/>
        <w:numPr>
          <w:ilvl w:val="2"/>
          <w:numId w:val="72"/>
        </w:numPr>
        <w:rPr>
          <w:rFonts w:ascii="Times New Roman" w:hAnsi="Times New Roman"/>
          <w:sz w:val="24"/>
          <w:lang w:val="bg-BG"/>
        </w:rPr>
      </w:pPr>
      <w:bookmarkStart w:id="212" w:name="_Toc261276588"/>
      <w:bookmarkStart w:id="213" w:name="_Toc324863424"/>
      <w:bookmarkStart w:id="214" w:name="_Toc326315916"/>
      <w:bookmarkStart w:id="215" w:name="_Toc393728075"/>
      <w:r w:rsidRPr="00A3401C">
        <w:rPr>
          <w:rFonts w:ascii="Times New Roman" w:hAnsi="Times New Roman"/>
          <w:sz w:val="24"/>
          <w:lang w:val="bg-BG"/>
        </w:rPr>
        <w:t>Образование</w:t>
      </w:r>
      <w:bookmarkEnd w:id="212"/>
      <w:bookmarkEnd w:id="213"/>
      <w:bookmarkEnd w:id="214"/>
      <w:bookmarkEnd w:id="215"/>
    </w:p>
    <w:p w:rsidR="000938C1" w:rsidRPr="00CF1A14" w:rsidRDefault="000938C1" w:rsidP="00F85C67">
      <w:pPr>
        <w:pStyle w:val="BodyText2"/>
        <w:spacing w:before="120" w:line="240" w:lineRule="auto"/>
        <w:ind w:right="74" w:firstLine="540"/>
        <w:jc w:val="both"/>
        <w:rPr>
          <w:color w:val="0070C0"/>
          <w:sz w:val="2"/>
          <w:szCs w:val="2"/>
        </w:rPr>
      </w:pPr>
    </w:p>
    <w:p w:rsidR="000938C1" w:rsidRPr="00A3401C" w:rsidRDefault="000938C1" w:rsidP="00F85C67">
      <w:pPr>
        <w:pStyle w:val="BodyText2"/>
        <w:spacing w:before="120" w:line="240" w:lineRule="auto"/>
        <w:ind w:right="74" w:firstLine="540"/>
        <w:jc w:val="both"/>
      </w:pPr>
      <w:r w:rsidRPr="00A3401C">
        <w:t>Общата сума на изразходваните средства по функция „Образование” за 201</w:t>
      </w:r>
      <w:r>
        <w:t>3</w:t>
      </w:r>
      <w:r w:rsidRPr="00A3401C">
        <w:t xml:space="preserve"> г. е </w:t>
      </w:r>
      <w:r>
        <w:t>3 087,6</w:t>
      </w:r>
      <w:r w:rsidRPr="00A3401C">
        <w:t xml:space="preserve"> млн. лв., което представлява </w:t>
      </w:r>
      <w:r>
        <w:t>4,0</w:t>
      </w:r>
      <w:r w:rsidRPr="00A3401C">
        <w:t xml:space="preserve"> % от БВП. </w:t>
      </w:r>
    </w:p>
    <w:p w:rsidR="000938C1" w:rsidRPr="00A3401C" w:rsidRDefault="000938C1" w:rsidP="00F85C67">
      <w:pPr>
        <w:pStyle w:val="BodyText2"/>
        <w:spacing w:before="120" w:line="240" w:lineRule="auto"/>
        <w:ind w:right="74" w:firstLine="7740"/>
        <w:jc w:val="both"/>
        <w:rPr>
          <w:b/>
          <w:sz w:val="18"/>
          <w:szCs w:val="18"/>
        </w:rPr>
      </w:pPr>
      <w:r w:rsidRPr="00A3401C">
        <w:rPr>
          <w:b/>
          <w:sz w:val="18"/>
          <w:szCs w:val="18"/>
        </w:rPr>
        <w:t>(млн. лв.)</w:t>
      </w:r>
    </w:p>
    <w:tbl>
      <w:tblPr>
        <w:tblW w:w="9707" w:type="dxa"/>
        <w:tblInd w:w="-290" w:type="dxa"/>
        <w:tblLayout w:type="fixed"/>
        <w:tblCellMar>
          <w:left w:w="70" w:type="dxa"/>
          <w:right w:w="70" w:type="dxa"/>
        </w:tblCellMar>
        <w:tblLook w:val="0000"/>
      </w:tblPr>
      <w:tblGrid>
        <w:gridCol w:w="2903"/>
        <w:gridCol w:w="1001"/>
        <w:gridCol w:w="992"/>
        <w:gridCol w:w="993"/>
        <w:gridCol w:w="708"/>
        <w:gridCol w:w="993"/>
        <w:gridCol w:w="850"/>
        <w:gridCol w:w="1267"/>
      </w:tblGrid>
      <w:tr w:rsidR="000938C1" w:rsidRPr="00A3401C" w:rsidTr="009E1415">
        <w:trPr>
          <w:trHeight w:val="480"/>
        </w:trPr>
        <w:tc>
          <w:tcPr>
            <w:tcW w:w="2903"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ОТЧЕТ 2013 г.</w:t>
            </w:r>
          </w:p>
        </w:tc>
        <w:tc>
          <w:tcPr>
            <w:tcW w:w="1001"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КФП</w:t>
            </w:r>
          </w:p>
        </w:tc>
        <w:tc>
          <w:tcPr>
            <w:tcW w:w="992"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РБ</w:t>
            </w:r>
          </w:p>
        </w:tc>
        <w:tc>
          <w:tcPr>
            <w:tcW w:w="993" w:type="dxa"/>
            <w:tcBorders>
              <w:top w:val="double" w:sz="6" w:space="0" w:color="800000"/>
              <w:left w:val="nil"/>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20"/>
                <w:szCs w:val="20"/>
              </w:rPr>
            </w:pPr>
            <w:r w:rsidRPr="00F85C67">
              <w:rPr>
                <w:b/>
                <w:bCs/>
                <w:color w:val="FFFFFF"/>
                <w:sz w:val="20"/>
                <w:szCs w:val="20"/>
              </w:rPr>
              <w:t>Съдебна власт</w:t>
            </w:r>
          </w:p>
        </w:tc>
        <w:tc>
          <w:tcPr>
            <w:tcW w:w="708"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ВУЗ</w:t>
            </w:r>
          </w:p>
        </w:tc>
        <w:tc>
          <w:tcPr>
            <w:tcW w:w="993"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Общини</w:t>
            </w:r>
          </w:p>
        </w:tc>
        <w:tc>
          <w:tcPr>
            <w:tcW w:w="850" w:type="dxa"/>
            <w:tcBorders>
              <w:top w:val="double" w:sz="6" w:space="0" w:color="800000"/>
              <w:left w:val="nil"/>
              <w:bottom w:val="double" w:sz="6" w:space="0" w:color="800000"/>
              <w:right w:val="inset" w:sz="6"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ИБСФ</w:t>
            </w:r>
          </w:p>
        </w:tc>
        <w:tc>
          <w:tcPr>
            <w:tcW w:w="1267" w:type="dxa"/>
            <w:tcBorders>
              <w:top w:val="double" w:sz="6" w:space="0" w:color="800000"/>
              <w:left w:val="single" w:sz="4" w:space="0" w:color="FFFFFF"/>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20"/>
                <w:szCs w:val="20"/>
              </w:rPr>
            </w:pPr>
            <w:r w:rsidRPr="00F85C67">
              <w:rPr>
                <w:b/>
                <w:bCs/>
                <w:color w:val="FFFFFF"/>
                <w:sz w:val="20"/>
                <w:szCs w:val="20"/>
              </w:rPr>
              <w:t xml:space="preserve">Европ. </w:t>
            </w:r>
          </w:p>
          <w:p w:rsidR="000938C1" w:rsidRPr="00F85C67" w:rsidRDefault="000938C1" w:rsidP="009E1415">
            <w:pPr>
              <w:jc w:val="center"/>
              <w:rPr>
                <w:b/>
                <w:bCs/>
                <w:color w:val="FFFFFF"/>
                <w:sz w:val="20"/>
                <w:szCs w:val="20"/>
              </w:rPr>
            </w:pPr>
            <w:r w:rsidRPr="00F85C67">
              <w:rPr>
                <w:b/>
                <w:bCs/>
                <w:color w:val="FFFFFF"/>
                <w:sz w:val="20"/>
                <w:szCs w:val="20"/>
              </w:rPr>
              <w:t>ср-ва</w:t>
            </w:r>
          </w:p>
        </w:tc>
      </w:tr>
      <w:tr w:rsidR="000938C1" w:rsidRPr="00CF1A14" w:rsidTr="009E1415">
        <w:trPr>
          <w:trHeight w:val="330"/>
        </w:trPr>
        <w:tc>
          <w:tcPr>
            <w:tcW w:w="2903" w:type="dxa"/>
            <w:tcBorders>
              <w:top w:val="double" w:sz="6" w:space="0" w:color="800000"/>
              <w:left w:val="double" w:sz="6" w:space="0" w:color="800000"/>
              <w:bottom w:val="nil"/>
              <w:right w:val="single" w:sz="4" w:space="0" w:color="800000"/>
            </w:tcBorders>
            <w:shd w:val="clear" w:color="auto" w:fill="FFFFCC"/>
            <w:noWrap/>
            <w:vAlign w:val="bottom"/>
          </w:tcPr>
          <w:p w:rsidR="000938C1" w:rsidRPr="00A3401C" w:rsidRDefault="000938C1" w:rsidP="009E1415">
            <w:pPr>
              <w:rPr>
                <w:b/>
                <w:bCs/>
                <w:sz w:val="20"/>
                <w:szCs w:val="20"/>
              </w:rPr>
            </w:pPr>
            <w:r w:rsidRPr="00A3401C">
              <w:rPr>
                <w:b/>
                <w:bCs/>
                <w:sz w:val="20"/>
                <w:szCs w:val="20"/>
              </w:rPr>
              <w:t>III. ОБРАЗОВАНИЕ</w:t>
            </w:r>
          </w:p>
        </w:tc>
        <w:tc>
          <w:tcPr>
            <w:tcW w:w="1001"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20"/>
                <w:szCs w:val="20"/>
              </w:rPr>
            </w:pPr>
            <w:r>
              <w:rPr>
                <w:b/>
                <w:bCs/>
                <w:color w:val="000000"/>
                <w:sz w:val="20"/>
                <w:szCs w:val="20"/>
              </w:rPr>
              <w:t>3 087,6</w:t>
            </w:r>
          </w:p>
        </w:tc>
        <w:tc>
          <w:tcPr>
            <w:tcW w:w="992"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20"/>
                <w:szCs w:val="20"/>
              </w:rPr>
            </w:pPr>
            <w:r>
              <w:rPr>
                <w:b/>
                <w:bCs/>
                <w:color w:val="000000"/>
                <w:sz w:val="20"/>
                <w:szCs w:val="20"/>
              </w:rPr>
              <w:t>399,9</w:t>
            </w:r>
          </w:p>
        </w:tc>
        <w:tc>
          <w:tcPr>
            <w:tcW w:w="993" w:type="dxa"/>
            <w:tcBorders>
              <w:top w:val="double" w:sz="6" w:space="0" w:color="800000"/>
              <w:left w:val="nil"/>
              <w:bottom w:val="nil"/>
              <w:right w:val="single" w:sz="4" w:space="0" w:color="800000"/>
            </w:tcBorders>
            <w:shd w:val="clear" w:color="auto" w:fill="FFFFCC"/>
            <w:vAlign w:val="bottom"/>
          </w:tcPr>
          <w:p w:rsidR="000938C1" w:rsidRDefault="000938C1">
            <w:pPr>
              <w:jc w:val="right"/>
              <w:rPr>
                <w:b/>
                <w:bCs/>
                <w:color w:val="000000"/>
                <w:sz w:val="20"/>
                <w:szCs w:val="20"/>
              </w:rPr>
            </w:pPr>
            <w:r>
              <w:rPr>
                <w:b/>
                <w:bCs/>
                <w:color w:val="000000"/>
                <w:sz w:val="20"/>
                <w:szCs w:val="20"/>
              </w:rPr>
              <w:t>0,7</w:t>
            </w:r>
          </w:p>
        </w:tc>
        <w:tc>
          <w:tcPr>
            <w:tcW w:w="708" w:type="dxa"/>
            <w:tcBorders>
              <w:top w:val="double" w:sz="6" w:space="0" w:color="800000"/>
              <w:left w:val="single" w:sz="4" w:space="0" w:color="800000"/>
              <w:bottom w:val="nil"/>
              <w:right w:val="single" w:sz="4" w:space="0" w:color="800000"/>
            </w:tcBorders>
            <w:shd w:val="clear" w:color="auto" w:fill="FFFFCC"/>
            <w:noWrap/>
            <w:vAlign w:val="bottom"/>
          </w:tcPr>
          <w:p w:rsidR="000938C1" w:rsidRDefault="000938C1">
            <w:pPr>
              <w:jc w:val="right"/>
              <w:rPr>
                <w:b/>
                <w:bCs/>
                <w:color w:val="000000"/>
                <w:sz w:val="20"/>
                <w:szCs w:val="20"/>
              </w:rPr>
            </w:pPr>
            <w:r>
              <w:rPr>
                <w:b/>
                <w:bCs/>
                <w:color w:val="000000"/>
                <w:sz w:val="20"/>
                <w:szCs w:val="20"/>
              </w:rPr>
              <w:t>683,7</w:t>
            </w:r>
          </w:p>
        </w:tc>
        <w:tc>
          <w:tcPr>
            <w:tcW w:w="993"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20"/>
                <w:szCs w:val="20"/>
              </w:rPr>
            </w:pPr>
            <w:r>
              <w:rPr>
                <w:b/>
                <w:bCs/>
                <w:color w:val="000000"/>
                <w:sz w:val="20"/>
                <w:szCs w:val="20"/>
              </w:rPr>
              <w:t>1 740,5</w:t>
            </w:r>
          </w:p>
        </w:tc>
        <w:tc>
          <w:tcPr>
            <w:tcW w:w="850"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20"/>
                <w:szCs w:val="20"/>
              </w:rPr>
            </w:pPr>
            <w:r>
              <w:rPr>
                <w:b/>
                <w:bCs/>
                <w:color w:val="000000"/>
                <w:sz w:val="20"/>
                <w:szCs w:val="20"/>
              </w:rPr>
              <w:t>3,3</w:t>
            </w:r>
          </w:p>
        </w:tc>
        <w:tc>
          <w:tcPr>
            <w:tcW w:w="1267" w:type="dxa"/>
            <w:tcBorders>
              <w:top w:val="double" w:sz="6" w:space="0" w:color="800000"/>
              <w:left w:val="single" w:sz="4" w:space="0" w:color="800000"/>
              <w:bottom w:val="nil"/>
              <w:right w:val="double" w:sz="6" w:space="0" w:color="800000"/>
            </w:tcBorders>
            <w:shd w:val="clear" w:color="auto" w:fill="FFFFCC"/>
            <w:noWrap/>
            <w:vAlign w:val="bottom"/>
          </w:tcPr>
          <w:p w:rsidR="000938C1" w:rsidRDefault="000938C1">
            <w:pPr>
              <w:jc w:val="right"/>
              <w:rPr>
                <w:b/>
                <w:bCs/>
                <w:color w:val="000000"/>
                <w:sz w:val="20"/>
                <w:szCs w:val="20"/>
              </w:rPr>
            </w:pPr>
            <w:r>
              <w:rPr>
                <w:b/>
                <w:bCs/>
                <w:color w:val="000000"/>
                <w:sz w:val="20"/>
                <w:szCs w:val="20"/>
              </w:rPr>
              <w:t>259,6</w:t>
            </w:r>
          </w:p>
        </w:tc>
      </w:tr>
      <w:tr w:rsidR="000938C1" w:rsidRPr="00CF1A14" w:rsidTr="009E1415">
        <w:trPr>
          <w:trHeight w:val="255"/>
        </w:trPr>
        <w:tc>
          <w:tcPr>
            <w:tcW w:w="2903" w:type="dxa"/>
            <w:tcBorders>
              <w:top w:val="nil"/>
              <w:left w:val="double" w:sz="6" w:space="0" w:color="800000"/>
              <w:bottom w:val="nil"/>
              <w:right w:val="single" w:sz="4" w:space="0" w:color="800000"/>
            </w:tcBorders>
            <w:shd w:val="clear" w:color="auto" w:fill="FFFFCC"/>
            <w:noWrap/>
            <w:vAlign w:val="bottom"/>
          </w:tcPr>
          <w:p w:rsidR="000938C1" w:rsidRPr="00A3401C" w:rsidRDefault="000938C1" w:rsidP="009E1415">
            <w:pPr>
              <w:rPr>
                <w:sz w:val="20"/>
                <w:szCs w:val="20"/>
              </w:rPr>
            </w:pPr>
            <w:r w:rsidRPr="00A3401C">
              <w:rPr>
                <w:sz w:val="20"/>
                <w:szCs w:val="20"/>
              </w:rPr>
              <w:t xml:space="preserve">     Текущи нелихвени разходи</w:t>
            </w:r>
          </w:p>
        </w:tc>
        <w:tc>
          <w:tcPr>
            <w:tcW w:w="100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2 843,1</w:t>
            </w:r>
          </w:p>
        </w:tc>
        <w:tc>
          <w:tcPr>
            <w:tcW w:w="992"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379,8</w:t>
            </w:r>
          </w:p>
        </w:tc>
        <w:tc>
          <w:tcPr>
            <w:tcW w:w="993" w:type="dxa"/>
            <w:tcBorders>
              <w:top w:val="nil"/>
              <w:left w:val="nil"/>
              <w:bottom w:val="nil"/>
              <w:right w:val="single" w:sz="4" w:space="0" w:color="800000"/>
            </w:tcBorders>
            <w:shd w:val="clear" w:color="auto" w:fill="FFFFCC"/>
            <w:vAlign w:val="bottom"/>
          </w:tcPr>
          <w:p w:rsidR="000938C1" w:rsidRDefault="000938C1">
            <w:pPr>
              <w:jc w:val="right"/>
              <w:rPr>
                <w:color w:val="000000"/>
                <w:sz w:val="20"/>
                <w:szCs w:val="20"/>
              </w:rPr>
            </w:pPr>
            <w:r>
              <w:rPr>
                <w:color w:val="000000"/>
                <w:sz w:val="20"/>
                <w:szCs w:val="20"/>
              </w:rPr>
              <w:t>0,7</w:t>
            </w:r>
          </w:p>
        </w:tc>
        <w:tc>
          <w:tcPr>
            <w:tcW w:w="708" w:type="dxa"/>
            <w:tcBorders>
              <w:top w:val="nil"/>
              <w:left w:val="single" w:sz="4" w:space="0" w:color="800000"/>
              <w:bottom w:val="nil"/>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642,1</w:t>
            </w:r>
          </w:p>
        </w:tc>
        <w:tc>
          <w:tcPr>
            <w:tcW w:w="99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1 626,2</w:t>
            </w:r>
          </w:p>
        </w:tc>
        <w:tc>
          <w:tcPr>
            <w:tcW w:w="85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0,1</w:t>
            </w:r>
          </w:p>
        </w:tc>
        <w:tc>
          <w:tcPr>
            <w:tcW w:w="1267" w:type="dxa"/>
            <w:tcBorders>
              <w:top w:val="nil"/>
              <w:left w:val="single" w:sz="4" w:space="0" w:color="800000"/>
              <w:bottom w:val="nil"/>
              <w:right w:val="double" w:sz="6" w:space="0" w:color="800000"/>
            </w:tcBorders>
            <w:shd w:val="clear" w:color="auto" w:fill="FFFFCC"/>
            <w:noWrap/>
            <w:vAlign w:val="bottom"/>
          </w:tcPr>
          <w:p w:rsidR="000938C1" w:rsidRDefault="000938C1">
            <w:pPr>
              <w:jc w:val="right"/>
              <w:rPr>
                <w:color w:val="000000"/>
                <w:sz w:val="20"/>
                <w:szCs w:val="20"/>
              </w:rPr>
            </w:pPr>
            <w:r>
              <w:rPr>
                <w:color w:val="000000"/>
                <w:sz w:val="20"/>
                <w:szCs w:val="20"/>
              </w:rPr>
              <w:t>194,2</w:t>
            </w:r>
          </w:p>
        </w:tc>
      </w:tr>
      <w:tr w:rsidR="000938C1" w:rsidRPr="00CF1A14" w:rsidTr="009E1415">
        <w:trPr>
          <w:trHeight w:val="270"/>
        </w:trPr>
        <w:tc>
          <w:tcPr>
            <w:tcW w:w="2903" w:type="dxa"/>
            <w:tcBorders>
              <w:top w:val="nil"/>
              <w:left w:val="double" w:sz="6" w:space="0" w:color="800000"/>
              <w:bottom w:val="double" w:sz="6" w:space="0" w:color="800000"/>
              <w:right w:val="single" w:sz="4" w:space="0" w:color="800000"/>
            </w:tcBorders>
            <w:shd w:val="clear" w:color="auto" w:fill="FFFFCC"/>
            <w:noWrap/>
            <w:vAlign w:val="bottom"/>
          </w:tcPr>
          <w:p w:rsidR="000938C1" w:rsidRPr="00A3401C" w:rsidRDefault="000938C1" w:rsidP="009E1415">
            <w:pPr>
              <w:rPr>
                <w:sz w:val="20"/>
                <w:szCs w:val="20"/>
              </w:rPr>
            </w:pPr>
            <w:r w:rsidRPr="00A3401C">
              <w:rPr>
                <w:sz w:val="20"/>
                <w:szCs w:val="20"/>
              </w:rPr>
              <w:t xml:space="preserve">     Капиталови разходи</w:t>
            </w:r>
          </w:p>
        </w:tc>
        <w:tc>
          <w:tcPr>
            <w:tcW w:w="1001"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244,5</w:t>
            </w:r>
          </w:p>
        </w:tc>
        <w:tc>
          <w:tcPr>
            <w:tcW w:w="992"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20,1</w:t>
            </w:r>
          </w:p>
        </w:tc>
        <w:tc>
          <w:tcPr>
            <w:tcW w:w="993" w:type="dxa"/>
            <w:tcBorders>
              <w:top w:val="nil"/>
              <w:left w:val="nil"/>
              <w:bottom w:val="double" w:sz="6" w:space="0" w:color="800000"/>
              <w:right w:val="single" w:sz="4" w:space="0" w:color="800000"/>
            </w:tcBorders>
            <w:shd w:val="clear" w:color="auto" w:fill="FFFFCC"/>
            <w:vAlign w:val="bottom"/>
          </w:tcPr>
          <w:p w:rsidR="000938C1" w:rsidRDefault="000938C1">
            <w:pPr>
              <w:rPr>
                <w:color w:val="000000"/>
                <w:sz w:val="20"/>
                <w:szCs w:val="20"/>
              </w:rPr>
            </w:pPr>
            <w:r>
              <w:rPr>
                <w:color w:val="000000"/>
                <w:sz w:val="20"/>
                <w:szCs w:val="20"/>
              </w:rPr>
              <w:t> </w:t>
            </w:r>
          </w:p>
        </w:tc>
        <w:tc>
          <w:tcPr>
            <w:tcW w:w="708" w:type="dxa"/>
            <w:tcBorders>
              <w:top w:val="nil"/>
              <w:left w:val="single" w:sz="4" w:space="0" w:color="800000"/>
              <w:bottom w:val="double" w:sz="6" w:space="0" w:color="800000"/>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41,6</w:t>
            </w:r>
          </w:p>
        </w:tc>
        <w:tc>
          <w:tcPr>
            <w:tcW w:w="993"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114,3</w:t>
            </w:r>
          </w:p>
        </w:tc>
        <w:tc>
          <w:tcPr>
            <w:tcW w:w="85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20"/>
                <w:szCs w:val="20"/>
              </w:rPr>
            </w:pPr>
            <w:r>
              <w:rPr>
                <w:color w:val="000000"/>
                <w:sz w:val="20"/>
                <w:szCs w:val="20"/>
              </w:rPr>
              <w:t>3,2</w:t>
            </w:r>
          </w:p>
        </w:tc>
        <w:tc>
          <w:tcPr>
            <w:tcW w:w="1267" w:type="dxa"/>
            <w:tcBorders>
              <w:top w:val="nil"/>
              <w:left w:val="single" w:sz="4" w:space="0" w:color="800000"/>
              <w:bottom w:val="double" w:sz="6" w:space="0" w:color="800000"/>
              <w:right w:val="double" w:sz="6" w:space="0" w:color="800000"/>
            </w:tcBorders>
            <w:shd w:val="clear" w:color="auto" w:fill="FFFFCC"/>
            <w:noWrap/>
            <w:vAlign w:val="bottom"/>
          </w:tcPr>
          <w:p w:rsidR="000938C1" w:rsidRDefault="000938C1">
            <w:pPr>
              <w:jc w:val="right"/>
              <w:rPr>
                <w:color w:val="000000"/>
                <w:sz w:val="20"/>
                <w:szCs w:val="20"/>
              </w:rPr>
            </w:pPr>
            <w:r>
              <w:rPr>
                <w:color w:val="000000"/>
                <w:sz w:val="20"/>
                <w:szCs w:val="20"/>
              </w:rPr>
              <w:t>65,3</w:t>
            </w:r>
          </w:p>
        </w:tc>
      </w:tr>
    </w:tbl>
    <w:p w:rsidR="000938C1" w:rsidRPr="00CF1A14" w:rsidRDefault="000938C1" w:rsidP="00F85C67">
      <w:pPr>
        <w:rPr>
          <w:b/>
          <w:color w:val="0070C0"/>
          <w:sz w:val="28"/>
          <w:szCs w:val="28"/>
          <w:u w:val="single"/>
        </w:rPr>
      </w:pPr>
    </w:p>
    <w:p w:rsidR="000938C1" w:rsidRPr="00673D4D" w:rsidRDefault="000938C1" w:rsidP="00F85C67">
      <w:pPr>
        <w:autoSpaceDE w:val="0"/>
        <w:autoSpaceDN w:val="0"/>
        <w:adjustRightInd w:val="0"/>
        <w:ind w:firstLine="540"/>
        <w:jc w:val="both"/>
        <w:rPr>
          <w:rFonts w:cs="TimesNewRomanPSMT"/>
        </w:rPr>
      </w:pPr>
      <w:r w:rsidRPr="00A94D87">
        <w:rPr>
          <w:rFonts w:cs="TimesNewRomanPSMT"/>
        </w:rPr>
        <w:t xml:space="preserve">Със ЗДБРБ за 2013 г. са предвидени средства за функцията в размер на 2 924,6 млн. </w:t>
      </w:r>
      <w:r w:rsidRPr="00BE1D0C">
        <w:rPr>
          <w:rFonts w:cs="TimesNewRomanPSMT"/>
        </w:rPr>
        <w:t>лв.</w:t>
      </w:r>
      <w:r w:rsidRPr="00673D4D">
        <w:rPr>
          <w:rFonts w:cs="TimesNewRomanPSMT"/>
        </w:rPr>
        <w:t xml:space="preserve"> (</w:t>
      </w:r>
      <w:r w:rsidRPr="00BE1D0C">
        <w:rPr>
          <w:rFonts w:cs="TimesNewRomanPSMT"/>
        </w:rPr>
        <w:t>с резерва за непредвидени и неотложни разходи</w:t>
      </w:r>
      <w:r w:rsidRPr="00673D4D">
        <w:rPr>
          <w:rFonts w:cs="TimesNewRomanPSMT"/>
        </w:rPr>
        <w:t>)</w:t>
      </w:r>
      <w:r w:rsidRPr="00BE1D0C">
        <w:rPr>
          <w:rFonts w:cs="TimesNewRomanPSMT"/>
        </w:rPr>
        <w:t xml:space="preserve">. Изпълнението на разходите за функцията на консолидирано ниво е в размер на 3 087,6 млн. лв. </w:t>
      </w:r>
      <w:r w:rsidRPr="00673D4D">
        <w:rPr>
          <w:rFonts w:cs="TimesNewRomanPSMT"/>
        </w:rPr>
        <w:t>(</w:t>
      </w:r>
      <w:r w:rsidRPr="00BE1D0C">
        <w:rPr>
          <w:rFonts w:cs="TimesNewRomanPSMT"/>
        </w:rPr>
        <w:t>105,6 % спрямо разчетите за 2013 г.</w:t>
      </w:r>
      <w:r w:rsidRPr="00673D4D">
        <w:rPr>
          <w:rFonts w:cs="TimesNewRomanPSMT"/>
        </w:rPr>
        <w:t>). Превишението на разходите спрямо разчетените е в резултат на  допълващо финансиране със собствени средства, остатъци на средства от предходни периоди и получено финансиране по извънбюджетни сметки на общините.</w:t>
      </w:r>
    </w:p>
    <w:p w:rsidR="000938C1" w:rsidRPr="00673D4D" w:rsidRDefault="000938C1" w:rsidP="00F85C67">
      <w:pPr>
        <w:autoSpaceDE w:val="0"/>
        <w:autoSpaceDN w:val="0"/>
        <w:adjustRightInd w:val="0"/>
        <w:ind w:firstLine="540"/>
        <w:jc w:val="both"/>
        <w:rPr>
          <w:rFonts w:cs="TimesNewRomanPSMT"/>
          <w:color w:val="0070C0"/>
        </w:rPr>
      </w:pPr>
      <w:r w:rsidRPr="00673D4D">
        <w:rPr>
          <w:rFonts w:cs="TimesNewRomanPSMT"/>
        </w:rPr>
        <w:t>Първостепенните разпоредители с бюджетни кредити, на които е възложено изпълнението на политики в областта на образованието и науката, са Министерството на образованието и науката, Министерството на земеделието и храните, Министерството на културата, Министерството на младежта и спорта, Министерството на отбраната, Министерството на вътрешните работи и общините.</w:t>
      </w:r>
    </w:p>
    <w:p w:rsidR="000938C1" w:rsidRPr="00673D4D" w:rsidRDefault="000938C1" w:rsidP="00F85C67">
      <w:pPr>
        <w:autoSpaceDE w:val="0"/>
        <w:autoSpaceDN w:val="0"/>
        <w:adjustRightInd w:val="0"/>
        <w:ind w:firstLine="540"/>
        <w:jc w:val="both"/>
        <w:rPr>
          <w:rFonts w:cs="TimesNewRomanPSMT"/>
        </w:rPr>
      </w:pPr>
      <w:r w:rsidRPr="00673D4D">
        <w:rPr>
          <w:rFonts w:cs="TimesNewRomanPSMT"/>
        </w:rPr>
        <w:t>През 2013 г. е запазен децентрализираният подход за финансиране на сектор „Образование“ при следване на единни принципи при разходването на средства, независимо от финансиращия орган. Със средствата, предвидени по централния бюджет и бюджета на Министерството на образованието и науката, е осигурено финансирането на основните приоритети и политики в тази област, независимо, че изплащането на средствата е извършено децентрализирано.</w:t>
      </w:r>
    </w:p>
    <w:p w:rsidR="000938C1" w:rsidRPr="00673D4D" w:rsidRDefault="000938C1" w:rsidP="00F85C67">
      <w:pPr>
        <w:autoSpaceDE w:val="0"/>
        <w:autoSpaceDN w:val="0"/>
        <w:adjustRightInd w:val="0"/>
        <w:ind w:firstLine="540"/>
        <w:jc w:val="both"/>
        <w:rPr>
          <w:rFonts w:cs="TimesNewRomanPSMT"/>
        </w:rPr>
      </w:pPr>
      <w:r w:rsidRPr="00673D4D">
        <w:rPr>
          <w:rFonts w:cs="TimesNewRomanPSMT"/>
        </w:rPr>
        <w:t>За изпълнение на политики в областта на предучилищното и училищното образование са отчетени 77,9 % от разходите в сектора, а за политики в областта на висшето образование 22,1 %.</w:t>
      </w:r>
    </w:p>
    <w:p w:rsidR="000938C1" w:rsidRPr="00673D4D" w:rsidRDefault="000938C1" w:rsidP="00F85C67">
      <w:pPr>
        <w:autoSpaceDE w:val="0"/>
        <w:autoSpaceDN w:val="0"/>
        <w:adjustRightInd w:val="0"/>
        <w:ind w:firstLine="540"/>
        <w:jc w:val="both"/>
        <w:rPr>
          <w:rFonts w:cs="TimesNewRomanPSMT"/>
        </w:rPr>
      </w:pPr>
      <w:r w:rsidRPr="00673D4D">
        <w:rPr>
          <w:rFonts w:cs="TimesNewRomanPSMT"/>
        </w:rPr>
        <w:t xml:space="preserve">За </w:t>
      </w:r>
      <w:r w:rsidRPr="00BE1D0C">
        <w:t xml:space="preserve">функция „Образование” през 2013 г. са </w:t>
      </w:r>
      <w:r w:rsidRPr="00673D4D">
        <w:rPr>
          <w:rFonts w:cs="TimesNewRomanPSMT"/>
        </w:rPr>
        <w:t>отчетени 2 843,</w:t>
      </w:r>
      <w:r>
        <w:rPr>
          <w:rFonts w:cs="TimesNewRomanPSMT"/>
        </w:rPr>
        <w:t>1</w:t>
      </w:r>
      <w:r w:rsidRPr="00673D4D">
        <w:rPr>
          <w:rFonts w:cs="TimesNewRomanPSMT"/>
        </w:rPr>
        <w:t xml:space="preserve"> млн. лв. текущи разходи или 92</w:t>
      </w:r>
      <w:r w:rsidRPr="00BE1D0C">
        <w:rPr>
          <w:rFonts w:cs="TimesNewRomanPSMT"/>
        </w:rPr>
        <w:t>,</w:t>
      </w:r>
      <w:r w:rsidRPr="00673D4D">
        <w:rPr>
          <w:rFonts w:cs="TimesNewRomanPSMT"/>
        </w:rPr>
        <w:t>1 % от общите разходи и 244,</w:t>
      </w:r>
      <w:r>
        <w:rPr>
          <w:rFonts w:cs="TimesNewRomanPSMT"/>
        </w:rPr>
        <w:t>5</w:t>
      </w:r>
      <w:r w:rsidRPr="00673D4D">
        <w:rPr>
          <w:rFonts w:cs="TimesNewRomanPSMT"/>
        </w:rPr>
        <w:t xml:space="preserve"> млн. лв. капиталови разходи или 7,9 % от общите разходи.</w:t>
      </w:r>
    </w:p>
    <w:p w:rsidR="000938C1" w:rsidRPr="00673D4D" w:rsidRDefault="000938C1" w:rsidP="00F85C67">
      <w:pPr>
        <w:autoSpaceDE w:val="0"/>
        <w:autoSpaceDN w:val="0"/>
        <w:adjustRightInd w:val="0"/>
        <w:ind w:firstLine="540"/>
        <w:jc w:val="both"/>
        <w:rPr>
          <w:rFonts w:cs="TimesNewRomanPSMT"/>
          <w:color w:val="0070C0"/>
        </w:rPr>
      </w:pPr>
      <w:r w:rsidRPr="00673D4D">
        <w:rPr>
          <w:rFonts w:cs="TimesNewRomanPSMT"/>
        </w:rPr>
        <w:t>През 2013 г. най-голям относителен дял от общите разходи имат разходите за персонал (64</w:t>
      </w:r>
      <w:r w:rsidRPr="00BE1D0C">
        <w:rPr>
          <w:rFonts w:cs="TimesNewRomanPSMT"/>
        </w:rPr>
        <w:t>,</w:t>
      </w:r>
      <w:r w:rsidRPr="00673D4D">
        <w:rPr>
          <w:rFonts w:cs="TimesNewRomanPSMT"/>
        </w:rPr>
        <w:t xml:space="preserve">3 %). </w:t>
      </w:r>
    </w:p>
    <w:p w:rsidR="000938C1" w:rsidRPr="00673D4D" w:rsidRDefault="000938C1" w:rsidP="00F85C67">
      <w:pPr>
        <w:autoSpaceDE w:val="0"/>
        <w:autoSpaceDN w:val="0"/>
        <w:adjustRightInd w:val="0"/>
        <w:jc w:val="both"/>
        <w:rPr>
          <w:rFonts w:cs="TimesNewRomanPSMT"/>
        </w:rPr>
      </w:pPr>
      <w:r w:rsidRPr="00673D4D">
        <w:rPr>
          <w:rFonts w:cs="TimesNewRomanPSMT"/>
        </w:rPr>
        <w:t>През 2013 г. е осигурено приоритетно изпълнението на следните нови политики:</w:t>
      </w:r>
    </w:p>
    <w:p w:rsidR="000938C1" w:rsidRPr="00673D4D" w:rsidRDefault="000938C1" w:rsidP="00F30F79">
      <w:pPr>
        <w:numPr>
          <w:ilvl w:val="0"/>
          <w:numId w:val="45"/>
        </w:numPr>
        <w:tabs>
          <w:tab w:val="clear" w:pos="1260"/>
        </w:tabs>
        <w:autoSpaceDE w:val="0"/>
        <w:autoSpaceDN w:val="0"/>
        <w:adjustRightInd w:val="0"/>
        <w:ind w:left="360"/>
        <w:jc w:val="both"/>
      </w:pPr>
      <w:r w:rsidRPr="00673D4D">
        <w:t>Въведена е целодневна организация на учебния ден на учениците в IV клас;</w:t>
      </w:r>
    </w:p>
    <w:p w:rsidR="000938C1" w:rsidRPr="00673D4D" w:rsidRDefault="000938C1" w:rsidP="00F30F79">
      <w:pPr>
        <w:numPr>
          <w:ilvl w:val="0"/>
          <w:numId w:val="45"/>
        </w:numPr>
        <w:tabs>
          <w:tab w:val="clear" w:pos="1260"/>
        </w:tabs>
        <w:autoSpaceDE w:val="0"/>
        <w:autoSpaceDN w:val="0"/>
        <w:adjustRightInd w:val="0"/>
        <w:ind w:left="360"/>
        <w:jc w:val="both"/>
        <w:rPr>
          <w:rFonts w:cs="TimesNewRomanPSMT"/>
        </w:rPr>
      </w:pPr>
      <w:r w:rsidRPr="00673D4D">
        <w:t>Разширена е диференциацията на финансирането на държавните висши учили</w:t>
      </w:r>
      <w:r w:rsidRPr="00673D4D">
        <w:rPr>
          <w:rFonts w:cs="TimesNewRomanPSMT"/>
        </w:rPr>
        <w:t>ща въз основа на комплексна оценка на качеството на обучението и съответствието му с потребностите на пазара на труда.</w:t>
      </w:r>
    </w:p>
    <w:p w:rsidR="000938C1" w:rsidRPr="00673D4D" w:rsidRDefault="000938C1" w:rsidP="00F30F79">
      <w:pPr>
        <w:numPr>
          <w:ilvl w:val="0"/>
          <w:numId w:val="45"/>
        </w:numPr>
        <w:tabs>
          <w:tab w:val="clear" w:pos="1260"/>
        </w:tabs>
        <w:autoSpaceDE w:val="0"/>
        <w:autoSpaceDN w:val="0"/>
        <w:adjustRightInd w:val="0"/>
        <w:ind w:left="360"/>
        <w:jc w:val="both"/>
      </w:pPr>
      <w:r w:rsidRPr="00BE1D0C">
        <w:t>В максимален размер са използвани възможностите за финансиране със средства от Европейския съюз на целодневната организация на учебния ден в средищните училища и на извънкласните дейности на учениците</w:t>
      </w:r>
      <w:r w:rsidRPr="00673D4D">
        <w:t>.</w:t>
      </w:r>
    </w:p>
    <w:p w:rsidR="000938C1" w:rsidRPr="00673D4D" w:rsidRDefault="000938C1" w:rsidP="00F85C67">
      <w:pPr>
        <w:pStyle w:val="BodyTextIndent"/>
        <w:widowControl w:val="0"/>
        <w:ind w:left="0" w:firstLine="540"/>
        <w:jc w:val="both"/>
        <w:rPr>
          <w:rFonts w:cs="TimesNewRomanPSMT"/>
          <w:color w:val="0070C0"/>
          <w:sz w:val="8"/>
          <w:szCs w:val="8"/>
          <w:lang w:val="bg-BG"/>
        </w:rPr>
      </w:pPr>
    </w:p>
    <w:p w:rsidR="000938C1" w:rsidRPr="00BE1D0C" w:rsidRDefault="000938C1" w:rsidP="00F85C67">
      <w:pPr>
        <w:pStyle w:val="BodyTextIndent"/>
        <w:widowControl w:val="0"/>
        <w:ind w:left="0" w:firstLine="540"/>
        <w:jc w:val="both"/>
        <w:rPr>
          <w:lang w:val="bg-BG"/>
        </w:rPr>
      </w:pPr>
      <w:r w:rsidRPr="00BE1D0C">
        <w:rPr>
          <w:lang w:val="bg-BG"/>
        </w:rPr>
        <w:t xml:space="preserve">Разходите по </w:t>
      </w:r>
      <w:r w:rsidRPr="00BE1D0C">
        <w:rPr>
          <w:b/>
          <w:lang w:val="bg-BG"/>
        </w:rPr>
        <w:t>общинските бюджети</w:t>
      </w:r>
      <w:r w:rsidRPr="00E414FC">
        <w:rPr>
          <w:lang w:val="bg-BG"/>
        </w:rPr>
        <w:t xml:space="preserve"> за функцията са 1 740,</w:t>
      </w:r>
      <w:r>
        <w:rPr>
          <w:lang w:val="bg-BG"/>
        </w:rPr>
        <w:t>5</w:t>
      </w:r>
      <w:r w:rsidRPr="00E414FC">
        <w:rPr>
          <w:lang w:val="bg-BG"/>
        </w:rPr>
        <w:t xml:space="preserve"> млн. лв. или 110.5 % спрямо разчетите към ЗДБРБ за 2013 г. Текущите разходи са в размер на 1 626,2 млн. лв. и капиталовите – 114,3 млн. </w:t>
      </w:r>
      <w:r w:rsidRPr="00673D4D">
        <w:rPr>
          <w:lang w:val="bg-BG"/>
        </w:rPr>
        <w:t>лева</w:t>
      </w:r>
      <w:r w:rsidRPr="00BE1D0C">
        <w:rPr>
          <w:lang w:val="bg-BG"/>
        </w:rPr>
        <w:t>.</w:t>
      </w:r>
    </w:p>
    <w:p w:rsidR="000938C1" w:rsidRPr="00BE1D0C" w:rsidRDefault="000938C1" w:rsidP="00F85C67">
      <w:pPr>
        <w:pStyle w:val="BodyTextIndent"/>
        <w:widowControl w:val="0"/>
        <w:spacing w:after="0"/>
        <w:ind w:left="0" w:firstLine="540"/>
        <w:jc w:val="both"/>
        <w:rPr>
          <w:lang w:val="bg-BG"/>
        </w:rPr>
      </w:pPr>
      <w:r w:rsidRPr="00D05C99">
        <w:rPr>
          <w:lang w:val="bg-BG"/>
        </w:rPr>
        <w:t xml:space="preserve"> За </w:t>
      </w:r>
      <w:r w:rsidRPr="00BE1D0C">
        <w:rPr>
          <w:i/>
          <w:lang w:val="bg-BG"/>
        </w:rPr>
        <w:t>делегирани от държавата дейности</w:t>
      </w:r>
      <w:r w:rsidRPr="00BE1D0C">
        <w:rPr>
          <w:lang w:val="bg-BG"/>
        </w:rPr>
        <w:t>, капиталовите разходи са 53,6 млн. лв. (в т.ч. 12,</w:t>
      </w:r>
      <w:r>
        <w:rPr>
          <w:lang w:val="bg-BG"/>
        </w:rPr>
        <w:t>2</w:t>
      </w:r>
      <w:r w:rsidRPr="00BE1D0C">
        <w:rPr>
          <w:lang w:val="bg-BG"/>
        </w:rPr>
        <w:t xml:space="preserve"> млн. лв. дофинансиране), а за </w:t>
      </w:r>
      <w:r w:rsidRPr="00BE1D0C">
        <w:rPr>
          <w:i/>
          <w:lang w:val="bg-BG"/>
        </w:rPr>
        <w:t>местни дейности</w:t>
      </w:r>
      <w:r w:rsidRPr="00BE1D0C">
        <w:rPr>
          <w:lang w:val="bg-BG"/>
        </w:rPr>
        <w:t xml:space="preserve"> 60,7 млн. лева. </w:t>
      </w:r>
    </w:p>
    <w:p w:rsidR="000938C1" w:rsidRPr="00BE1D0C" w:rsidRDefault="000938C1" w:rsidP="00F85C67">
      <w:pPr>
        <w:pStyle w:val="BodyTextIndent"/>
        <w:widowControl w:val="0"/>
        <w:spacing w:after="0"/>
        <w:ind w:left="0" w:firstLine="540"/>
        <w:jc w:val="both"/>
        <w:rPr>
          <w:lang w:val="bg-BG"/>
        </w:rPr>
      </w:pPr>
      <w:r w:rsidRPr="00D05C99">
        <w:rPr>
          <w:lang w:val="bg-BG"/>
        </w:rPr>
        <w:t xml:space="preserve">За </w:t>
      </w:r>
      <w:r w:rsidRPr="00BE1D0C">
        <w:rPr>
          <w:i/>
          <w:lang w:val="bg-BG"/>
        </w:rPr>
        <w:t>делегираните от държавата дейности</w:t>
      </w:r>
      <w:r w:rsidRPr="00BE1D0C">
        <w:rPr>
          <w:lang w:val="bg-BG"/>
        </w:rPr>
        <w:t xml:space="preserve"> извършените текущи разходи са в размер на 1 440,</w:t>
      </w:r>
      <w:r>
        <w:rPr>
          <w:lang w:val="bg-BG"/>
        </w:rPr>
        <w:t>4</w:t>
      </w:r>
      <w:r w:rsidRPr="00BE1D0C">
        <w:rPr>
          <w:lang w:val="bg-BG"/>
        </w:rPr>
        <w:t xml:space="preserve"> млн. лв. или с </w:t>
      </w:r>
      <w:r w:rsidRPr="00673D4D">
        <w:rPr>
          <w:lang w:val="bg-BG"/>
        </w:rPr>
        <w:t>87,</w:t>
      </w:r>
      <w:r>
        <w:rPr>
          <w:lang w:val="bg-BG"/>
        </w:rPr>
        <w:t>8</w:t>
      </w:r>
      <w:r w:rsidRPr="00BE1D0C">
        <w:rPr>
          <w:lang w:val="bg-BG"/>
        </w:rPr>
        <w:t xml:space="preserve"> млн. лв. повече от планираните. Превишението на отчетените средства за 2013 г. спрямо закона се дължи на финансирането</w:t>
      </w:r>
      <w:r w:rsidRPr="00D05C99">
        <w:rPr>
          <w:lang w:val="bg-BG"/>
        </w:rPr>
        <w:t xml:space="preserve"> по националните програми – „Оптимизация на училищната мрежа, „С грижа за всеки ученик”, „Без свободен час”,  „Информационни и комуникационни технологии” и др. Училищата и детските градини са получили допълнителни средства за компенсиране транспортните раз</w:t>
      </w:r>
      <w:r w:rsidRPr="00BE1D0C">
        <w:rPr>
          <w:lang w:val="bg-BG"/>
        </w:rPr>
        <w:t>ходи на педагогическия персонал, за стипендии на деца с изявени дарби, за диференцирано заплащане на труда на директорите, за безплатен транспорт на ученици до 16 г. възраст, за безплатни учебници на децата от подготвителните групи и на учениците до VІІ клас, както и за въвеждане на целодневна организация на учебния ден за учениците от IVклас.</w:t>
      </w:r>
    </w:p>
    <w:p w:rsidR="000938C1" w:rsidRPr="00BE1D0C" w:rsidRDefault="000938C1" w:rsidP="00F85C67">
      <w:pPr>
        <w:pStyle w:val="BodyTextIndent"/>
        <w:widowControl w:val="0"/>
        <w:spacing w:after="0"/>
        <w:ind w:left="0" w:firstLine="540"/>
        <w:jc w:val="both"/>
        <w:rPr>
          <w:lang w:val="bg-BG"/>
        </w:rPr>
      </w:pPr>
      <w:r w:rsidRPr="00D05C99">
        <w:rPr>
          <w:lang w:val="bg-BG"/>
        </w:rPr>
        <w:t>В делегираните от държавата дейности се отчитат разходите за персонала в училищата и детските градини, издръжката на децата в подготвителните групи, всички  разходи з</w:t>
      </w:r>
      <w:r w:rsidRPr="00BE1D0C">
        <w:rPr>
          <w:lang w:val="bg-BG"/>
        </w:rPr>
        <w:t>а издръжка на общообразователните, спортните, професионалните и специалните училища и на общежитията, средствата за извънкласни и извънучилищни дейности.</w:t>
      </w:r>
    </w:p>
    <w:p w:rsidR="000938C1" w:rsidRPr="00BE1D0C" w:rsidRDefault="000938C1" w:rsidP="00F85C67">
      <w:pPr>
        <w:pStyle w:val="BodyTextIndent"/>
        <w:widowControl w:val="0"/>
        <w:spacing w:after="0"/>
        <w:ind w:left="0" w:firstLine="540"/>
        <w:jc w:val="both"/>
        <w:rPr>
          <w:lang w:val="bg-BG"/>
        </w:rPr>
      </w:pPr>
      <w:r w:rsidRPr="00BE1D0C">
        <w:rPr>
          <w:lang w:val="bg-BG"/>
        </w:rPr>
        <w:t xml:space="preserve">По отчетни данни за 2013 г. общините са дофинансирали държавните дейности със </w:t>
      </w:r>
      <w:r w:rsidRPr="002843B1">
        <w:rPr>
          <w:lang w:val="bg-BG"/>
        </w:rPr>
        <w:t>собствени приходи общо в размер на 18,4 млн. лева.</w:t>
      </w:r>
      <w:r w:rsidRPr="00BE1D0C">
        <w:rPr>
          <w:lang w:val="bg-BG"/>
        </w:rPr>
        <w:t xml:space="preserve"> </w:t>
      </w:r>
    </w:p>
    <w:p w:rsidR="000938C1" w:rsidRPr="00BE1D0C" w:rsidRDefault="000938C1" w:rsidP="009F43FA">
      <w:pPr>
        <w:pStyle w:val="BodyTextIndent"/>
        <w:widowControl w:val="0"/>
        <w:ind w:left="0" w:firstLine="539"/>
        <w:jc w:val="both"/>
        <w:rPr>
          <w:lang w:val="bg-BG"/>
        </w:rPr>
      </w:pPr>
      <w:r w:rsidRPr="00D05C99">
        <w:rPr>
          <w:lang w:val="bg-BG"/>
        </w:rPr>
        <w:t xml:space="preserve">В </w:t>
      </w:r>
      <w:r w:rsidRPr="00BE1D0C">
        <w:rPr>
          <w:i/>
          <w:lang w:val="bg-BG"/>
        </w:rPr>
        <w:t>местните дейности</w:t>
      </w:r>
      <w:r w:rsidRPr="00BE1D0C">
        <w:rPr>
          <w:lang w:val="bg-BG"/>
        </w:rPr>
        <w:t xml:space="preserve"> по функция „Образование” са отчетени текущи разходи в размер на 167,4 млн. лв., което е с 2,7 % повече (4,5 млн. лв.) от разчетените със закона и с ръст от 2,2 % спрямо отчетените за 2012 г. Тук се включват разходите за издръжка на целодневните детски градини, обединени детски заведения, полудневни детски градини; столове; извънучилищни и др. дейности по образованието.</w:t>
      </w:r>
    </w:p>
    <w:p w:rsidR="000938C1" w:rsidRPr="00BE1D0C" w:rsidRDefault="000938C1" w:rsidP="009F43FA">
      <w:pPr>
        <w:pStyle w:val="BodyTextIndent2"/>
        <w:spacing w:line="240" w:lineRule="auto"/>
        <w:ind w:left="0" w:firstLine="539"/>
        <w:jc w:val="both"/>
      </w:pPr>
      <w:r w:rsidRPr="00BE1D0C">
        <w:rPr>
          <w:b/>
        </w:rPr>
        <w:t>Европейски средства</w:t>
      </w:r>
      <w:r w:rsidRPr="00BE1D0C">
        <w:t xml:space="preserve"> – във функцията изразходваните средства са в размер на 259,6 млн. лв.,  основно по следните оперативни програми: </w:t>
      </w:r>
    </w:p>
    <w:p w:rsidR="000938C1" w:rsidRPr="00BE1D0C" w:rsidRDefault="000938C1" w:rsidP="00F85C67">
      <w:pPr>
        <w:autoSpaceDE w:val="0"/>
        <w:autoSpaceDN w:val="0"/>
        <w:adjustRightInd w:val="0"/>
        <w:spacing w:after="120"/>
        <w:jc w:val="both"/>
      </w:pPr>
      <w:r w:rsidRPr="00BE1D0C">
        <w:rPr>
          <w:b/>
          <w:i/>
        </w:rPr>
        <w:t xml:space="preserve">Оперативна програма „Развитие на човешките ресурси” - </w:t>
      </w:r>
      <w:r w:rsidRPr="00BE1D0C">
        <w:t>чрез тази програма се финансират дейности за: осигуряване на достъп до образование и обучение; насърчаване на иновациите и научно-развойната дейност, с цел изграждане на икономика, основана на знанието; разработване и изпълнение на стратегия за учене през целия живот; транснационалното и междурегионалното сътрудничество и др. Една от основните цели на програмата е увеличено инвестиране в човешкия капитал чрез по-добро и по-достъпно образование (равен достъп до качествени образователни услуги за всички), за преодоляване на проблема с ограничения достъп до пазара на труда, поради липса на умения или поради неадекватност на уменията на хората. Програмата се съсредоточава и върху развитието на фундаментални изследвания. Бенефициенти на програмата са образователни институции, консултантски фирми, неправителствени организации и др. Средства</w:t>
      </w:r>
      <w:r>
        <w:t>та</w:t>
      </w:r>
      <w:r w:rsidRPr="00E414FC">
        <w:t xml:space="preserve"> по </w:t>
      </w:r>
      <w:r w:rsidRPr="00E414FC">
        <w:rPr>
          <w:i/>
        </w:rPr>
        <w:t xml:space="preserve">Оперативна програма „Развитие на човешките ресурси” </w:t>
      </w:r>
      <w:r w:rsidRPr="00E414FC">
        <w:t>за функция „Образование”</w:t>
      </w:r>
      <w:r w:rsidRPr="00D05C99">
        <w:t xml:space="preserve"> за годината са в размер на 190,2 млн. </w:t>
      </w:r>
      <w:r w:rsidRPr="00BE1D0C">
        <w:t>лева.</w:t>
      </w:r>
    </w:p>
    <w:p w:rsidR="000938C1" w:rsidRPr="00BE1D0C" w:rsidRDefault="000938C1" w:rsidP="00F85C67">
      <w:pPr>
        <w:autoSpaceDE w:val="0"/>
        <w:autoSpaceDN w:val="0"/>
        <w:adjustRightInd w:val="0"/>
        <w:spacing w:after="120"/>
        <w:jc w:val="both"/>
      </w:pPr>
      <w:r w:rsidRPr="00BE1D0C">
        <w:rPr>
          <w:b/>
          <w:i/>
        </w:rPr>
        <w:t xml:space="preserve">Оперативна програма „Регионално развитие” - </w:t>
      </w:r>
      <w:r w:rsidRPr="00BE1D0C">
        <w:t xml:space="preserve">основна цел на програмата е да се осигури подходяща и рентабилна образователна, здравна, социална и културна инфраструктура, съобразена с нуждите на населението в градските центрове и прилежащите им територии. Оперативната програма има за цел </w:t>
      </w:r>
      <w:r w:rsidRPr="00BE1D0C">
        <w:rPr>
          <w:rFonts w:eastAsia="ArialNarrow"/>
        </w:rPr>
        <w:t xml:space="preserve">подобряване на качеството на човешкия капитал чрез подобрен достъп на всички до качествено образование и обучение (включително обучение през целия живот) с оглед на повишаването на производителността и постигане на по-голямо съответствие между уменията и потребностите на пазара на труда. </w:t>
      </w:r>
      <w:r w:rsidRPr="00BE1D0C">
        <w:t>Програмата финансира дейности, свързани с реконструкция, ремонт и оборудване на образователни институции – детски ясли и градини, основни и средни училища и университети (учебни зали, библиотеки, лаборатории, спортни съоръжения, учебни корпуси, интернет връзки). Бенефициенти на програмата са: общини - за обекти</w:t>
      </w:r>
      <w:r>
        <w:t>,</w:t>
      </w:r>
      <w:r w:rsidRPr="00BD3948">
        <w:t xml:space="preserve"> които са общинска собственост (училища, детски градини и ясли, здравни, културни, социални</w:t>
      </w:r>
      <w:r w:rsidRPr="00D05C99">
        <w:t xml:space="preserve"> заведения и др.) и Министерство на образованието и науката</w:t>
      </w:r>
      <w:r>
        <w:t xml:space="preserve"> </w:t>
      </w:r>
      <w:r w:rsidRPr="00BD3948">
        <w:t xml:space="preserve">- за държавни учебни заведения. Изразходваните средства по </w:t>
      </w:r>
      <w:r w:rsidRPr="00BD3948">
        <w:rPr>
          <w:i/>
        </w:rPr>
        <w:t xml:space="preserve">Оперативна програма „Регионално развитие” </w:t>
      </w:r>
      <w:r w:rsidRPr="00BD3948">
        <w:t>за функция „Образование”</w:t>
      </w:r>
      <w:r>
        <w:t xml:space="preserve"> </w:t>
      </w:r>
      <w:r w:rsidRPr="00BD3948">
        <w:t>през 2013 г. са в размер на 63,</w:t>
      </w:r>
      <w:r>
        <w:t>0</w:t>
      </w:r>
      <w:r w:rsidRPr="00BD3948">
        <w:t xml:space="preserve"> млн. </w:t>
      </w:r>
      <w:r w:rsidRPr="00D05C99">
        <w:t>лева</w:t>
      </w:r>
      <w:r w:rsidRPr="00BE1D0C">
        <w:t>.</w:t>
      </w:r>
    </w:p>
    <w:p w:rsidR="000938C1" w:rsidRPr="00B75352" w:rsidRDefault="000938C1" w:rsidP="00F30F79">
      <w:pPr>
        <w:pStyle w:val="Heading3"/>
        <w:numPr>
          <w:ilvl w:val="2"/>
          <w:numId w:val="72"/>
        </w:numPr>
        <w:jc w:val="both"/>
        <w:rPr>
          <w:rFonts w:ascii="Times New Roman" w:hAnsi="Times New Roman"/>
          <w:sz w:val="24"/>
          <w:lang w:val="bg-BG"/>
        </w:rPr>
      </w:pPr>
      <w:bookmarkStart w:id="216" w:name="_Toc261276589"/>
      <w:bookmarkStart w:id="217" w:name="_Toc324863425"/>
      <w:bookmarkStart w:id="218" w:name="_Toc326315917"/>
      <w:bookmarkStart w:id="219" w:name="_Toc393728076"/>
      <w:r w:rsidRPr="00B75352">
        <w:rPr>
          <w:rFonts w:ascii="Times New Roman" w:hAnsi="Times New Roman"/>
          <w:sz w:val="24"/>
          <w:lang w:val="bg-BG"/>
        </w:rPr>
        <w:t>Здравеопазване</w:t>
      </w:r>
      <w:bookmarkEnd w:id="216"/>
      <w:bookmarkEnd w:id="217"/>
      <w:bookmarkEnd w:id="218"/>
      <w:bookmarkEnd w:id="219"/>
    </w:p>
    <w:p w:rsidR="000938C1" w:rsidRPr="00B75352" w:rsidRDefault="000938C1" w:rsidP="00F85C67">
      <w:pPr>
        <w:ind w:firstLine="540"/>
        <w:jc w:val="both"/>
      </w:pPr>
      <w:r w:rsidRPr="00B75352">
        <w:t>С консолидираната фискална програма за 2013 г. разчетените разходи за функция „Здравеопазване” (вкл. резерва за непредвидени и неотложни разходи) са 3 364,4 млн. лв., а изразходваните средства по функцията за годината са в размер на 3 540,3 млн. лв. или 105,2 % спрямо годишния разчет. Средствата за функция „Здравеопазване” представляват 4</w:t>
      </w:r>
      <w:r>
        <w:t>,5</w:t>
      </w:r>
      <w:r w:rsidRPr="00B75352">
        <w:t xml:space="preserve"> % от БВП.</w:t>
      </w:r>
    </w:p>
    <w:p w:rsidR="000938C1" w:rsidRPr="00B75352" w:rsidRDefault="000938C1" w:rsidP="00F85C67">
      <w:pPr>
        <w:ind w:firstLine="7560"/>
        <w:rPr>
          <w:b/>
          <w:sz w:val="18"/>
          <w:szCs w:val="18"/>
        </w:rPr>
      </w:pPr>
      <w:r w:rsidRPr="00B75352">
        <w:rPr>
          <w:b/>
          <w:sz w:val="18"/>
          <w:szCs w:val="18"/>
        </w:rPr>
        <w:t xml:space="preserve">              (млн. лв.)</w:t>
      </w:r>
    </w:p>
    <w:tbl>
      <w:tblPr>
        <w:tblW w:w="9538" w:type="dxa"/>
        <w:jc w:val="center"/>
        <w:tblInd w:w="610" w:type="dxa"/>
        <w:tblCellMar>
          <w:left w:w="70" w:type="dxa"/>
          <w:right w:w="70" w:type="dxa"/>
        </w:tblCellMar>
        <w:tblLook w:val="0000"/>
      </w:tblPr>
      <w:tblGrid>
        <w:gridCol w:w="3240"/>
        <w:gridCol w:w="900"/>
        <w:gridCol w:w="720"/>
        <w:gridCol w:w="900"/>
        <w:gridCol w:w="955"/>
        <w:gridCol w:w="960"/>
        <w:gridCol w:w="1078"/>
        <w:gridCol w:w="785"/>
      </w:tblGrid>
      <w:tr w:rsidR="000938C1" w:rsidRPr="003F4F78" w:rsidTr="009E1415">
        <w:trPr>
          <w:trHeight w:val="645"/>
          <w:jc w:val="center"/>
        </w:trPr>
        <w:tc>
          <w:tcPr>
            <w:tcW w:w="3240" w:type="dxa"/>
            <w:tcBorders>
              <w:top w:val="double" w:sz="2" w:space="0" w:color="800000"/>
              <w:left w:val="double" w:sz="2"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ОТЧЕТ 2013 г.</w:t>
            </w:r>
          </w:p>
        </w:tc>
        <w:tc>
          <w:tcPr>
            <w:tcW w:w="900" w:type="dxa"/>
            <w:tcBorders>
              <w:top w:val="double" w:sz="2" w:space="0" w:color="800000"/>
              <w:left w:val="single" w:sz="4" w:space="0" w:color="FFFFFF"/>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КФП</w:t>
            </w:r>
          </w:p>
        </w:tc>
        <w:tc>
          <w:tcPr>
            <w:tcW w:w="720" w:type="dxa"/>
            <w:tcBorders>
              <w:top w:val="double" w:sz="2" w:space="0" w:color="800000"/>
              <w:left w:val="single" w:sz="4" w:space="0" w:color="FFFFFF"/>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РБ</w:t>
            </w:r>
          </w:p>
        </w:tc>
        <w:tc>
          <w:tcPr>
            <w:tcW w:w="900" w:type="dxa"/>
            <w:tcBorders>
              <w:top w:val="double" w:sz="2" w:space="0" w:color="800000"/>
              <w:left w:val="single" w:sz="4" w:space="0" w:color="FFFFFF"/>
              <w:right w:val="single" w:sz="4" w:space="0" w:color="FFFFFF"/>
            </w:tcBorders>
            <w:shd w:val="clear" w:color="auto" w:fill="800000"/>
            <w:vAlign w:val="center"/>
          </w:tcPr>
          <w:p w:rsidR="000938C1" w:rsidRPr="00F85C67" w:rsidRDefault="000938C1" w:rsidP="009E1415">
            <w:pPr>
              <w:jc w:val="center"/>
              <w:rPr>
                <w:b/>
                <w:bCs/>
                <w:color w:val="FFFFFF"/>
                <w:sz w:val="20"/>
                <w:szCs w:val="20"/>
              </w:rPr>
            </w:pPr>
            <w:r w:rsidRPr="00F85C67">
              <w:rPr>
                <w:b/>
                <w:bCs/>
                <w:color w:val="FFFFFF"/>
                <w:sz w:val="20"/>
                <w:szCs w:val="20"/>
              </w:rPr>
              <w:t>НЗОК</w:t>
            </w:r>
          </w:p>
        </w:tc>
        <w:tc>
          <w:tcPr>
            <w:tcW w:w="955" w:type="dxa"/>
            <w:tcBorders>
              <w:top w:val="double" w:sz="2" w:space="0" w:color="800000"/>
              <w:left w:val="single" w:sz="4" w:space="0" w:color="FFFFFF"/>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Общини</w:t>
            </w:r>
          </w:p>
        </w:tc>
        <w:tc>
          <w:tcPr>
            <w:tcW w:w="960" w:type="dxa"/>
            <w:tcBorders>
              <w:top w:val="double" w:sz="2" w:space="0" w:color="800000"/>
              <w:left w:val="single" w:sz="4" w:space="0" w:color="FFFFFF"/>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ИБСФ</w:t>
            </w:r>
          </w:p>
        </w:tc>
        <w:tc>
          <w:tcPr>
            <w:tcW w:w="1078" w:type="dxa"/>
            <w:tcBorders>
              <w:top w:val="double" w:sz="2" w:space="0" w:color="800000"/>
              <w:left w:val="single" w:sz="4" w:space="0" w:color="FFFFFF"/>
              <w:right w:val="single" w:sz="4" w:space="0" w:color="FFFFFF"/>
            </w:tcBorders>
            <w:shd w:val="clear" w:color="auto" w:fill="800000"/>
            <w:vAlign w:val="center"/>
          </w:tcPr>
          <w:p w:rsidR="000938C1" w:rsidRPr="00F85C67" w:rsidRDefault="000938C1" w:rsidP="009E1415">
            <w:pPr>
              <w:jc w:val="center"/>
              <w:rPr>
                <w:b/>
                <w:bCs/>
                <w:color w:val="FFFFFF"/>
                <w:sz w:val="20"/>
                <w:szCs w:val="20"/>
              </w:rPr>
            </w:pPr>
            <w:r w:rsidRPr="00F85C67">
              <w:rPr>
                <w:b/>
                <w:bCs/>
                <w:color w:val="FFFFFF"/>
                <w:sz w:val="20"/>
                <w:szCs w:val="20"/>
              </w:rPr>
              <w:t>Предприс.</w:t>
            </w:r>
          </w:p>
          <w:p w:rsidR="000938C1" w:rsidRPr="00F85C67" w:rsidRDefault="000938C1" w:rsidP="009E1415">
            <w:pPr>
              <w:jc w:val="center"/>
              <w:rPr>
                <w:b/>
                <w:bCs/>
                <w:color w:val="FFFFFF"/>
                <w:sz w:val="20"/>
                <w:szCs w:val="20"/>
              </w:rPr>
            </w:pPr>
            <w:r w:rsidRPr="00F85C67">
              <w:rPr>
                <w:b/>
                <w:bCs/>
                <w:color w:val="FFFFFF"/>
                <w:sz w:val="20"/>
                <w:szCs w:val="20"/>
              </w:rPr>
              <w:t>п-ми</w:t>
            </w:r>
          </w:p>
        </w:tc>
        <w:tc>
          <w:tcPr>
            <w:tcW w:w="785" w:type="dxa"/>
            <w:tcBorders>
              <w:top w:val="double" w:sz="2" w:space="0" w:color="800000"/>
              <w:left w:val="single" w:sz="4" w:space="0" w:color="FFFFFF"/>
              <w:right w:val="double" w:sz="2" w:space="0" w:color="800000"/>
            </w:tcBorders>
            <w:shd w:val="clear" w:color="auto" w:fill="800000"/>
            <w:vAlign w:val="center"/>
          </w:tcPr>
          <w:p w:rsidR="000938C1" w:rsidRPr="00F85C67" w:rsidRDefault="000938C1" w:rsidP="009E1415">
            <w:pPr>
              <w:jc w:val="center"/>
              <w:rPr>
                <w:b/>
                <w:bCs/>
                <w:color w:val="FFFFFF"/>
                <w:sz w:val="20"/>
                <w:szCs w:val="20"/>
              </w:rPr>
            </w:pPr>
            <w:r w:rsidRPr="00F85C67">
              <w:rPr>
                <w:b/>
                <w:bCs/>
                <w:color w:val="FFFFFF"/>
                <w:sz w:val="20"/>
                <w:szCs w:val="20"/>
              </w:rPr>
              <w:t>Европ. ср-ва</w:t>
            </w:r>
          </w:p>
        </w:tc>
      </w:tr>
      <w:tr w:rsidR="000938C1" w:rsidRPr="00CF1A14" w:rsidTr="009E1415">
        <w:trPr>
          <w:trHeight w:val="330"/>
          <w:jc w:val="center"/>
        </w:trPr>
        <w:tc>
          <w:tcPr>
            <w:tcW w:w="3240" w:type="dxa"/>
            <w:tcBorders>
              <w:left w:val="double" w:sz="6" w:space="0" w:color="800000"/>
              <w:bottom w:val="nil"/>
              <w:right w:val="single" w:sz="4" w:space="0" w:color="800000"/>
            </w:tcBorders>
            <w:shd w:val="clear" w:color="auto" w:fill="FFFFCC"/>
            <w:noWrap/>
            <w:vAlign w:val="bottom"/>
          </w:tcPr>
          <w:p w:rsidR="000938C1" w:rsidRPr="009D0638" w:rsidRDefault="000938C1" w:rsidP="009E1415">
            <w:pPr>
              <w:rPr>
                <w:b/>
                <w:bCs/>
                <w:sz w:val="20"/>
                <w:szCs w:val="20"/>
              </w:rPr>
            </w:pPr>
            <w:r w:rsidRPr="009D0638">
              <w:rPr>
                <w:b/>
                <w:bCs/>
                <w:sz w:val="20"/>
                <w:szCs w:val="20"/>
              </w:rPr>
              <w:t>IV. ЗДРАВЕОПАЗВАНЕ</w:t>
            </w:r>
          </w:p>
        </w:tc>
        <w:tc>
          <w:tcPr>
            <w:tcW w:w="900" w:type="dxa"/>
            <w:tcBorders>
              <w:left w:val="nil"/>
              <w:bottom w:val="nil"/>
              <w:right w:val="single" w:sz="4" w:space="0" w:color="800000"/>
            </w:tcBorders>
            <w:shd w:val="clear" w:color="auto" w:fill="FFFFCC"/>
            <w:noWrap/>
            <w:vAlign w:val="bottom"/>
          </w:tcPr>
          <w:p w:rsidR="000938C1" w:rsidRDefault="000938C1" w:rsidP="009E1415">
            <w:pPr>
              <w:jc w:val="right"/>
              <w:rPr>
                <w:b/>
                <w:bCs/>
                <w:color w:val="000000"/>
                <w:sz w:val="20"/>
                <w:szCs w:val="20"/>
              </w:rPr>
            </w:pPr>
            <w:r>
              <w:rPr>
                <w:b/>
                <w:bCs/>
                <w:color w:val="000000"/>
                <w:sz w:val="20"/>
                <w:szCs w:val="20"/>
              </w:rPr>
              <w:t>3 540,3</w:t>
            </w:r>
          </w:p>
        </w:tc>
        <w:tc>
          <w:tcPr>
            <w:tcW w:w="720" w:type="dxa"/>
            <w:tcBorders>
              <w:left w:val="nil"/>
              <w:bottom w:val="nil"/>
              <w:right w:val="single" w:sz="4" w:space="0" w:color="800000"/>
            </w:tcBorders>
            <w:shd w:val="clear" w:color="auto" w:fill="FFFFCC"/>
            <w:noWrap/>
            <w:vAlign w:val="bottom"/>
          </w:tcPr>
          <w:p w:rsidR="000938C1" w:rsidRDefault="000938C1" w:rsidP="009E1415">
            <w:pPr>
              <w:jc w:val="right"/>
              <w:rPr>
                <w:b/>
                <w:bCs/>
                <w:color w:val="000000"/>
                <w:sz w:val="20"/>
                <w:szCs w:val="20"/>
              </w:rPr>
            </w:pPr>
            <w:r>
              <w:rPr>
                <w:b/>
                <w:bCs/>
                <w:color w:val="000000"/>
                <w:sz w:val="20"/>
                <w:szCs w:val="20"/>
              </w:rPr>
              <w:t>570,5</w:t>
            </w:r>
          </w:p>
        </w:tc>
        <w:tc>
          <w:tcPr>
            <w:tcW w:w="900" w:type="dxa"/>
            <w:tcBorders>
              <w:left w:val="nil"/>
              <w:bottom w:val="nil"/>
              <w:right w:val="single" w:sz="4" w:space="0" w:color="800000"/>
            </w:tcBorders>
            <w:shd w:val="clear" w:color="auto" w:fill="FFFFCC"/>
            <w:noWrap/>
            <w:vAlign w:val="bottom"/>
          </w:tcPr>
          <w:p w:rsidR="000938C1" w:rsidRDefault="000938C1" w:rsidP="009E1415">
            <w:pPr>
              <w:jc w:val="right"/>
              <w:rPr>
                <w:b/>
                <w:bCs/>
                <w:color w:val="000000"/>
                <w:sz w:val="20"/>
                <w:szCs w:val="20"/>
              </w:rPr>
            </w:pPr>
            <w:r>
              <w:rPr>
                <w:b/>
                <w:bCs/>
                <w:color w:val="000000"/>
                <w:sz w:val="20"/>
                <w:szCs w:val="20"/>
              </w:rPr>
              <w:t>2 716,8</w:t>
            </w:r>
          </w:p>
        </w:tc>
        <w:tc>
          <w:tcPr>
            <w:tcW w:w="955" w:type="dxa"/>
            <w:tcBorders>
              <w:left w:val="nil"/>
              <w:bottom w:val="nil"/>
              <w:right w:val="single" w:sz="4" w:space="0" w:color="800000"/>
            </w:tcBorders>
            <w:shd w:val="clear" w:color="auto" w:fill="FFFFCC"/>
            <w:noWrap/>
            <w:vAlign w:val="bottom"/>
          </w:tcPr>
          <w:p w:rsidR="000938C1" w:rsidRDefault="000938C1" w:rsidP="009E1415">
            <w:pPr>
              <w:jc w:val="right"/>
              <w:rPr>
                <w:b/>
                <w:bCs/>
                <w:color w:val="000000"/>
                <w:sz w:val="20"/>
                <w:szCs w:val="20"/>
              </w:rPr>
            </w:pPr>
            <w:r>
              <w:rPr>
                <w:b/>
                <w:bCs/>
                <w:color w:val="000000"/>
                <w:sz w:val="20"/>
                <w:szCs w:val="20"/>
              </w:rPr>
              <w:t>149,9</w:t>
            </w:r>
          </w:p>
        </w:tc>
        <w:tc>
          <w:tcPr>
            <w:tcW w:w="960" w:type="dxa"/>
            <w:tcBorders>
              <w:left w:val="nil"/>
              <w:bottom w:val="nil"/>
              <w:right w:val="single" w:sz="4" w:space="0" w:color="800000"/>
            </w:tcBorders>
            <w:shd w:val="clear" w:color="auto" w:fill="FFFFCC"/>
            <w:noWrap/>
            <w:vAlign w:val="bottom"/>
          </w:tcPr>
          <w:p w:rsidR="000938C1" w:rsidRDefault="000938C1" w:rsidP="009E1415">
            <w:pPr>
              <w:jc w:val="right"/>
              <w:rPr>
                <w:b/>
                <w:bCs/>
                <w:color w:val="000000"/>
                <w:sz w:val="20"/>
                <w:szCs w:val="20"/>
              </w:rPr>
            </w:pPr>
            <w:r>
              <w:rPr>
                <w:b/>
                <w:bCs/>
                <w:color w:val="000000"/>
                <w:sz w:val="20"/>
                <w:szCs w:val="20"/>
              </w:rPr>
              <w:t>2,2</w:t>
            </w:r>
          </w:p>
        </w:tc>
        <w:tc>
          <w:tcPr>
            <w:tcW w:w="1078" w:type="dxa"/>
            <w:tcBorders>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20"/>
                <w:szCs w:val="20"/>
              </w:rPr>
            </w:pPr>
            <w:r>
              <w:rPr>
                <w:b/>
                <w:bCs/>
                <w:color w:val="000000"/>
                <w:sz w:val="20"/>
                <w:szCs w:val="20"/>
              </w:rPr>
              <w:t>0,0</w:t>
            </w:r>
          </w:p>
        </w:tc>
        <w:tc>
          <w:tcPr>
            <w:tcW w:w="785" w:type="dxa"/>
            <w:tcBorders>
              <w:left w:val="single" w:sz="4" w:space="0" w:color="800000"/>
              <w:bottom w:val="nil"/>
              <w:right w:val="double" w:sz="6" w:space="0" w:color="800000"/>
            </w:tcBorders>
            <w:shd w:val="clear" w:color="auto" w:fill="FFFFCC"/>
            <w:noWrap/>
            <w:vAlign w:val="bottom"/>
          </w:tcPr>
          <w:p w:rsidR="000938C1" w:rsidRDefault="000938C1" w:rsidP="009E1415">
            <w:pPr>
              <w:jc w:val="right"/>
              <w:rPr>
                <w:b/>
                <w:bCs/>
                <w:color w:val="000000"/>
                <w:sz w:val="20"/>
                <w:szCs w:val="20"/>
              </w:rPr>
            </w:pPr>
            <w:r>
              <w:rPr>
                <w:b/>
                <w:bCs/>
                <w:color w:val="000000"/>
                <w:sz w:val="20"/>
                <w:szCs w:val="20"/>
              </w:rPr>
              <w:t>100,9</w:t>
            </w:r>
          </w:p>
        </w:tc>
      </w:tr>
      <w:tr w:rsidR="000938C1" w:rsidRPr="00CF1A14" w:rsidTr="009E1415">
        <w:trPr>
          <w:trHeight w:val="255"/>
          <w:jc w:val="center"/>
        </w:trPr>
        <w:tc>
          <w:tcPr>
            <w:tcW w:w="3240" w:type="dxa"/>
            <w:tcBorders>
              <w:top w:val="nil"/>
              <w:left w:val="double" w:sz="6" w:space="0" w:color="800000"/>
              <w:bottom w:val="nil"/>
              <w:right w:val="single" w:sz="4" w:space="0" w:color="800000"/>
            </w:tcBorders>
            <w:shd w:val="clear" w:color="auto" w:fill="FFFFCC"/>
            <w:noWrap/>
            <w:vAlign w:val="bottom"/>
          </w:tcPr>
          <w:p w:rsidR="000938C1" w:rsidRPr="009D0638" w:rsidRDefault="000938C1" w:rsidP="009E1415">
            <w:pPr>
              <w:rPr>
                <w:sz w:val="20"/>
                <w:szCs w:val="20"/>
              </w:rPr>
            </w:pPr>
            <w:r w:rsidRPr="009D0638">
              <w:rPr>
                <w:sz w:val="20"/>
                <w:szCs w:val="20"/>
              </w:rPr>
              <w:t xml:space="preserve">     Текущи нелихвени разходи</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3 382,6</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525,3</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2 715,2</w:t>
            </w:r>
          </w:p>
        </w:tc>
        <w:tc>
          <w:tcPr>
            <w:tcW w:w="955" w:type="dxa"/>
            <w:tcBorders>
              <w:top w:val="nil"/>
              <w:left w:val="nil"/>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135,3</w:t>
            </w:r>
          </w:p>
        </w:tc>
        <w:tc>
          <w:tcPr>
            <w:tcW w:w="960" w:type="dxa"/>
            <w:tcBorders>
              <w:top w:val="nil"/>
              <w:left w:val="nil"/>
              <w:right w:val="single" w:sz="4" w:space="0" w:color="800000"/>
            </w:tcBorders>
            <w:shd w:val="clear" w:color="auto" w:fill="FFFFCC"/>
            <w:noWrap/>
            <w:vAlign w:val="bottom"/>
          </w:tcPr>
          <w:p w:rsidR="000938C1" w:rsidRDefault="000938C1" w:rsidP="009E1415">
            <w:pPr>
              <w:rPr>
                <w:color w:val="000000"/>
                <w:sz w:val="20"/>
                <w:szCs w:val="20"/>
              </w:rPr>
            </w:pPr>
            <w:r>
              <w:rPr>
                <w:color w:val="000000"/>
                <w:sz w:val="20"/>
                <w:szCs w:val="20"/>
              </w:rPr>
              <w:t> </w:t>
            </w:r>
          </w:p>
        </w:tc>
        <w:tc>
          <w:tcPr>
            <w:tcW w:w="1078" w:type="dxa"/>
            <w:tcBorders>
              <w:top w:val="nil"/>
              <w:left w:val="single" w:sz="4" w:space="0" w:color="800000"/>
              <w:right w:val="single" w:sz="4" w:space="0" w:color="800000"/>
            </w:tcBorders>
            <w:shd w:val="clear" w:color="auto" w:fill="FFFFCC"/>
            <w:vAlign w:val="bottom"/>
          </w:tcPr>
          <w:p w:rsidR="000938C1" w:rsidRDefault="000938C1" w:rsidP="009E1415">
            <w:pPr>
              <w:jc w:val="right"/>
              <w:rPr>
                <w:color w:val="000000"/>
                <w:sz w:val="20"/>
                <w:szCs w:val="20"/>
              </w:rPr>
            </w:pPr>
            <w:r>
              <w:rPr>
                <w:color w:val="000000"/>
                <w:sz w:val="20"/>
                <w:szCs w:val="20"/>
              </w:rPr>
              <w:t>0,0</w:t>
            </w:r>
          </w:p>
        </w:tc>
        <w:tc>
          <w:tcPr>
            <w:tcW w:w="785" w:type="dxa"/>
            <w:tcBorders>
              <w:top w:val="nil"/>
              <w:left w:val="single" w:sz="4" w:space="0" w:color="800000"/>
              <w:right w:val="double" w:sz="6"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6,8</w:t>
            </w:r>
          </w:p>
        </w:tc>
      </w:tr>
      <w:tr w:rsidR="000938C1" w:rsidRPr="00CF1A14" w:rsidTr="009E1415">
        <w:trPr>
          <w:trHeight w:val="270"/>
          <w:jc w:val="center"/>
        </w:trPr>
        <w:tc>
          <w:tcPr>
            <w:tcW w:w="3240" w:type="dxa"/>
            <w:tcBorders>
              <w:top w:val="nil"/>
              <w:left w:val="double" w:sz="6" w:space="0" w:color="800000"/>
              <w:bottom w:val="double" w:sz="6" w:space="0" w:color="800000"/>
              <w:right w:val="single" w:sz="4" w:space="0" w:color="800000"/>
            </w:tcBorders>
            <w:shd w:val="clear" w:color="auto" w:fill="FFFFCC"/>
            <w:noWrap/>
            <w:vAlign w:val="bottom"/>
          </w:tcPr>
          <w:p w:rsidR="000938C1" w:rsidRPr="009D0638" w:rsidRDefault="000938C1" w:rsidP="009E1415">
            <w:pPr>
              <w:rPr>
                <w:sz w:val="20"/>
                <w:szCs w:val="20"/>
              </w:rPr>
            </w:pPr>
            <w:r w:rsidRPr="009D0638">
              <w:rPr>
                <w:sz w:val="20"/>
                <w:szCs w:val="20"/>
              </w:rPr>
              <w:t xml:space="preserve">     Капиталови разходи</w:t>
            </w:r>
          </w:p>
        </w:tc>
        <w:tc>
          <w:tcPr>
            <w:tcW w:w="900"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157,7</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45,2</w:t>
            </w:r>
          </w:p>
        </w:tc>
        <w:tc>
          <w:tcPr>
            <w:tcW w:w="900"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1,7</w:t>
            </w:r>
          </w:p>
        </w:tc>
        <w:tc>
          <w:tcPr>
            <w:tcW w:w="955"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14,7</w:t>
            </w:r>
          </w:p>
        </w:tc>
        <w:tc>
          <w:tcPr>
            <w:tcW w:w="960"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2,2</w:t>
            </w:r>
          </w:p>
        </w:tc>
        <w:tc>
          <w:tcPr>
            <w:tcW w:w="1078" w:type="dxa"/>
            <w:tcBorders>
              <w:top w:val="nil"/>
              <w:left w:val="single" w:sz="4" w:space="0" w:color="800000"/>
              <w:bottom w:val="double" w:sz="6" w:space="0" w:color="800000"/>
              <w:right w:val="single" w:sz="4" w:space="0" w:color="800000"/>
            </w:tcBorders>
            <w:shd w:val="clear" w:color="auto" w:fill="FFFFCC"/>
            <w:vAlign w:val="bottom"/>
          </w:tcPr>
          <w:p w:rsidR="000938C1" w:rsidRDefault="000938C1" w:rsidP="009E1415">
            <w:pPr>
              <w:rPr>
                <w:color w:val="000000"/>
                <w:sz w:val="20"/>
                <w:szCs w:val="20"/>
              </w:rPr>
            </w:pPr>
            <w:r>
              <w:rPr>
                <w:color w:val="000000"/>
                <w:sz w:val="20"/>
                <w:szCs w:val="20"/>
              </w:rPr>
              <w:t> </w:t>
            </w:r>
          </w:p>
        </w:tc>
        <w:tc>
          <w:tcPr>
            <w:tcW w:w="785" w:type="dxa"/>
            <w:tcBorders>
              <w:top w:val="nil"/>
              <w:left w:val="single" w:sz="4" w:space="0" w:color="800000"/>
              <w:bottom w:val="double" w:sz="6" w:space="0" w:color="800000"/>
              <w:right w:val="double" w:sz="6" w:space="0" w:color="800000"/>
            </w:tcBorders>
            <w:shd w:val="clear" w:color="auto" w:fill="FFFFCC"/>
            <w:noWrap/>
            <w:vAlign w:val="bottom"/>
          </w:tcPr>
          <w:p w:rsidR="000938C1" w:rsidRDefault="000938C1" w:rsidP="009E1415">
            <w:pPr>
              <w:jc w:val="right"/>
              <w:rPr>
                <w:color w:val="000000"/>
                <w:sz w:val="20"/>
                <w:szCs w:val="20"/>
              </w:rPr>
            </w:pPr>
            <w:r>
              <w:rPr>
                <w:color w:val="000000"/>
                <w:sz w:val="20"/>
                <w:szCs w:val="20"/>
              </w:rPr>
              <w:t>94,1</w:t>
            </w:r>
          </w:p>
        </w:tc>
      </w:tr>
    </w:tbl>
    <w:p w:rsidR="000938C1" w:rsidRPr="00CF1A14" w:rsidRDefault="000938C1" w:rsidP="00F85C67">
      <w:pPr>
        <w:ind w:firstLine="540"/>
        <w:jc w:val="both"/>
        <w:rPr>
          <w:color w:val="0070C0"/>
        </w:rPr>
      </w:pPr>
    </w:p>
    <w:p w:rsidR="000938C1" w:rsidRPr="001C3EB5" w:rsidRDefault="000938C1" w:rsidP="00F85C67">
      <w:pPr>
        <w:spacing w:after="120"/>
        <w:ind w:firstLine="540"/>
        <w:jc w:val="both"/>
      </w:pPr>
      <w:r w:rsidRPr="001C3EB5">
        <w:t>Разходите на републиканския бюджет по функция “Здравеопазване” през 2013 г. са насочени към финансиране на следните приоритетни политики:</w:t>
      </w:r>
    </w:p>
    <w:p w:rsidR="000938C1" w:rsidRPr="001C3EB5" w:rsidRDefault="000938C1" w:rsidP="00F30F79">
      <w:pPr>
        <w:numPr>
          <w:ilvl w:val="0"/>
          <w:numId w:val="12"/>
        </w:numPr>
        <w:tabs>
          <w:tab w:val="clear" w:pos="720"/>
          <w:tab w:val="num" w:pos="540"/>
          <w:tab w:val="left" w:pos="900"/>
        </w:tabs>
        <w:ind w:left="540" w:hanging="540"/>
        <w:jc w:val="both"/>
      </w:pPr>
      <w:r w:rsidRPr="001C3EB5">
        <w:t>Политика в областта на общественото здравеопазване – центрове за спешна медицинска помощ; регионални инспекции за опазване и контрол на общественото здраве, центрове за трансфузионна  хематология и др.</w:t>
      </w:r>
    </w:p>
    <w:p w:rsidR="000938C1" w:rsidRPr="001C3EB5" w:rsidRDefault="000938C1" w:rsidP="00F30F79">
      <w:pPr>
        <w:numPr>
          <w:ilvl w:val="0"/>
          <w:numId w:val="12"/>
        </w:numPr>
        <w:tabs>
          <w:tab w:val="clear" w:pos="720"/>
          <w:tab w:val="num" w:pos="540"/>
          <w:tab w:val="left" w:pos="900"/>
        </w:tabs>
        <w:ind w:left="540" w:hanging="540"/>
        <w:jc w:val="both"/>
      </w:pPr>
      <w:r w:rsidRPr="001C3EB5">
        <w:t xml:space="preserve">Политика в областта на реализиране на </w:t>
      </w:r>
      <w:r>
        <w:t>н</w:t>
      </w:r>
      <w:r w:rsidRPr="001C3EB5">
        <w:t>ационални здравни програми по стратегически здравни приоритети и социално значими заболявания;</w:t>
      </w:r>
    </w:p>
    <w:p w:rsidR="000938C1" w:rsidRPr="005C0053" w:rsidRDefault="000938C1" w:rsidP="00F30F79">
      <w:pPr>
        <w:numPr>
          <w:ilvl w:val="0"/>
          <w:numId w:val="12"/>
        </w:numPr>
        <w:tabs>
          <w:tab w:val="clear" w:pos="720"/>
          <w:tab w:val="num" w:pos="540"/>
          <w:tab w:val="left" w:pos="900"/>
        </w:tabs>
        <w:ind w:left="540" w:hanging="540"/>
        <w:jc w:val="both"/>
      </w:pPr>
      <w:r w:rsidRPr="005C0053">
        <w:t>Осигуряване на медикаменти, консумативи и биопродукти по централна доставка;</w:t>
      </w:r>
    </w:p>
    <w:p w:rsidR="000938C1" w:rsidRPr="005C0053" w:rsidRDefault="000938C1" w:rsidP="00F30F79">
      <w:pPr>
        <w:numPr>
          <w:ilvl w:val="0"/>
          <w:numId w:val="12"/>
        </w:numPr>
        <w:tabs>
          <w:tab w:val="clear" w:pos="720"/>
          <w:tab w:val="num" w:pos="540"/>
          <w:tab w:val="left" w:pos="900"/>
        </w:tabs>
        <w:spacing w:after="120"/>
        <w:ind w:left="540" w:hanging="540"/>
        <w:jc w:val="both"/>
      </w:pPr>
      <w:r w:rsidRPr="005C0053">
        <w:t>Диагностично-консултативна и лечебна дейност в лечебните заведения, в системата на МЗ, МТ, МС, МО и МВР.</w:t>
      </w:r>
    </w:p>
    <w:p w:rsidR="000938C1" w:rsidRPr="00BB3BD3" w:rsidRDefault="000938C1" w:rsidP="00F85C67">
      <w:pPr>
        <w:tabs>
          <w:tab w:val="left" w:pos="900"/>
        </w:tabs>
        <w:ind w:firstLine="540"/>
        <w:jc w:val="both"/>
      </w:pPr>
      <w:r w:rsidRPr="00BB3BD3">
        <w:t>Основните разходи за функция „Здравеопазване” по републиканския бюджет се осъществяват чрез бюджета на Министерството на здравеопазването.</w:t>
      </w:r>
    </w:p>
    <w:p w:rsidR="000938C1" w:rsidRDefault="000938C1" w:rsidP="00F85C67">
      <w:pPr>
        <w:tabs>
          <w:tab w:val="left" w:pos="900"/>
        </w:tabs>
        <w:ind w:firstLine="540"/>
        <w:jc w:val="both"/>
      </w:pPr>
      <w:r w:rsidRPr="00BB3BD3">
        <w:t>Министерството на здравеопазването субсидира лечебните заведения за болнична помощ с държавно и общинско участие въз основа на договор за дейности, които са определени като държавна отговорност по критерии и ред, определени от министъра на здравеопазването, в съответствие с чл. 82 от Закона за здравето. Субсидиите за болнична помощ чрез бюджета на МЗ за 2013 г. по отчет са 71,6 млн. лв. Продължава тенденцията тази субсидия да намалява поради преминаване на финансирането на все повече медицински дейности в болниците към заплащане чрез бюджета на Националната здравноосигурителна каса.</w:t>
      </w:r>
    </w:p>
    <w:p w:rsidR="000938C1" w:rsidRPr="00B267F8" w:rsidRDefault="000938C1" w:rsidP="00F85C67">
      <w:pPr>
        <w:tabs>
          <w:tab w:val="left" w:pos="900"/>
        </w:tabs>
        <w:ind w:firstLine="540"/>
        <w:jc w:val="both"/>
      </w:pPr>
      <w:r w:rsidRPr="00B267F8">
        <w:t>Ангажимент на Министерство на здравеопазването  през 2013 г. остана снабдяването на лечебните заведения по реда на централизираните доставки с лекарствени продукти за пациенти със СПИН, туберкулоза и психически и поведенчески зависимости.</w:t>
      </w:r>
    </w:p>
    <w:p w:rsidR="000938C1" w:rsidRPr="00AE6A5F" w:rsidRDefault="000938C1" w:rsidP="00F85C67">
      <w:pPr>
        <w:tabs>
          <w:tab w:val="left" w:pos="900"/>
        </w:tabs>
        <w:ind w:firstLine="540"/>
        <w:jc w:val="both"/>
      </w:pPr>
      <w:r w:rsidRPr="00B267F8">
        <w:t xml:space="preserve">Чрез бюджета на Министерството на здравеопазването и през 2013 г. се осъществяват разходи  по централна доставка  за лекарствени продукти, консумативи и биопродукти, като по отчет тези разходи са в размер на 19,0 млн. лв.  Чувствителното намаление на тези разходи през 2013 г. спрямо предходната година е поради прехвърлянето на функции и дейности, които са от обхвата на здравното осигуряване към </w:t>
      </w:r>
      <w:r w:rsidRPr="00AE6A5F">
        <w:t>Националната здравноосигурителна каса.</w:t>
      </w:r>
    </w:p>
    <w:p w:rsidR="000938C1" w:rsidRPr="00AE6A5F" w:rsidRDefault="000938C1" w:rsidP="00F85C67">
      <w:pPr>
        <w:tabs>
          <w:tab w:val="left" w:pos="900"/>
        </w:tabs>
        <w:spacing w:after="120"/>
        <w:ind w:firstLine="539"/>
        <w:jc w:val="both"/>
      </w:pPr>
      <w:r w:rsidRPr="00AE6A5F">
        <w:t xml:space="preserve">През 2013 г., чрез бюджета на Министерството на здравеопазването, са финансирани общо 9 </w:t>
      </w:r>
      <w:r>
        <w:t>н</w:t>
      </w:r>
      <w:r w:rsidRPr="00AE6A5F">
        <w:t xml:space="preserve">ационални програми, като разходите за тях са в размер на 7,7 млн. </w:t>
      </w:r>
      <w:r>
        <w:t>лева</w:t>
      </w:r>
      <w:r w:rsidRPr="00AE6A5F">
        <w:t>.</w:t>
      </w:r>
    </w:p>
    <w:p w:rsidR="000938C1" w:rsidRPr="002255D3" w:rsidRDefault="000938C1" w:rsidP="00F85C67">
      <w:pPr>
        <w:tabs>
          <w:tab w:val="left" w:pos="900"/>
        </w:tabs>
        <w:spacing w:after="120"/>
        <w:ind w:firstLine="539"/>
        <w:jc w:val="both"/>
        <w:rPr>
          <w:lang w:val="ru-RU"/>
        </w:rPr>
      </w:pPr>
      <w:r w:rsidRPr="00AE6A5F">
        <w:t>Просрочените задължения на държавните и общински болници – търговски дружества към 31.12.2013 г. са в размер на 114,6 млн.</w:t>
      </w:r>
      <w:r>
        <w:t xml:space="preserve"> </w:t>
      </w:r>
      <w:r w:rsidRPr="00AE6A5F">
        <w:t xml:space="preserve">лв. </w:t>
      </w:r>
      <w:r>
        <w:t>От тях просрочията са</w:t>
      </w:r>
      <w:r w:rsidRPr="002255D3">
        <w:rPr>
          <w:lang w:val="ru-RU"/>
        </w:rPr>
        <w:t>:</w:t>
      </w:r>
    </w:p>
    <w:p w:rsidR="000938C1" w:rsidRPr="00AE6A5F" w:rsidRDefault="000938C1" w:rsidP="00F30F79">
      <w:pPr>
        <w:numPr>
          <w:ilvl w:val="0"/>
          <w:numId w:val="68"/>
        </w:numPr>
        <w:spacing w:before="120" w:after="120"/>
        <w:ind w:left="142" w:hanging="142"/>
        <w:contextualSpacing/>
        <w:jc w:val="both"/>
      </w:pPr>
      <w:r w:rsidRPr="00AE6A5F">
        <w:t>на държавните и с преобладаващо държавно участие в капитала болници</w:t>
      </w:r>
      <w:r>
        <w:t xml:space="preserve"> </w:t>
      </w:r>
      <w:r w:rsidRPr="00AE6A5F">
        <w:t>-  85</w:t>
      </w:r>
      <w:r>
        <w:t>,</w:t>
      </w:r>
      <w:r w:rsidRPr="00AE6A5F">
        <w:t>2 млн.</w:t>
      </w:r>
      <w:r>
        <w:t xml:space="preserve"> </w:t>
      </w:r>
      <w:r w:rsidRPr="00AE6A5F">
        <w:t>лв.</w:t>
      </w:r>
      <w:r w:rsidRPr="002255D3">
        <w:rPr>
          <w:lang w:val="ru-RU"/>
        </w:rPr>
        <w:t>;</w:t>
      </w:r>
    </w:p>
    <w:p w:rsidR="000938C1" w:rsidRPr="00C94FD3" w:rsidRDefault="000938C1" w:rsidP="00F30F79">
      <w:pPr>
        <w:numPr>
          <w:ilvl w:val="0"/>
          <w:numId w:val="68"/>
        </w:numPr>
        <w:spacing w:before="120" w:after="120"/>
        <w:ind w:left="142" w:hanging="142"/>
        <w:contextualSpacing/>
        <w:jc w:val="both"/>
      </w:pPr>
      <w:r w:rsidRPr="00AE6A5F">
        <w:t>на общинските болници -   29</w:t>
      </w:r>
      <w:r>
        <w:t>,</w:t>
      </w:r>
      <w:r w:rsidRPr="00AE6A5F">
        <w:t>4 млн.</w:t>
      </w:r>
      <w:r>
        <w:t xml:space="preserve"> лева</w:t>
      </w:r>
      <w:r w:rsidRPr="00AE6A5F">
        <w:t xml:space="preserve">. </w:t>
      </w:r>
    </w:p>
    <w:p w:rsidR="000938C1" w:rsidRPr="00C94FD3" w:rsidRDefault="000938C1" w:rsidP="00F85C67">
      <w:pPr>
        <w:spacing w:before="120" w:after="120"/>
        <w:contextualSpacing/>
        <w:jc w:val="both"/>
        <w:rPr>
          <w:sz w:val="10"/>
          <w:szCs w:val="10"/>
        </w:rPr>
      </w:pPr>
    </w:p>
    <w:p w:rsidR="000938C1" w:rsidRPr="00AE6A5F" w:rsidRDefault="000938C1" w:rsidP="00F85C67">
      <w:pPr>
        <w:spacing w:before="120" w:after="120"/>
        <w:contextualSpacing/>
        <w:jc w:val="both"/>
      </w:pPr>
      <w:r w:rsidRPr="00C94FD3">
        <w:t xml:space="preserve">Анализът на размера на задълженията  към 31.12.2013 г. показва, че просрочията на лечебните  заведения за болнична помощ – търговски дружества (държавни, с преобладаващо държавно участие в капитала, и общински болници),  са с тенденция на увеличение от 48.4 на сто спрямо  отчетените просрочени задължения  към 31.12.2012г. (77.2 млн.лв.)  </w:t>
      </w:r>
    </w:p>
    <w:p w:rsidR="000938C1" w:rsidRPr="00AC7D04" w:rsidRDefault="000938C1" w:rsidP="00F85C67">
      <w:pPr>
        <w:ind w:firstLine="540"/>
        <w:jc w:val="both"/>
      </w:pPr>
      <w:r w:rsidRPr="00AC7D04">
        <w:t>През годината лечебните заведения за болнична помощ към МО, МС, МТ и  ММС са изразходвали 215,6 млн. лв. за своята дейност, включително средствата за изпълнени клинични пътеки по договори за болнична помощ с НЗОК.</w:t>
      </w:r>
    </w:p>
    <w:p w:rsidR="000938C1" w:rsidRDefault="000938C1" w:rsidP="00F85C67">
      <w:pPr>
        <w:ind w:firstLine="540"/>
        <w:jc w:val="both"/>
      </w:pPr>
      <w:r w:rsidRPr="00AC7D04">
        <w:t>По отчет общите разходи за здравеопазване по министерства и ведомства за 2013 г. са следните:</w:t>
      </w:r>
    </w:p>
    <w:p w:rsidR="000938C1" w:rsidRPr="00C123BB" w:rsidRDefault="000938C1" w:rsidP="00F85C67">
      <w:pPr>
        <w:ind w:firstLine="540"/>
        <w:jc w:val="both"/>
        <w:rPr>
          <w:sz w:val="10"/>
          <w:szCs w:val="10"/>
        </w:rPr>
      </w:pPr>
    </w:p>
    <w:p w:rsidR="000938C1" w:rsidRPr="00AC7D04" w:rsidRDefault="000938C1" w:rsidP="00F30F79">
      <w:pPr>
        <w:numPr>
          <w:ilvl w:val="0"/>
          <w:numId w:val="21"/>
        </w:numPr>
        <w:tabs>
          <w:tab w:val="clear" w:pos="1260"/>
          <w:tab w:val="left" w:pos="360"/>
        </w:tabs>
        <w:ind w:left="360"/>
        <w:jc w:val="both"/>
      </w:pPr>
      <w:r w:rsidRPr="00AC7D04">
        <w:t xml:space="preserve">Министерство на здравеопазването  -                    </w:t>
      </w:r>
      <w:r w:rsidRPr="00AC7D04">
        <w:tab/>
      </w:r>
      <w:r w:rsidRPr="00AC7D04">
        <w:tab/>
      </w:r>
      <w:r w:rsidRPr="00AC7D04">
        <w:tab/>
        <w:t xml:space="preserve">        350,0 млн. лв.</w:t>
      </w:r>
    </w:p>
    <w:p w:rsidR="000938C1" w:rsidRPr="00AC7D04" w:rsidRDefault="000938C1" w:rsidP="00F30F79">
      <w:pPr>
        <w:numPr>
          <w:ilvl w:val="0"/>
          <w:numId w:val="21"/>
        </w:numPr>
        <w:tabs>
          <w:tab w:val="clear" w:pos="1260"/>
          <w:tab w:val="left" w:pos="360"/>
        </w:tabs>
        <w:ind w:left="360"/>
        <w:jc w:val="both"/>
      </w:pPr>
      <w:r w:rsidRPr="00AC7D04">
        <w:t>Министерски съвет  -</w:t>
      </w:r>
      <w:r w:rsidRPr="00AC7D04">
        <w:tab/>
      </w:r>
      <w:r w:rsidRPr="00AC7D04">
        <w:tab/>
      </w:r>
      <w:r w:rsidRPr="00AC7D04">
        <w:tab/>
      </w:r>
      <w:r w:rsidRPr="00AC7D04">
        <w:tab/>
      </w:r>
      <w:r w:rsidRPr="00AC7D04">
        <w:tab/>
      </w:r>
      <w:r w:rsidRPr="00AC7D04">
        <w:tab/>
      </w:r>
      <w:r w:rsidRPr="00AC7D04">
        <w:tab/>
        <w:t xml:space="preserve">          35,5 млн. лв.</w:t>
      </w:r>
    </w:p>
    <w:p w:rsidR="000938C1" w:rsidRPr="00AC7D04" w:rsidRDefault="000938C1" w:rsidP="00F30F79">
      <w:pPr>
        <w:numPr>
          <w:ilvl w:val="0"/>
          <w:numId w:val="21"/>
        </w:numPr>
        <w:tabs>
          <w:tab w:val="clear" w:pos="1260"/>
          <w:tab w:val="left" w:pos="360"/>
        </w:tabs>
        <w:ind w:left="360"/>
        <w:jc w:val="both"/>
      </w:pPr>
      <w:r w:rsidRPr="00AC7D04">
        <w:t xml:space="preserve">Министерство на отбраната  -                       </w:t>
      </w:r>
      <w:r w:rsidRPr="00AC7D04">
        <w:tab/>
      </w:r>
      <w:r w:rsidRPr="00AC7D04">
        <w:tab/>
      </w:r>
      <w:r w:rsidRPr="00AC7D04">
        <w:tab/>
      </w:r>
      <w:r w:rsidRPr="00AC7D04">
        <w:tab/>
        <w:t xml:space="preserve">        151,4 млн. лв.</w:t>
      </w:r>
    </w:p>
    <w:p w:rsidR="000938C1" w:rsidRPr="00AC7D04" w:rsidRDefault="000938C1" w:rsidP="00F30F79">
      <w:pPr>
        <w:numPr>
          <w:ilvl w:val="0"/>
          <w:numId w:val="21"/>
        </w:numPr>
        <w:tabs>
          <w:tab w:val="clear" w:pos="1260"/>
          <w:tab w:val="left" w:pos="360"/>
        </w:tabs>
        <w:ind w:left="360"/>
        <w:jc w:val="both"/>
      </w:pPr>
      <w:r w:rsidRPr="00AC7D04">
        <w:t xml:space="preserve">Министерство на вътрешните работи -        </w:t>
      </w:r>
      <w:r w:rsidRPr="00AC7D04">
        <w:tab/>
      </w:r>
      <w:r w:rsidRPr="00AC7D04">
        <w:tab/>
      </w:r>
      <w:r w:rsidRPr="00AC7D04">
        <w:tab/>
      </w:r>
      <w:r w:rsidRPr="00AC7D04">
        <w:tab/>
        <w:t xml:space="preserve">          19,2 млн. лв.</w:t>
      </w:r>
    </w:p>
    <w:p w:rsidR="000938C1" w:rsidRDefault="000938C1" w:rsidP="00F30F79">
      <w:pPr>
        <w:numPr>
          <w:ilvl w:val="0"/>
          <w:numId w:val="21"/>
        </w:numPr>
        <w:tabs>
          <w:tab w:val="clear" w:pos="1260"/>
          <w:tab w:val="left" w:pos="360"/>
        </w:tabs>
        <w:ind w:left="360"/>
        <w:jc w:val="both"/>
      </w:pPr>
      <w:r w:rsidRPr="00AC7D04">
        <w:t>Министерство на транспорта</w:t>
      </w:r>
      <w:r w:rsidRPr="003F7127">
        <w:t>, информационните технологии</w:t>
      </w:r>
      <w:r>
        <w:t xml:space="preserve"> </w:t>
      </w:r>
    </w:p>
    <w:p w:rsidR="000938C1" w:rsidRPr="00AC7D04" w:rsidRDefault="000938C1" w:rsidP="009F43FA">
      <w:pPr>
        <w:tabs>
          <w:tab w:val="left" w:pos="360"/>
        </w:tabs>
        <w:jc w:val="both"/>
      </w:pPr>
      <w:r>
        <w:t xml:space="preserve">      </w:t>
      </w:r>
      <w:r w:rsidRPr="003F7127">
        <w:t>и съобщенията</w:t>
      </w:r>
      <w:r>
        <w:t xml:space="preserve">  </w:t>
      </w:r>
      <w:r w:rsidRPr="00AC7D04">
        <w:t>-</w:t>
      </w:r>
      <w:r>
        <w:tab/>
      </w:r>
      <w:r>
        <w:tab/>
      </w:r>
      <w:r>
        <w:tab/>
      </w:r>
      <w:r>
        <w:tab/>
      </w:r>
      <w:r>
        <w:tab/>
      </w:r>
      <w:r>
        <w:tab/>
      </w:r>
      <w:r>
        <w:tab/>
      </w:r>
      <w:r>
        <w:tab/>
        <w:t xml:space="preserve">      </w:t>
      </w:r>
      <w:r w:rsidRPr="00AC7D04">
        <w:t xml:space="preserve"> </w:t>
      </w:r>
      <w:r>
        <w:t xml:space="preserve">     </w:t>
      </w:r>
      <w:r w:rsidRPr="00AC7D04">
        <w:t>9,3 млн. лв.</w:t>
      </w:r>
    </w:p>
    <w:p w:rsidR="000938C1" w:rsidRPr="00AC7D04" w:rsidRDefault="000938C1" w:rsidP="00F30F79">
      <w:pPr>
        <w:numPr>
          <w:ilvl w:val="0"/>
          <w:numId w:val="21"/>
        </w:numPr>
        <w:tabs>
          <w:tab w:val="clear" w:pos="1260"/>
          <w:tab w:val="left" w:pos="360"/>
        </w:tabs>
        <w:spacing w:after="120"/>
        <w:ind w:left="360"/>
        <w:jc w:val="both"/>
      </w:pPr>
      <w:r w:rsidRPr="00AC7D04">
        <w:t xml:space="preserve">Министерство на младежта  и спорта  -   </w:t>
      </w:r>
      <w:r w:rsidRPr="00AC7D04">
        <w:tab/>
      </w:r>
      <w:r w:rsidRPr="00AC7D04">
        <w:tab/>
      </w:r>
      <w:r w:rsidRPr="00AC7D04">
        <w:tab/>
      </w:r>
      <w:r w:rsidRPr="00AC7D04">
        <w:tab/>
      </w:r>
      <w:r>
        <w:t xml:space="preserve">            </w:t>
      </w:r>
      <w:r w:rsidRPr="00AC7D04">
        <w:t>0,2 млн. лв.</w:t>
      </w:r>
    </w:p>
    <w:p w:rsidR="000938C1" w:rsidRPr="00CF1A14" w:rsidRDefault="000938C1" w:rsidP="00F85C67">
      <w:pPr>
        <w:tabs>
          <w:tab w:val="left" w:pos="993"/>
        </w:tabs>
        <w:spacing w:after="120"/>
        <w:ind w:left="180"/>
        <w:jc w:val="both"/>
        <w:rPr>
          <w:color w:val="0070C0"/>
          <w:sz w:val="2"/>
          <w:szCs w:val="2"/>
        </w:rPr>
      </w:pPr>
    </w:p>
    <w:p w:rsidR="000938C1" w:rsidRPr="00DD5E1D" w:rsidRDefault="000938C1" w:rsidP="00F85C67">
      <w:pPr>
        <w:pStyle w:val="BodyText"/>
        <w:widowControl w:val="0"/>
        <w:spacing w:after="0"/>
        <w:ind w:firstLine="540"/>
        <w:jc w:val="both"/>
      </w:pPr>
      <w:r w:rsidRPr="00DD5E1D">
        <w:t xml:space="preserve">По </w:t>
      </w:r>
      <w:r w:rsidRPr="00DD5E1D">
        <w:rPr>
          <w:b/>
        </w:rPr>
        <w:t>общинските бюджети</w:t>
      </w:r>
      <w:r w:rsidRPr="00DD5E1D">
        <w:t xml:space="preserve"> за функция “Здравеопазване” са отчетени разходи в размер на 149,9 млн. лв. или 102,3 % от предвидените по разчетите към ЗДБРБ за 2013 г. </w:t>
      </w:r>
    </w:p>
    <w:p w:rsidR="000938C1" w:rsidRPr="00CF1A14" w:rsidRDefault="000938C1" w:rsidP="00F85C67">
      <w:pPr>
        <w:pStyle w:val="BodyText"/>
        <w:widowControl w:val="0"/>
        <w:spacing w:after="0"/>
        <w:ind w:firstLine="540"/>
        <w:jc w:val="both"/>
        <w:rPr>
          <w:color w:val="0070C0"/>
        </w:rPr>
      </w:pPr>
      <w:r w:rsidRPr="00E86E47">
        <w:t xml:space="preserve">Отчетените текущи разходи за тази функция са в размер на 135,3 млн. лв., което е 106,1% (7,8 млн. лв. преизпълнение) спрямо разчетените със закона и 107,4 % спрямо отчетените за 2012 г. Превишението на отчетените средства спрямо закона се дължи предимно на предоставени от общините субсидии за нефинансови предприятия (общински болници). </w:t>
      </w:r>
    </w:p>
    <w:p w:rsidR="000938C1" w:rsidRPr="00C54B47" w:rsidRDefault="000938C1" w:rsidP="00F85C67">
      <w:pPr>
        <w:pStyle w:val="BodyTextIndent"/>
        <w:widowControl w:val="0"/>
        <w:spacing w:after="0"/>
        <w:ind w:left="0" w:firstLine="540"/>
        <w:jc w:val="both"/>
        <w:rPr>
          <w:lang w:val="bg-BG"/>
        </w:rPr>
      </w:pPr>
      <w:r w:rsidRPr="00C54B47">
        <w:rPr>
          <w:lang w:val="bg-BG"/>
        </w:rPr>
        <w:t xml:space="preserve">Отчетените </w:t>
      </w:r>
      <w:r w:rsidRPr="00C54B47">
        <w:rPr>
          <w:lang w:val="bg-BG" w:eastAsia="bg-BG"/>
        </w:rPr>
        <w:t>капиталови</w:t>
      </w:r>
      <w:r w:rsidRPr="00C54B47">
        <w:rPr>
          <w:lang w:val="bg-BG"/>
        </w:rPr>
        <w:t xml:space="preserve"> разходи по функцията са в размер на 14,7 млн. </w:t>
      </w:r>
      <w:r w:rsidRPr="002255D3">
        <w:rPr>
          <w:lang w:val="ru-RU"/>
        </w:rPr>
        <w:t>лева</w:t>
      </w:r>
      <w:r w:rsidRPr="00C54B47">
        <w:rPr>
          <w:lang w:val="bg-BG"/>
        </w:rPr>
        <w:t xml:space="preserve">. </w:t>
      </w:r>
    </w:p>
    <w:p w:rsidR="000938C1" w:rsidRPr="00C54B47" w:rsidRDefault="000938C1" w:rsidP="009F43FA">
      <w:pPr>
        <w:pStyle w:val="BodyTextIndent"/>
        <w:widowControl w:val="0"/>
        <w:spacing w:before="120"/>
        <w:ind w:left="0" w:firstLine="540"/>
        <w:jc w:val="both"/>
        <w:rPr>
          <w:lang w:val="bg-BG"/>
        </w:rPr>
      </w:pPr>
      <w:r w:rsidRPr="00C54B47">
        <w:rPr>
          <w:lang w:val="bg-BG"/>
        </w:rPr>
        <w:t>Разпределението на разходите във функция “Здравеопазване” по общинските бюджети е</w:t>
      </w:r>
      <w:r>
        <w:rPr>
          <w:lang w:val="bg-BG"/>
        </w:rPr>
        <w:t>,</w:t>
      </w:r>
      <w:r w:rsidRPr="00C54B47">
        <w:rPr>
          <w:lang w:val="bg-BG"/>
        </w:rPr>
        <w:t xml:space="preserve"> както следва:</w:t>
      </w:r>
    </w:p>
    <w:p w:rsidR="000938C1" w:rsidRPr="00C54B47" w:rsidRDefault="000938C1" w:rsidP="009F43FA">
      <w:pPr>
        <w:pStyle w:val="BodyTextIndent"/>
        <w:widowControl w:val="0"/>
        <w:numPr>
          <w:ilvl w:val="0"/>
          <w:numId w:val="35"/>
        </w:numPr>
        <w:tabs>
          <w:tab w:val="clear" w:pos="1260"/>
          <w:tab w:val="num" w:pos="360"/>
        </w:tabs>
        <w:spacing w:before="120"/>
        <w:ind w:left="360"/>
        <w:jc w:val="both"/>
        <w:rPr>
          <w:b/>
          <w:lang w:val="bg-BG"/>
        </w:rPr>
      </w:pPr>
      <w:r w:rsidRPr="00C54B47">
        <w:rPr>
          <w:b/>
          <w:lang w:val="bg-BG"/>
        </w:rPr>
        <w:t xml:space="preserve">за </w:t>
      </w:r>
      <w:r w:rsidRPr="00C54B47">
        <w:rPr>
          <w:b/>
          <w:i/>
          <w:lang w:val="bg-BG" w:eastAsia="bg-BG"/>
        </w:rPr>
        <w:t>делегирани</w:t>
      </w:r>
      <w:r>
        <w:rPr>
          <w:b/>
          <w:i/>
          <w:lang w:val="bg-BG" w:eastAsia="bg-BG"/>
        </w:rPr>
        <w:t xml:space="preserve"> </w:t>
      </w:r>
      <w:r w:rsidRPr="00C54B47">
        <w:rPr>
          <w:b/>
          <w:i/>
          <w:lang w:val="bg-BG"/>
        </w:rPr>
        <w:t xml:space="preserve">от </w:t>
      </w:r>
      <w:r w:rsidRPr="00C54B47">
        <w:rPr>
          <w:b/>
          <w:i/>
          <w:lang w:val="bg-BG" w:eastAsia="bg-BG"/>
        </w:rPr>
        <w:t>държавата</w:t>
      </w:r>
      <w:r w:rsidRPr="00C54B47">
        <w:rPr>
          <w:b/>
          <w:i/>
          <w:lang w:val="bg-BG"/>
        </w:rPr>
        <w:t xml:space="preserve"> дейности:</w:t>
      </w:r>
    </w:p>
    <w:p w:rsidR="000938C1" w:rsidRPr="00C54B47" w:rsidRDefault="000938C1" w:rsidP="00F30F79">
      <w:pPr>
        <w:pStyle w:val="BodyTextIndent"/>
        <w:widowControl w:val="0"/>
        <w:numPr>
          <w:ilvl w:val="0"/>
          <w:numId w:val="34"/>
        </w:numPr>
        <w:tabs>
          <w:tab w:val="clear" w:pos="1870"/>
          <w:tab w:val="left" w:pos="540"/>
          <w:tab w:val="num" w:pos="720"/>
        </w:tabs>
        <w:spacing w:after="100" w:afterAutospacing="1"/>
        <w:ind w:left="539" w:firstLine="0"/>
        <w:jc w:val="both"/>
        <w:rPr>
          <w:lang w:val="bg-BG"/>
        </w:rPr>
      </w:pPr>
      <w:r w:rsidRPr="00C54B47">
        <w:rPr>
          <w:i/>
          <w:lang w:val="bg-BG" w:eastAsia="bg-BG"/>
        </w:rPr>
        <w:t>текущи разходи</w:t>
      </w:r>
      <w:r w:rsidRPr="00C54B47">
        <w:rPr>
          <w:lang w:val="bg-BG" w:eastAsia="bg-BG"/>
        </w:rPr>
        <w:t xml:space="preserve"> - разчетените средства по закон са в размер на 96,5 млн. лв., а</w:t>
      </w:r>
      <w:r w:rsidRPr="00C54B47">
        <w:rPr>
          <w:lang w:val="bg-BG"/>
        </w:rPr>
        <w:t xml:space="preserve"> извършените разходи са 91,1 млн. лв. или 94,4 %. Изпълнението е 103,4 % спрямо отчета за 2012 г. Тук се отчитат разходите за заплатите и осигурителните вноски на персонала в детските ясли и детските кухни, разходите за здравни кабинети в детските градини и училища, здравни медиатори, пътни разходи на правоимащи болни, средствата за командироване на експертите от ТЕЛК от друга община. По отчетни данни за 2013 г. общините са дофинансирали държавните дейности със собствени приходи общо в размер на 2,9 млн. </w:t>
      </w:r>
      <w:r w:rsidRPr="002255D3">
        <w:rPr>
          <w:lang w:val="ru-RU"/>
        </w:rPr>
        <w:t>лева</w:t>
      </w:r>
      <w:r w:rsidRPr="00C54B47">
        <w:rPr>
          <w:lang w:val="bg-BG"/>
        </w:rPr>
        <w:t>.</w:t>
      </w:r>
    </w:p>
    <w:p w:rsidR="000938C1" w:rsidRPr="000A6B0A" w:rsidRDefault="000938C1" w:rsidP="009F43FA">
      <w:pPr>
        <w:pStyle w:val="BodyTextIndent"/>
        <w:widowControl w:val="0"/>
        <w:numPr>
          <w:ilvl w:val="0"/>
          <w:numId w:val="34"/>
        </w:numPr>
        <w:tabs>
          <w:tab w:val="clear" w:pos="1870"/>
          <w:tab w:val="left" w:pos="540"/>
          <w:tab w:val="num" w:pos="720"/>
        </w:tabs>
        <w:ind w:left="539" w:firstLine="0"/>
        <w:jc w:val="both"/>
        <w:rPr>
          <w:lang w:val="bg-BG"/>
        </w:rPr>
      </w:pPr>
      <w:r w:rsidRPr="000A6B0A">
        <w:rPr>
          <w:i/>
          <w:lang w:val="bg-BG" w:eastAsia="bg-BG"/>
        </w:rPr>
        <w:t>капиталови</w:t>
      </w:r>
      <w:r w:rsidRPr="000A6B0A">
        <w:rPr>
          <w:i/>
          <w:lang w:val="bg-BG"/>
        </w:rPr>
        <w:t xml:space="preserve"> разходи</w:t>
      </w:r>
      <w:r>
        <w:rPr>
          <w:i/>
          <w:lang w:val="bg-BG"/>
        </w:rPr>
        <w:t xml:space="preserve"> </w:t>
      </w:r>
      <w:r w:rsidRPr="000A6B0A">
        <w:rPr>
          <w:lang w:val="bg-BG" w:eastAsia="bg-BG"/>
        </w:rPr>
        <w:t xml:space="preserve">- </w:t>
      </w:r>
      <w:r w:rsidRPr="000A6B0A">
        <w:rPr>
          <w:lang w:val="bg-BG"/>
        </w:rPr>
        <w:t xml:space="preserve">отчетени са 6,9 млн. </w:t>
      </w:r>
      <w:r w:rsidRPr="002255D3">
        <w:rPr>
          <w:lang w:val="ru-RU"/>
        </w:rPr>
        <w:t>лева</w:t>
      </w:r>
      <w:r w:rsidRPr="000A6B0A">
        <w:rPr>
          <w:lang w:val="bg-BG"/>
        </w:rPr>
        <w:t xml:space="preserve">. </w:t>
      </w:r>
    </w:p>
    <w:p w:rsidR="000938C1" w:rsidRPr="000A6B0A" w:rsidRDefault="000938C1" w:rsidP="009F43FA">
      <w:pPr>
        <w:pStyle w:val="BodyTextIndent"/>
        <w:widowControl w:val="0"/>
        <w:numPr>
          <w:ilvl w:val="0"/>
          <w:numId w:val="35"/>
        </w:numPr>
        <w:tabs>
          <w:tab w:val="clear" w:pos="1260"/>
          <w:tab w:val="num" w:pos="360"/>
        </w:tabs>
        <w:ind w:left="360"/>
        <w:jc w:val="both"/>
        <w:rPr>
          <w:b/>
          <w:lang w:val="bg-BG"/>
        </w:rPr>
      </w:pPr>
      <w:r w:rsidRPr="000A6B0A">
        <w:rPr>
          <w:b/>
          <w:i/>
          <w:lang w:val="bg-BG"/>
        </w:rPr>
        <w:t>за местни дейности</w:t>
      </w:r>
      <w:r w:rsidRPr="000A6B0A">
        <w:rPr>
          <w:b/>
          <w:lang w:val="bg-BG"/>
        </w:rPr>
        <w:t>:</w:t>
      </w:r>
    </w:p>
    <w:p w:rsidR="000938C1" w:rsidRPr="000A6B0A" w:rsidRDefault="000938C1" w:rsidP="00F30F79">
      <w:pPr>
        <w:pStyle w:val="BodyTextIndent"/>
        <w:widowControl w:val="0"/>
        <w:numPr>
          <w:ilvl w:val="0"/>
          <w:numId w:val="34"/>
        </w:numPr>
        <w:tabs>
          <w:tab w:val="clear" w:pos="1870"/>
          <w:tab w:val="left" w:pos="540"/>
          <w:tab w:val="num" w:pos="720"/>
        </w:tabs>
        <w:spacing w:after="100" w:afterAutospacing="1"/>
        <w:ind w:left="539" w:firstLine="0"/>
        <w:jc w:val="both"/>
        <w:rPr>
          <w:lang w:val="bg-BG"/>
        </w:rPr>
      </w:pPr>
      <w:r w:rsidRPr="000A6B0A">
        <w:rPr>
          <w:i/>
          <w:lang w:val="bg-BG" w:eastAsia="bg-BG"/>
        </w:rPr>
        <w:t xml:space="preserve">текущи разходи </w:t>
      </w:r>
      <w:r w:rsidRPr="000A6B0A">
        <w:rPr>
          <w:lang w:val="bg-BG" w:eastAsia="bg-BG"/>
        </w:rPr>
        <w:t>- отчетени са текущи разходи в размер на 41,3 млн. лв., което е 133,1 % (10,3 млн. лв.) спрямо закона и ръст с 15,3 % спрямо отчетените за 2012</w:t>
      </w:r>
      <w:r>
        <w:rPr>
          <w:lang w:val="bg-BG" w:eastAsia="bg-BG"/>
        </w:rPr>
        <w:t xml:space="preserve"> </w:t>
      </w:r>
      <w:r w:rsidRPr="000A6B0A">
        <w:rPr>
          <w:lang w:val="bg-BG" w:eastAsia="bg-BG"/>
        </w:rPr>
        <w:t xml:space="preserve">г. Увеличението на разходите спрямо закона се дължи основно на отчетените субсидии за болнична помощ, които не са предвидени по закон. Тук се включват разходите за издръжка на детските ясли и детските кухни и средствата по решение на общинския съвет за осъществяване на болнична помощ за дейности извън </w:t>
      </w:r>
      <w:r w:rsidRPr="000A6B0A">
        <w:rPr>
          <w:lang w:val="bg-BG"/>
        </w:rPr>
        <w:t>обхвата на задължителното здравно осигуряване или програми.</w:t>
      </w:r>
    </w:p>
    <w:p w:rsidR="000938C1" w:rsidRPr="000A6B0A" w:rsidRDefault="000938C1" w:rsidP="00F30F79">
      <w:pPr>
        <w:pStyle w:val="BodyTextIndent"/>
        <w:widowControl w:val="0"/>
        <w:numPr>
          <w:ilvl w:val="0"/>
          <w:numId w:val="34"/>
        </w:numPr>
        <w:tabs>
          <w:tab w:val="clear" w:pos="1870"/>
          <w:tab w:val="left" w:pos="540"/>
          <w:tab w:val="num" w:pos="720"/>
        </w:tabs>
        <w:spacing w:after="100" w:afterAutospacing="1"/>
        <w:ind w:left="539" w:firstLine="0"/>
        <w:jc w:val="both"/>
        <w:rPr>
          <w:lang w:val="bg-BG"/>
        </w:rPr>
      </w:pPr>
      <w:r w:rsidRPr="000A6B0A">
        <w:rPr>
          <w:i/>
          <w:lang w:val="bg-BG"/>
        </w:rPr>
        <w:t>капиталови разходи</w:t>
      </w:r>
      <w:r w:rsidRPr="000A6B0A">
        <w:rPr>
          <w:lang w:val="bg-BG"/>
        </w:rPr>
        <w:t xml:space="preserve"> - отчетените разходи са в размер на 7,8 млн. </w:t>
      </w:r>
      <w:r w:rsidRPr="002255D3">
        <w:rPr>
          <w:lang w:val="ru-RU"/>
        </w:rPr>
        <w:t>лева</w:t>
      </w:r>
      <w:r w:rsidRPr="000A6B0A">
        <w:rPr>
          <w:lang w:val="bg-BG"/>
        </w:rPr>
        <w:t>.</w:t>
      </w:r>
    </w:p>
    <w:p w:rsidR="000938C1" w:rsidRPr="004D77BD" w:rsidRDefault="000938C1" w:rsidP="00F85C67">
      <w:pPr>
        <w:spacing w:after="120"/>
        <w:ind w:firstLine="539"/>
        <w:jc w:val="both"/>
      </w:pPr>
      <w:r w:rsidRPr="00E7341B">
        <w:t xml:space="preserve">Общият размер на извършените разходи за функцията </w:t>
      </w:r>
      <w:r w:rsidRPr="00E7341B">
        <w:rPr>
          <w:b/>
        </w:rPr>
        <w:t>по бюджета на НЗОК</w:t>
      </w:r>
      <w:r w:rsidRPr="00E7341B">
        <w:t xml:space="preserve"> е </w:t>
      </w:r>
      <w:r w:rsidRPr="00013FF1">
        <w:t>2 716,8 млн. лв. за 2013 г. или 100,4 % от планираните за 2013 г., като с най-голям</w:t>
      </w:r>
      <w:r>
        <w:t xml:space="preserve"> </w:t>
      </w:r>
      <w:r w:rsidRPr="004D77BD">
        <w:t xml:space="preserve">относителен дял са здравноосигурителните плащания в размер на 2 678,8 млн. лв. </w:t>
      </w:r>
    </w:p>
    <w:p w:rsidR="000938C1" w:rsidRDefault="000938C1" w:rsidP="00F85C67">
      <w:pPr>
        <w:spacing w:after="120"/>
        <w:ind w:firstLine="539"/>
        <w:jc w:val="both"/>
      </w:pPr>
      <w:r w:rsidRPr="0062021F">
        <w:rPr>
          <w:b/>
        </w:rPr>
        <w:t>Европейски средства</w:t>
      </w:r>
      <w:r>
        <w:t xml:space="preserve"> – във функция „Здравеопазване“ </w:t>
      </w:r>
      <w:r w:rsidRPr="0062021F">
        <w:t xml:space="preserve">изразходваните средства са в размер на </w:t>
      </w:r>
      <w:r>
        <w:t>100,9</w:t>
      </w:r>
      <w:r w:rsidRPr="0062021F">
        <w:t xml:space="preserve"> млн. лв.</w:t>
      </w:r>
      <w:r>
        <w:t xml:space="preserve"> </w:t>
      </w:r>
      <w:r w:rsidRPr="002255D3">
        <w:rPr>
          <w:lang w:val="ru-RU"/>
        </w:rPr>
        <w:t>(</w:t>
      </w:r>
      <w:r>
        <w:t>от които 94,1 млн. лв. капиталови разходи</w:t>
      </w:r>
      <w:r w:rsidRPr="002255D3">
        <w:rPr>
          <w:lang w:val="ru-RU"/>
        </w:rPr>
        <w:t>)</w:t>
      </w:r>
      <w:r>
        <w:t xml:space="preserve"> и са</w:t>
      </w:r>
      <w:r w:rsidRPr="0062021F">
        <w:t xml:space="preserve"> основно по оперативн</w:t>
      </w:r>
      <w:r>
        <w:t xml:space="preserve">а </w:t>
      </w:r>
      <w:r w:rsidRPr="00C11392">
        <w:t xml:space="preserve">програма </w:t>
      </w:r>
      <w:r w:rsidRPr="00C11392">
        <w:rPr>
          <w:i/>
        </w:rPr>
        <w:t>„</w:t>
      </w:r>
      <w:r>
        <w:rPr>
          <w:i/>
        </w:rPr>
        <w:t xml:space="preserve">Регионално развитие“. </w:t>
      </w:r>
      <w:r>
        <w:t>Една от основните цели на програмата в това функционално направление е свързана с осигуряване и подобряване на</w:t>
      </w:r>
      <w:r w:rsidRPr="00D438B4">
        <w:t xml:space="preserve"> достъпността </w:t>
      </w:r>
      <w:r w:rsidRPr="00781814">
        <w:t>и качеството на медицинските услуги в населените райони. Като</w:t>
      </w:r>
      <w:r>
        <w:t xml:space="preserve"> </w:t>
      </w:r>
      <w:r w:rsidRPr="00781814">
        <w:t>цяло дейностите по програмата в това направление са насочени към подобряване на материалната</w:t>
      </w:r>
      <w:r>
        <w:t xml:space="preserve"> </w:t>
      </w:r>
      <w:r w:rsidRPr="00781814">
        <w:t>база на територия</w:t>
      </w:r>
      <w:r>
        <w:t xml:space="preserve">та </w:t>
      </w:r>
      <w:r w:rsidRPr="00781814">
        <w:t>на</w:t>
      </w:r>
      <w:r>
        <w:t xml:space="preserve"> </w:t>
      </w:r>
      <w:r w:rsidRPr="00781814">
        <w:t xml:space="preserve">страната, </w:t>
      </w:r>
      <w:r>
        <w:t xml:space="preserve">свързано с </w:t>
      </w:r>
      <w:r w:rsidRPr="00781814">
        <w:t>модернизация</w:t>
      </w:r>
      <w:r>
        <w:t xml:space="preserve"> </w:t>
      </w:r>
      <w:r w:rsidRPr="00781814">
        <w:t>и</w:t>
      </w:r>
      <w:r>
        <w:t xml:space="preserve"> </w:t>
      </w:r>
      <w:r w:rsidRPr="00781814">
        <w:t>съвременно</w:t>
      </w:r>
      <w:r>
        <w:t xml:space="preserve"> </w:t>
      </w:r>
      <w:r w:rsidRPr="00781814">
        <w:t>оборудване</w:t>
      </w:r>
      <w:r>
        <w:t xml:space="preserve"> </w:t>
      </w:r>
      <w:r w:rsidRPr="00781814">
        <w:t>на</w:t>
      </w:r>
      <w:r>
        <w:t xml:space="preserve"> </w:t>
      </w:r>
      <w:r w:rsidRPr="00781814">
        <w:t>здравните</w:t>
      </w:r>
      <w:r>
        <w:t xml:space="preserve"> </w:t>
      </w:r>
      <w:r w:rsidRPr="00781814">
        <w:t>центрове</w:t>
      </w:r>
      <w:r>
        <w:t xml:space="preserve"> </w:t>
      </w:r>
      <w:r w:rsidRPr="00781814">
        <w:t>и</w:t>
      </w:r>
      <w:r>
        <w:t xml:space="preserve"> </w:t>
      </w:r>
      <w:r w:rsidRPr="00781814">
        <w:t>клиники</w:t>
      </w:r>
      <w:r>
        <w:t xml:space="preserve"> </w:t>
      </w:r>
      <w:r w:rsidRPr="00781814">
        <w:t>и</w:t>
      </w:r>
      <w:r>
        <w:t xml:space="preserve"> </w:t>
      </w:r>
      <w:r w:rsidRPr="00781814">
        <w:t>подобряване</w:t>
      </w:r>
      <w:r>
        <w:t xml:space="preserve"> </w:t>
      </w:r>
      <w:r w:rsidRPr="00781814">
        <w:t>на</w:t>
      </w:r>
      <w:r>
        <w:t xml:space="preserve"> </w:t>
      </w:r>
      <w:r w:rsidRPr="00781814">
        <w:t>тяхната</w:t>
      </w:r>
      <w:r>
        <w:t xml:space="preserve"> </w:t>
      </w:r>
      <w:r w:rsidRPr="00781814">
        <w:t>достъпност.</w:t>
      </w:r>
    </w:p>
    <w:p w:rsidR="000938C1" w:rsidRPr="0062021F" w:rsidRDefault="000938C1" w:rsidP="00F85C67">
      <w:pPr>
        <w:pStyle w:val="BodyTextIndent2"/>
        <w:spacing w:after="0" w:line="240" w:lineRule="auto"/>
        <w:ind w:left="0" w:firstLine="539"/>
        <w:jc w:val="both"/>
      </w:pPr>
    </w:p>
    <w:p w:rsidR="000938C1" w:rsidRPr="005D107A" w:rsidRDefault="000938C1" w:rsidP="00F30F79">
      <w:pPr>
        <w:pStyle w:val="Heading3"/>
        <w:numPr>
          <w:ilvl w:val="2"/>
          <w:numId w:val="72"/>
        </w:numPr>
        <w:rPr>
          <w:rFonts w:ascii="Times New Roman" w:hAnsi="Times New Roman"/>
          <w:sz w:val="24"/>
          <w:lang w:val="en-US"/>
        </w:rPr>
      </w:pPr>
      <w:bookmarkStart w:id="220" w:name="_Toc261276590"/>
      <w:bookmarkStart w:id="221" w:name="_Toc324863426"/>
      <w:bookmarkStart w:id="222" w:name="_Toc326315918"/>
      <w:bookmarkStart w:id="223" w:name="_Toc393728077"/>
      <w:r w:rsidRPr="005D107A">
        <w:rPr>
          <w:rFonts w:ascii="Times New Roman" w:hAnsi="Times New Roman"/>
          <w:sz w:val="24"/>
          <w:lang w:val="bg-BG"/>
        </w:rPr>
        <w:t>Социално осигуряване, подпомагане и грижи</w:t>
      </w:r>
      <w:bookmarkEnd w:id="220"/>
      <w:bookmarkEnd w:id="221"/>
      <w:bookmarkEnd w:id="222"/>
      <w:bookmarkEnd w:id="223"/>
    </w:p>
    <w:p w:rsidR="000938C1" w:rsidRPr="00CF1A14" w:rsidRDefault="000938C1" w:rsidP="00F85C67">
      <w:pPr>
        <w:rPr>
          <w:color w:val="0070C0"/>
          <w:lang w:val="en-US"/>
        </w:rPr>
      </w:pPr>
    </w:p>
    <w:p w:rsidR="000938C1" w:rsidRPr="00496392" w:rsidRDefault="000938C1" w:rsidP="00F85C67">
      <w:pPr>
        <w:ind w:firstLine="720"/>
        <w:jc w:val="both"/>
      </w:pPr>
      <w:r w:rsidRPr="00496392">
        <w:t>Разходите в тази функция за 2013 г. са в размер на 11 000</w:t>
      </w:r>
      <w:r>
        <w:t>,</w:t>
      </w:r>
      <w:r w:rsidRPr="00496392">
        <w:t xml:space="preserve">0 млн. лв. или 14,1 % от БВП. Тук са включени разходите за пенсии, социални помощи и обезщетения и разходите за издръжка на службите за социалното осигуряване. Изпълнението на разходите във функцията спрямо годишните разчети възлиза на 100,5 %. </w:t>
      </w:r>
    </w:p>
    <w:p w:rsidR="000938C1" w:rsidRDefault="000938C1" w:rsidP="00F85C67">
      <w:pPr>
        <w:ind w:firstLine="720"/>
        <w:jc w:val="both"/>
        <w:rPr>
          <w:b/>
          <w:color w:val="0070C0"/>
          <w:sz w:val="18"/>
          <w:szCs w:val="18"/>
        </w:rPr>
      </w:pPr>
    </w:p>
    <w:p w:rsidR="000938C1" w:rsidRDefault="000938C1" w:rsidP="00F85C67">
      <w:pPr>
        <w:ind w:firstLine="720"/>
        <w:jc w:val="both"/>
        <w:rPr>
          <w:b/>
          <w:color w:val="0070C0"/>
          <w:sz w:val="18"/>
          <w:szCs w:val="18"/>
        </w:rPr>
      </w:pPr>
    </w:p>
    <w:p w:rsidR="000938C1" w:rsidRPr="00CF1A14" w:rsidRDefault="000938C1" w:rsidP="00F85C67">
      <w:pPr>
        <w:ind w:firstLine="7920"/>
        <w:rPr>
          <w:b/>
          <w:color w:val="0070C0"/>
          <w:sz w:val="18"/>
          <w:szCs w:val="18"/>
          <w:lang w:val="ru-RU"/>
        </w:rPr>
      </w:pPr>
    </w:p>
    <w:p w:rsidR="000938C1" w:rsidRPr="00496392" w:rsidRDefault="000938C1" w:rsidP="00F85C67">
      <w:pPr>
        <w:ind w:firstLine="7920"/>
        <w:rPr>
          <w:b/>
          <w:sz w:val="18"/>
          <w:szCs w:val="18"/>
        </w:rPr>
      </w:pPr>
      <w:r w:rsidRPr="00496392">
        <w:rPr>
          <w:b/>
          <w:sz w:val="18"/>
          <w:szCs w:val="18"/>
        </w:rPr>
        <w:t xml:space="preserve"> (млн. лв.)</w:t>
      </w:r>
    </w:p>
    <w:tbl>
      <w:tblPr>
        <w:tblW w:w="10926" w:type="dxa"/>
        <w:tblInd w:w="-650" w:type="dxa"/>
        <w:tblLayout w:type="fixed"/>
        <w:tblCellMar>
          <w:left w:w="70" w:type="dxa"/>
          <w:right w:w="70" w:type="dxa"/>
        </w:tblCellMar>
        <w:tblLook w:val="0000"/>
      </w:tblPr>
      <w:tblGrid>
        <w:gridCol w:w="2563"/>
        <w:gridCol w:w="851"/>
        <w:gridCol w:w="708"/>
        <w:gridCol w:w="1134"/>
        <w:gridCol w:w="567"/>
        <w:gridCol w:w="567"/>
        <w:gridCol w:w="709"/>
        <w:gridCol w:w="567"/>
        <w:gridCol w:w="709"/>
        <w:gridCol w:w="425"/>
        <w:gridCol w:w="851"/>
        <w:gridCol w:w="567"/>
        <w:gridCol w:w="708"/>
      </w:tblGrid>
      <w:tr w:rsidR="000938C1" w:rsidRPr="00C6496A" w:rsidTr="00695ED4">
        <w:trPr>
          <w:trHeight w:val="510"/>
        </w:trPr>
        <w:tc>
          <w:tcPr>
            <w:tcW w:w="2563"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ОТЧЕТ 201</w:t>
            </w:r>
            <w:r w:rsidRPr="00F85C67">
              <w:rPr>
                <w:b/>
                <w:bCs/>
                <w:color w:val="FFFFFF"/>
                <w:sz w:val="18"/>
                <w:szCs w:val="18"/>
                <w:lang w:val="en-US"/>
              </w:rPr>
              <w:t>3</w:t>
            </w:r>
            <w:r w:rsidRPr="00F85C67">
              <w:rPr>
                <w:b/>
                <w:bCs/>
                <w:color w:val="FFFFFF"/>
                <w:sz w:val="18"/>
                <w:szCs w:val="18"/>
              </w:rPr>
              <w:t xml:space="preserve"> г.</w:t>
            </w:r>
          </w:p>
        </w:tc>
        <w:tc>
          <w:tcPr>
            <w:tcW w:w="851"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КФП</w:t>
            </w:r>
          </w:p>
        </w:tc>
        <w:tc>
          <w:tcPr>
            <w:tcW w:w="708"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РБ</w:t>
            </w:r>
          </w:p>
        </w:tc>
        <w:tc>
          <w:tcPr>
            <w:tcW w:w="1134"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Соц. осигуряване</w:t>
            </w:r>
          </w:p>
        </w:tc>
        <w:tc>
          <w:tcPr>
            <w:tcW w:w="567"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СВ</w:t>
            </w:r>
          </w:p>
        </w:tc>
        <w:tc>
          <w:tcPr>
            <w:tcW w:w="567"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ВУЗ</w:t>
            </w:r>
          </w:p>
        </w:tc>
        <w:tc>
          <w:tcPr>
            <w:tcW w:w="709" w:type="dxa"/>
            <w:tcBorders>
              <w:top w:val="double" w:sz="2" w:space="0" w:color="800000"/>
              <w:left w:val="double" w:sz="2" w:space="0" w:color="800000"/>
              <w:bottom w:val="double" w:sz="2" w:space="0" w:color="800000"/>
              <w:right w:val="double" w:sz="2" w:space="0" w:color="800000"/>
            </w:tcBorders>
            <w:shd w:val="clear" w:color="auto" w:fill="800000"/>
          </w:tcPr>
          <w:p w:rsidR="000938C1" w:rsidRPr="00F85C67" w:rsidRDefault="000938C1" w:rsidP="009E1415">
            <w:pPr>
              <w:jc w:val="center"/>
              <w:rPr>
                <w:b/>
                <w:bCs/>
                <w:color w:val="FFFFFF"/>
                <w:sz w:val="14"/>
                <w:szCs w:val="14"/>
              </w:rPr>
            </w:pPr>
          </w:p>
          <w:p w:rsidR="000938C1" w:rsidRPr="00F85C67" w:rsidRDefault="000938C1" w:rsidP="009E1415">
            <w:pPr>
              <w:jc w:val="center"/>
              <w:rPr>
                <w:b/>
                <w:bCs/>
                <w:color w:val="FFFFFF"/>
                <w:sz w:val="18"/>
                <w:szCs w:val="18"/>
              </w:rPr>
            </w:pPr>
            <w:r w:rsidRPr="00F85C67">
              <w:rPr>
                <w:b/>
                <w:bCs/>
                <w:color w:val="FFFFFF"/>
                <w:sz w:val="18"/>
                <w:szCs w:val="18"/>
              </w:rPr>
              <w:t>БАН</w:t>
            </w:r>
          </w:p>
        </w:tc>
        <w:tc>
          <w:tcPr>
            <w:tcW w:w="567"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НС</w:t>
            </w:r>
          </w:p>
        </w:tc>
        <w:tc>
          <w:tcPr>
            <w:tcW w:w="709" w:type="dxa"/>
            <w:tcBorders>
              <w:top w:val="double" w:sz="2" w:space="0" w:color="800000"/>
              <w:left w:val="double" w:sz="2" w:space="0" w:color="800000"/>
              <w:bottom w:val="double" w:sz="2" w:space="0" w:color="800000"/>
              <w:right w:val="double" w:sz="2" w:space="0" w:color="800000"/>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Общини</w:t>
            </w:r>
          </w:p>
        </w:tc>
        <w:tc>
          <w:tcPr>
            <w:tcW w:w="425"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ИБСФ</w:t>
            </w:r>
          </w:p>
        </w:tc>
        <w:tc>
          <w:tcPr>
            <w:tcW w:w="851"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Предпр</w:t>
            </w:r>
            <w:r>
              <w:rPr>
                <w:b/>
                <w:bCs/>
                <w:color w:val="FFFFFF"/>
                <w:sz w:val="16"/>
                <w:szCs w:val="16"/>
              </w:rPr>
              <w:t>.</w:t>
            </w:r>
          </w:p>
          <w:p w:rsidR="000938C1" w:rsidRPr="00F85C67" w:rsidRDefault="000938C1" w:rsidP="009E1415">
            <w:pPr>
              <w:jc w:val="center"/>
              <w:rPr>
                <w:b/>
                <w:bCs/>
                <w:color w:val="FFFFFF"/>
                <w:sz w:val="16"/>
                <w:szCs w:val="16"/>
              </w:rPr>
            </w:pPr>
            <w:r w:rsidRPr="00F85C67">
              <w:rPr>
                <w:b/>
                <w:bCs/>
                <w:color w:val="FFFFFF"/>
                <w:sz w:val="16"/>
                <w:szCs w:val="16"/>
              </w:rPr>
              <w:t>п-ми</w:t>
            </w:r>
          </w:p>
        </w:tc>
        <w:tc>
          <w:tcPr>
            <w:tcW w:w="567"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Евр. ср-ва</w:t>
            </w:r>
          </w:p>
        </w:tc>
        <w:tc>
          <w:tcPr>
            <w:tcW w:w="708" w:type="dxa"/>
            <w:tcBorders>
              <w:top w:val="double" w:sz="2" w:space="0" w:color="800000"/>
              <w:left w:val="double" w:sz="2" w:space="0" w:color="800000"/>
              <w:bottom w:val="double" w:sz="2" w:space="0" w:color="800000"/>
              <w:right w:val="double" w:sz="2" w:space="0" w:color="800000"/>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Др.сметки</w:t>
            </w:r>
            <w:r w:rsidRPr="00AA69FE">
              <w:rPr>
                <w:rStyle w:val="FootnoteReference"/>
                <w:b/>
                <w:bCs/>
                <w:sz w:val="16"/>
                <w:szCs w:val="16"/>
              </w:rPr>
              <w:footnoteReference w:id="16"/>
            </w:r>
          </w:p>
        </w:tc>
      </w:tr>
      <w:tr w:rsidR="000938C1" w:rsidRPr="00CF1A14" w:rsidTr="00695ED4">
        <w:trPr>
          <w:trHeight w:val="270"/>
        </w:trPr>
        <w:tc>
          <w:tcPr>
            <w:tcW w:w="2563" w:type="dxa"/>
            <w:tcBorders>
              <w:top w:val="double" w:sz="2" w:space="0" w:color="800000"/>
              <w:left w:val="double" w:sz="6" w:space="0" w:color="800000"/>
              <w:bottom w:val="nil"/>
              <w:right w:val="single" w:sz="4" w:space="0" w:color="800000"/>
            </w:tcBorders>
            <w:shd w:val="clear" w:color="auto" w:fill="FFFFCC"/>
            <w:noWrap/>
            <w:vAlign w:val="bottom"/>
          </w:tcPr>
          <w:p w:rsidR="000938C1" w:rsidRPr="00813F96" w:rsidRDefault="000938C1" w:rsidP="009E1415">
            <w:pPr>
              <w:rPr>
                <w:b/>
                <w:bCs/>
                <w:sz w:val="4"/>
                <w:szCs w:val="4"/>
              </w:rPr>
            </w:pPr>
          </w:p>
          <w:p w:rsidR="000938C1" w:rsidRPr="00813F96" w:rsidRDefault="000938C1" w:rsidP="009E1415">
            <w:pPr>
              <w:rPr>
                <w:b/>
                <w:bCs/>
                <w:sz w:val="16"/>
                <w:szCs w:val="16"/>
              </w:rPr>
            </w:pPr>
            <w:r w:rsidRPr="00813F96">
              <w:rPr>
                <w:b/>
                <w:bCs/>
                <w:sz w:val="16"/>
                <w:szCs w:val="16"/>
              </w:rPr>
              <w:t>V. СОЦИАЛНО ОСИГУРЯВАНЕ, ПОДПОМАГАНЕ И ГРИЖИ</w:t>
            </w:r>
          </w:p>
        </w:tc>
        <w:tc>
          <w:tcPr>
            <w:tcW w:w="851" w:type="dxa"/>
            <w:tcBorders>
              <w:top w:val="double" w:sz="2"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11 000,0</w:t>
            </w:r>
          </w:p>
        </w:tc>
        <w:tc>
          <w:tcPr>
            <w:tcW w:w="708" w:type="dxa"/>
            <w:tcBorders>
              <w:top w:val="double" w:sz="2"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1 077,7</w:t>
            </w:r>
          </w:p>
        </w:tc>
        <w:tc>
          <w:tcPr>
            <w:tcW w:w="1134" w:type="dxa"/>
            <w:tcBorders>
              <w:top w:val="double" w:sz="2"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8 989,2</w:t>
            </w:r>
          </w:p>
        </w:tc>
        <w:tc>
          <w:tcPr>
            <w:tcW w:w="567" w:type="dxa"/>
            <w:tcBorders>
              <w:top w:val="double" w:sz="2" w:space="0" w:color="800000"/>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0,1</w:t>
            </w:r>
          </w:p>
        </w:tc>
        <w:tc>
          <w:tcPr>
            <w:tcW w:w="567" w:type="dxa"/>
            <w:tcBorders>
              <w:top w:val="double" w:sz="2" w:space="0" w:color="800000"/>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3,5</w:t>
            </w:r>
          </w:p>
        </w:tc>
        <w:tc>
          <w:tcPr>
            <w:tcW w:w="709" w:type="dxa"/>
            <w:tcBorders>
              <w:top w:val="double" w:sz="2" w:space="0" w:color="800000"/>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0,0</w:t>
            </w:r>
          </w:p>
        </w:tc>
        <w:tc>
          <w:tcPr>
            <w:tcW w:w="567" w:type="dxa"/>
            <w:tcBorders>
              <w:top w:val="double" w:sz="2" w:space="0" w:color="800000"/>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0,0</w:t>
            </w:r>
          </w:p>
        </w:tc>
        <w:tc>
          <w:tcPr>
            <w:tcW w:w="709" w:type="dxa"/>
            <w:tcBorders>
              <w:top w:val="double" w:sz="2" w:space="0" w:color="800000"/>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448,2</w:t>
            </w:r>
          </w:p>
        </w:tc>
        <w:tc>
          <w:tcPr>
            <w:tcW w:w="425" w:type="dxa"/>
            <w:tcBorders>
              <w:top w:val="double" w:sz="2"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0,2</w:t>
            </w:r>
          </w:p>
        </w:tc>
        <w:tc>
          <w:tcPr>
            <w:tcW w:w="851" w:type="dxa"/>
            <w:tcBorders>
              <w:top w:val="double" w:sz="2" w:space="0" w:color="800000"/>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-0,2</w:t>
            </w:r>
          </w:p>
        </w:tc>
        <w:tc>
          <w:tcPr>
            <w:tcW w:w="567" w:type="dxa"/>
            <w:tcBorders>
              <w:top w:val="double" w:sz="2" w:space="0" w:color="800000"/>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478,1</w:t>
            </w:r>
          </w:p>
        </w:tc>
        <w:tc>
          <w:tcPr>
            <w:tcW w:w="708" w:type="dxa"/>
            <w:tcBorders>
              <w:top w:val="double" w:sz="2" w:space="0" w:color="800000"/>
              <w:left w:val="nil"/>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3,3</w:t>
            </w:r>
          </w:p>
        </w:tc>
      </w:tr>
      <w:tr w:rsidR="000938C1" w:rsidRPr="00CF1A14" w:rsidTr="00695ED4">
        <w:trPr>
          <w:trHeight w:val="255"/>
        </w:trPr>
        <w:tc>
          <w:tcPr>
            <w:tcW w:w="2563" w:type="dxa"/>
            <w:tcBorders>
              <w:top w:val="nil"/>
              <w:left w:val="double" w:sz="6" w:space="0" w:color="800000"/>
              <w:bottom w:val="nil"/>
              <w:right w:val="single" w:sz="4" w:space="0" w:color="800000"/>
            </w:tcBorders>
            <w:shd w:val="clear" w:color="auto" w:fill="FFFFCC"/>
            <w:noWrap/>
            <w:vAlign w:val="bottom"/>
          </w:tcPr>
          <w:p w:rsidR="000938C1" w:rsidRPr="00813F96" w:rsidRDefault="000938C1" w:rsidP="009E1415">
            <w:pPr>
              <w:rPr>
                <w:b/>
                <w:bCs/>
                <w:sz w:val="16"/>
                <w:szCs w:val="16"/>
              </w:rPr>
            </w:pPr>
            <w:r w:rsidRPr="00813F96">
              <w:rPr>
                <w:b/>
                <w:bCs/>
                <w:sz w:val="16"/>
                <w:szCs w:val="16"/>
              </w:rPr>
              <w:t>А. ПЕНСИИ</w:t>
            </w:r>
          </w:p>
        </w:tc>
        <w:tc>
          <w:tcPr>
            <w:tcW w:w="851"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7 800,5</w:t>
            </w:r>
          </w:p>
        </w:tc>
        <w:tc>
          <w:tcPr>
            <w:tcW w:w="708"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7 800,5</w:t>
            </w:r>
          </w:p>
        </w:tc>
        <w:tc>
          <w:tcPr>
            <w:tcW w:w="567"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709"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67"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851"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708" w:type="dxa"/>
            <w:tcBorders>
              <w:top w:val="nil"/>
              <w:left w:val="nil"/>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r>
      <w:tr w:rsidR="000938C1" w:rsidRPr="00CF1A14" w:rsidTr="00695ED4">
        <w:trPr>
          <w:trHeight w:val="255"/>
        </w:trPr>
        <w:tc>
          <w:tcPr>
            <w:tcW w:w="2563" w:type="dxa"/>
            <w:tcBorders>
              <w:top w:val="nil"/>
              <w:left w:val="double" w:sz="6" w:space="0" w:color="800000"/>
              <w:bottom w:val="nil"/>
              <w:right w:val="single" w:sz="4" w:space="0" w:color="800000"/>
            </w:tcBorders>
            <w:shd w:val="clear" w:color="auto" w:fill="FFFFCC"/>
            <w:noWrap/>
            <w:vAlign w:val="bottom"/>
          </w:tcPr>
          <w:p w:rsidR="000938C1" w:rsidRPr="00813F96" w:rsidRDefault="000938C1" w:rsidP="009E1415">
            <w:pPr>
              <w:rPr>
                <w:sz w:val="18"/>
                <w:szCs w:val="18"/>
              </w:rPr>
            </w:pPr>
            <w:r w:rsidRPr="00813F96">
              <w:rPr>
                <w:sz w:val="18"/>
                <w:szCs w:val="18"/>
              </w:rPr>
              <w:t xml:space="preserve">   Текущи нелихвени разходи</w:t>
            </w:r>
          </w:p>
        </w:tc>
        <w:tc>
          <w:tcPr>
            <w:tcW w:w="851"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7 800,5</w:t>
            </w:r>
          </w:p>
        </w:tc>
        <w:tc>
          <w:tcPr>
            <w:tcW w:w="708"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7 800,5</w:t>
            </w:r>
          </w:p>
        </w:tc>
        <w:tc>
          <w:tcPr>
            <w:tcW w:w="567"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8" w:type="dxa"/>
            <w:tcBorders>
              <w:top w:val="nil"/>
              <w:left w:val="nil"/>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CF1A14" w:rsidTr="00695ED4">
        <w:trPr>
          <w:trHeight w:val="104"/>
        </w:trPr>
        <w:tc>
          <w:tcPr>
            <w:tcW w:w="2563" w:type="dxa"/>
            <w:tcBorders>
              <w:top w:val="nil"/>
              <w:left w:val="double" w:sz="6" w:space="0" w:color="800000"/>
              <w:bottom w:val="nil"/>
              <w:right w:val="single" w:sz="4" w:space="0" w:color="800000"/>
            </w:tcBorders>
            <w:shd w:val="clear" w:color="auto" w:fill="FFFFCC"/>
            <w:noWrap/>
            <w:vAlign w:val="bottom"/>
          </w:tcPr>
          <w:p w:rsidR="000938C1" w:rsidRPr="00813F96" w:rsidRDefault="000938C1" w:rsidP="009E1415">
            <w:pPr>
              <w:rPr>
                <w:sz w:val="18"/>
                <w:szCs w:val="18"/>
              </w:rPr>
            </w:pPr>
            <w:r w:rsidRPr="00813F96">
              <w:rPr>
                <w:sz w:val="18"/>
                <w:szCs w:val="18"/>
              </w:rPr>
              <w:t xml:space="preserve">    Капиталови разходи</w:t>
            </w:r>
          </w:p>
        </w:tc>
        <w:tc>
          <w:tcPr>
            <w:tcW w:w="851"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8" w:type="dxa"/>
            <w:tcBorders>
              <w:top w:val="nil"/>
              <w:left w:val="nil"/>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CF1A14" w:rsidTr="00695ED4">
        <w:trPr>
          <w:trHeight w:val="255"/>
        </w:trPr>
        <w:tc>
          <w:tcPr>
            <w:tcW w:w="2563" w:type="dxa"/>
            <w:tcBorders>
              <w:top w:val="nil"/>
              <w:left w:val="double" w:sz="6" w:space="0" w:color="800000"/>
              <w:bottom w:val="nil"/>
              <w:right w:val="single" w:sz="4" w:space="0" w:color="800000"/>
            </w:tcBorders>
            <w:shd w:val="clear" w:color="auto" w:fill="FFFFCC"/>
            <w:noWrap/>
            <w:vAlign w:val="bottom"/>
          </w:tcPr>
          <w:p w:rsidR="000938C1" w:rsidRPr="00813F96" w:rsidRDefault="000938C1" w:rsidP="009E1415">
            <w:pPr>
              <w:rPr>
                <w:b/>
                <w:bCs/>
                <w:sz w:val="16"/>
                <w:szCs w:val="16"/>
              </w:rPr>
            </w:pPr>
            <w:r w:rsidRPr="00813F96">
              <w:rPr>
                <w:b/>
                <w:bCs/>
                <w:sz w:val="16"/>
                <w:szCs w:val="16"/>
              </w:rPr>
              <w:t>Б. СОЦИАЛНИ ПОМОЩИ И ОБЕЗЩЕТЕНИЯ</w:t>
            </w:r>
          </w:p>
        </w:tc>
        <w:tc>
          <w:tcPr>
            <w:tcW w:w="851"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1 979,9</w:t>
            </w:r>
          </w:p>
        </w:tc>
        <w:tc>
          <w:tcPr>
            <w:tcW w:w="708"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856,9</w:t>
            </w:r>
          </w:p>
        </w:tc>
        <w:tc>
          <w:tcPr>
            <w:tcW w:w="1134"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1 119,6</w:t>
            </w:r>
          </w:p>
        </w:tc>
        <w:tc>
          <w:tcPr>
            <w:tcW w:w="567"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0,0</w:t>
            </w:r>
          </w:p>
        </w:tc>
        <w:tc>
          <w:tcPr>
            <w:tcW w:w="709"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67"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851"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0,1</w:t>
            </w:r>
          </w:p>
        </w:tc>
        <w:tc>
          <w:tcPr>
            <w:tcW w:w="708" w:type="dxa"/>
            <w:tcBorders>
              <w:top w:val="nil"/>
              <w:left w:val="nil"/>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3,3</w:t>
            </w:r>
          </w:p>
        </w:tc>
      </w:tr>
      <w:tr w:rsidR="000938C1" w:rsidRPr="00CF1A14" w:rsidTr="00695ED4">
        <w:trPr>
          <w:trHeight w:val="80"/>
        </w:trPr>
        <w:tc>
          <w:tcPr>
            <w:tcW w:w="2563" w:type="dxa"/>
            <w:tcBorders>
              <w:top w:val="nil"/>
              <w:left w:val="double" w:sz="6" w:space="0" w:color="800000"/>
              <w:bottom w:val="nil"/>
              <w:right w:val="single" w:sz="4" w:space="0" w:color="800000"/>
            </w:tcBorders>
            <w:shd w:val="clear" w:color="auto" w:fill="FFFFCC"/>
            <w:noWrap/>
            <w:vAlign w:val="bottom"/>
          </w:tcPr>
          <w:p w:rsidR="000938C1" w:rsidRPr="00813F96" w:rsidRDefault="000938C1" w:rsidP="009E1415">
            <w:pPr>
              <w:rPr>
                <w:sz w:val="18"/>
                <w:szCs w:val="18"/>
              </w:rPr>
            </w:pPr>
            <w:r w:rsidRPr="00813F96">
              <w:rPr>
                <w:sz w:val="18"/>
                <w:szCs w:val="18"/>
              </w:rPr>
              <w:t xml:space="preserve">    Текущи нелихвени разходи</w:t>
            </w:r>
          </w:p>
        </w:tc>
        <w:tc>
          <w:tcPr>
            <w:tcW w:w="851"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1 979,9</w:t>
            </w:r>
          </w:p>
        </w:tc>
        <w:tc>
          <w:tcPr>
            <w:tcW w:w="708"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856,9</w:t>
            </w:r>
          </w:p>
        </w:tc>
        <w:tc>
          <w:tcPr>
            <w:tcW w:w="1134"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1 119,6</w:t>
            </w:r>
          </w:p>
        </w:tc>
        <w:tc>
          <w:tcPr>
            <w:tcW w:w="567"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0,0</w:t>
            </w:r>
          </w:p>
        </w:tc>
        <w:tc>
          <w:tcPr>
            <w:tcW w:w="709"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0,1</w:t>
            </w:r>
          </w:p>
        </w:tc>
        <w:tc>
          <w:tcPr>
            <w:tcW w:w="708" w:type="dxa"/>
            <w:tcBorders>
              <w:top w:val="nil"/>
              <w:left w:val="nil"/>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3,3</w:t>
            </w:r>
          </w:p>
        </w:tc>
      </w:tr>
      <w:tr w:rsidR="000938C1" w:rsidRPr="00CF1A14" w:rsidTr="00695ED4">
        <w:trPr>
          <w:trHeight w:val="162"/>
        </w:trPr>
        <w:tc>
          <w:tcPr>
            <w:tcW w:w="2563" w:type="dxa"/>
            <w:tcBorders>
              <w:top w:val="nil"/>
              <w:left w:val="double" w:sz="6" w:space="0" w:color="800000"/>
              <w:bottom w:val="nil"/>
              <w:right w:val="single" w:sz="4" w:space="0" w:color="800000"/>
            </w:tcBorders>
            <w:shd w:val="clear" w:color="auto" w:fill="FFFFCC"/>
            <w:noWrap/>
            <w:vAlign w:val="bottom"/>
          </w:tcPr>
          <w:p w:rsidR="000938C1" w:rsidRPr="00813F96" w:rsidRDefault="000938C1" w:rsidP="009E1415">
            <w:pPr>
              <w:rPr>
                <w:sz w:val="18"/>
                <w:szCs w:val="18"/>
              </w:rPr>
            </w:pPr>
            <w:r w:rsidRPr="00813F96">
              <w:rPr>
                <w:sz w:val="18"/>
                <w:szCs w:val="18"/>
              </w:rPr>
              <w:t xml:space="preserve">    Капиталови разходи</w:t>
            </w:r>
          </w:p>
        </w:tc>
        <w:tc>
          <w:tcPr>
            <w:tcW w:w="851"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42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8" w:type="dxa"/>
            <w:tcBorders>
              <w:top w:val="nil"/>
              <w:left w:val="nil"/>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CF1A14" w:rsidTr="00695ED4">
        <w:trPr>
          <w:trHeight w:val="255"/>
        </w:trPr>
        <w:tc>
          <w:tcPr>
            <w:tcW w:w="2563" w:type="dxa"/>
            <w:tcBorders>
              <w:top w:val="nil"/>
              <w:left w:val="double" w:sz="6" w:space="0" w:color="800000"/>
              <w:bottom w:val="nil"/>
              <w:right w:val="single" w:sz="4" w:space="0" w:color="800000"/>
            </w:tcBorders>
            <w:shd w:val="clear" w:color="auto" w:fill="FFFFCC"/>
            <w:noWrap/>
            <w:vAlign w:val="bottom"/>
          </w:tcPr>
          <w:p w:rsidR="000938C1" w:rsidRPr="00813F96" w:rsidRDefault="000938C1" w:rsidP="009E1415">
            <w:pPr>
              <w:rPr>
                <w:b/>
                <w:bCs/>
                <w:sz w:val="16"/>
                <w:szCs w:val="16"/>
              </w:rPr>
            </w:pPr>
            <w:r w:rsidRPr="00813F96">
              <w:rPr>
                <w:b/>
                <w:bCs/>
                <w:sz w:val="16"/>
                <w:szCs w:val="16"/>
              </w:rPr>
              <w:t>В. ПРОГРАМИ, ДЕЙНОСТИ И СЛУЖБИ ПО СОЦИАЛНОТО ОСИГУРЯВАНЕ, ПОДПОМАГАНЕ И ЗАЕТОСТТА</w:t>
            </w:r>
          </w:p>
        </w:tc>
        <w:tc>
          <w:tcPr>
            <w:tcW w:w="851"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1 219,6</w:t>
            </w:r>
          </w:p>
        </w:tc>
        <w:tc>
          <w:tcPr>
            <w:tcW w:w="708"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220,8</w:t>
            </w:r>
          </w:p>
        </w:tc>
        <w:tc>
          <w:tcPr>
            <w:tcW w:w="1134"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69,0</w:t>
            </w:r>
          </w:p>
        </w:tc>
        <w:tc>
          <w:tcPr>
            <w:tcW w:w="567"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0,1</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3,5</w:t>
            </w:r>
          </w:p>
        </w:tc>
        <w:tc>
          <w:tcPr>
            <w:tcW w:w="709"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0,0</w:t>
            </w:r>
          </w:p>
        </w:tc>
        <w:tc>
          <w:tcPr>
            <w:tcW w:w="567"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0,0</w:t>
            </w:r>
          </w:p>
        </w:tc>
        <w:tc>
          <w:tcPr>
            <w:tcW w:w="709"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448,2</w:t>
            </w:r>
          </w:p>
        </w:tc>
        <w:tc>
          <w:tcPr>
            <w:tcW w:w="425"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0,2</w:t>
            </w:r>
          </w:p>
        </w:tc>
        <w:tc>
          <w:tcPr>
            <w:tcW w:w="851"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-0,2</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478,0</w:t>
            </w:r>
          </w:p>
        </w:tc>
        <w:tc>
          <w:tcPr>
            <w:tcW w:w="708" w:type="dxa"/>
            <w:tcBorders>
              <w:top w:val="nil"/>
              <w:left w:val="nil"/>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r>
      <w:tr w:rsidR="000938C1" w:rsidRPr="00CF1A14" w:rsidTr="00695ED4">
        <w:trPr>
          <w:trHeight w:val="255"/>
        </w:trPr>
        <w:tc>
          <w:tcPr>
            <w:tcW w:w="2563" w:type="dxa"/>
            <w:tcBorders>
              <w:top w:val="nil"/>
              <w:left w:val="double" w:sz="6" w:space="0" w:color="800000"/>
              <w:bottom w:val="nil"/>
              <w:right w:val="single" w:sz="4" w:space="0" w:color="800000"/>
            </w:tcBorders>
            <w:shd w:val="clear" w:color="auto" w:fill="FFFFCC"/>
            <w:noWrap/>
            <w:vAlign w:val="bottom"/>
          </w:tcPr>
          <w:p w:rsidR="000938C1" w:rsidRPr="00813F96" w:rsidRDefault="000938C1" w:rsidP="009E1415">
            <w:pPr>
              <w:rPr>
                <w:sz w:val="18"/>
                <w:szCs w:val="18"/>
              </w:rPr>
            </w:pPr>
            <w:r w:rsidRPr="00813F96">
              <w:rPr>
                <w:sz w:val="18"/>
                <w:szCs w:val="18"/>
              </w:rPr>
              <w:t xml:space="preserve">    Текущи нелихвени разходи</w:t>
            </w:r>
          </w:p>
        </w:tc>
        <w:tc>
          <w:tcPr>
            <w:tcW w:w="851"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1 128,8</w:t>
            </w:r>
          </w:p>
        </w:tc>
        <w:tc>
          <w:tcPr>
            <w:tcW w:w="708"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201,5</w:t>
            </w:r>
          </w:p>
        </w:tc>
        <w:tc>
          <w:tcPr>
            <w:tcW w:w="1134"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65,1</w:t>
            </w:r>
          </w:p>
        </w:tc>
        <w:tc>
          <w:tcPr>
            <w:tcW w:w="567"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0,1</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3,5</w:t>
            </w:r>
          </w:p>
        </w:tc>
        <w:tc>
          <w:tcPr>
            <w:tcW w:w="709"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0,0</w:t>
            </w:r>
          </w:p>
        </w:tc>
        <w:tc>
          <w:tcPr>
            <w:tcW w:w="567"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0,0</w:t>
            </w:r>
          </w:p>
        </w:tc>
        <w:tc>
          <w:tcPr>
            <w:tcW w:w="709"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440,9</w:t>
            </w:r>
          </w:p>
        </w:tc>
        <w:tc>
          <w:tcPr>
            <w:tcW w:w="42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0,0</w:t>
            </w:r>
          </w:p>
        </w:tc>
        <w:tc>
          <w:tcPr>
            <w:tcW w:w="851"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-0,1</w:t>
            </w:r>
          </w:p>
        </w:tc>
        <w:tc>
          <w:tcPr>
            <w:tcW w:w="567"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417,8</w:t>
            </w:r>
          </w:p>
        </w:tc>
        <w:tc>
          <w:tcPr>
            <w:tcW w:w="708" w:type="dxa"/>
            <w:tcBorders>
              <w:top w:val="nil"/>
              <w:left w:val="nil"/>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CF1A14" w:rsidTr="00695ED4">
        <w:trPr>
          <w:trHeight w:val="189"/>
        </w:trPr>
        <w:tc>
          <w:tcPr>
            <w:tcW w:w="2563" w:type="dxa"/>
            <w:tcBorders>
              <w:top w:val="nil"/>
              <w:left w:val="double" w:sz="6" w:space="0" w:color="800000"/>
              <w:bottom w:val="double" w:sz="6" w:space="0" w:color="800000"/>
              <w:right w:val="single" w:sz="4" w:space="0" w:color="800000"/>
            </w:tcBorders>
            <w:shd w:val="clear" w:color="auto" w:fill="FFFFCC"/>
            <w:noWrap/>
            <w:vAlign w:val="bottom"/>
          </w:tcPr>
          <w:p w:rsidR="000938C1" w:rsidRPr="00813F96" w:rsidRDefault="000938C1" w:rsidP="009E1415">
            <w:pPr>
              <w:rPr>
                <w:sz w:val="18"/>
                <w:szCs w:val="18"/>
              </w:rPr>
            </w:pPr>
            <w:r w:rsidRPr="00813F96">
              <w:rPr>
                <w:sz w:val="18"/>
                <w:szCs w:val="18"/>
              </w:rPr>
              <w:t xml:space="preserve">    Капиталови разходи</w:t>
            </w:r>
          </w:p>
        </w:tc>
        <w:tc>
          <w:tcPr>
            <w:tcW w:w="851"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90,8</w:t>
            </w:r>
          </w:p>
        </w:tc>
        <w:tc>
          <w:tcPr>
            <w:tcW w:w="708"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19,3</w:t>
            </w:r>
          </w:p>
        </w:tc>
        <w:tc>
          <w:tcPr>
            <w:tcW w:w="1134"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3,9</w:t>
            </w:r>
          </w:p>
        </w:tc>
        <w:tc>
          <w:tcPr>
            <w:tcW w:w="567" w:type="dxa"/>
            <w:tcBorders>
              <w:top w:val="nil"/>
              <w:left w:val="nil"/>
              <w:bottom w:val="double" w:sz="6" w:space="0" w:color="800000"/>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double" w:sz="6" w:space="0" w:color="800000"/>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67" w:type="dxa"/>
            <w:tcBorders>
              <w:top w:val="nil"/>
              <w:left w:val="single" w:sz="4" w:space="0" w:color="800000"/>
              <w:bottom w:val="double" w:sz="6" w:space="0" w:color="800000"/>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709" w:type="dxa"/>
            <w:tcBorders>
              <w:top w:val="nil"/>
              <w:left w:val="single" w:sz="4" w:space="0" w:color="800000"/>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7,3</w:t>
            </w:r>
          </w:p>
        </w:tc>
        <w:tc>
          <w:tcPr>
            <w:tcW w:w="425"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0,2</w:t>
            </w:r>
          </w:p>
        </w:tc>
        <w:tc>
          <w:tcPr>
            <w:tcW w:w="851" w:type="dxa"/>
            <w:tcBorders>
              <w:top w:val="nil"/>
              <w:left w:val="nil"/>
              <w:bottom w:val="double" w:sz="6" w:space="0" w:color="800000"/>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-0,1</w:t>
            </w:r>
          </w:p>
        </w:tc>
        <w:tc>
          <w:tcPr>
            <w:tcW w:w="567" w:type="dxa"/>
            <w:tcBorders>
              <w:top w:val="nil"/>
              <w:left w:val="single" w:sz="4" w:space="0" w:color="800000"/>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60,2</w:t>
            </w:r>
          </w:p>
        </w:tc>
        <w:tc>
          <w:tcPr>
            <w:tcW w:w="708" w:type="dxa"/>
            <w:tcBorders>
              <w:top w:val="nil"/>
              <w:left w:val="nil"/>
              <w:bottom w:val="double" w:sz="6" w:space="0" w:color="800000"/>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bl>
    <w:p w:rsidR="000938C1" w:rsidRPr="00CF1A14" w:rsidRDefault="000938C1" w:rsidP="00F85C67">
      <w:pPr>
        <w:rPr>
          <w:color w:val="0070C0"/>
          <w:sz w:val="12"/>
          <w:szCs w:val="12"/>
        </w:rPr>
      </w:pPr>
    </w:p>
    <w:p w:rsidR="000938C1" w:rsidRPr="00CF1A14" w:rsidRDefault="000938C1" w:rsidP="00F85C67">
      <w:pPr>
        <w:ind w:firstLine="540"/>
        <w:rPr>
          <w:b/>
          <w:color w:val="0070C0"/>
          <w:sz w:val="8"/>
          <w:szCs w:val="8"/>
        </w:rPr>
      </w:pPr>
    </w:p>
    <w:p w:rsidR="000938C1" w:rsidRPr="00CF1A14" w:rsidRDefault="000938C1" w:rsidP="00F85C67">
      <w:pPr>
        <w:ind w:firstLine="540"/>
        <w:rPr>
          <w:b/>
          <w:color w:val="0070C0"/>
          <w:lang w:val="en-US"/>
        </w:rPr>
      </w:pPr>
    </w:p>
    <w:p w:rsidR="000938C1" w:rsidRPr="000E7050" w:rsidRDefault="000938C1" w:rsidP="00F85C67">
      <w:pPr>
        <w:ind w:firstLine="540"/>
        <w:rPr>
          <w:b/>
          <w:i/>
        </w:rPr>
      </w:pPr>
      <w:r w:rsidRPr="000E7050">
        <w:rPr>
          <w:b/>
        </w:rPr>
        <w:t xml:space="preserve">Група А: </w:t>
      </w:r>
      <w:r w:rsidRPr="000E7050">
        <w:rPr>
          <w:b/>
          <w:i/>
        </w:rPr>
        <w:t>„Пенсии”</w:t>
      </w:r>
    </w:p>
    <w:p w:rsidR="000938C1" w:rsidRPr="000E7050" w:rsidRDefault="000938C1" w:rsidP="00F85C67">
      <w:pPr>
        <w:ind w:firstLine="540"/>
        <w:rPr>
          <w:b/>
          <w:sz w:val="12"/>
          <w:szCs w:val="12"/>
        </w:rPr>
      </w:pPr>
    </w:p>
    <w:p w:rsidR="000938C1" w:rsidRPr="00267FAE" w:rsidRDefault="000938C1" w:rsidP="00F85C67">
      <w:pPr>
        <w:ind w:firstLine="540"/>
        <w:jc w:val="both"/>
      </w:pPr>
      <w:r w:rsidRPr="00267FAE">
        <w:t xml:space="preserve">В тази група се включват пенсиите, изплащани от бюджета на ДОО и пенсиите, изплащани от УПФ, както и дължимите за изплащането на пенсиите пощенски такси и ДДС. Изпълнението на разходите в групата е 98,5 % </w:t>
      </w:r>
      <w:r>
        <w:t>от</w:t>
      </w:r>
      <w:r w:rsidRPr="00267FAE">
        <w:t xml:space="preserve"> годишните разчети за 2013 г.</w:t>
      </w:r>
    </w:p>
    <w:p w:rsidR="000938C1" w:rsidRPr="00CF1A14" w:rsidRDefault="000938C1" w:rsidP="00F85C67">
      <w:pPr>
        <w:ind w:firstLine="540"/>
        <w:jc w:val="both"/>
        <w:rPr>
          <w:color w:val="0070C0"/>
          <w:sz w:val="8"/>
          <w:szCs w:val="8"/>
        </w:rPr>
      </w:pPr>
    </w:p>
    <w:p w:rsidR="000938C1" w:rsidRPr="001F66E9" w:rsidRDefault="000938C1" w:rsidP="00F30F79">
      <w:pPr>
        <w:numPr>
          <w:ilvl w:val="0"/>
          <w:numId w:val="13"/>
        </w:numPr>
        <w:tabs>
          <w:tab w:val="clear" w:pos="720"/>
          <w:tab w:val="num" w:pos="360"/>
          <w:tab w:val="left" w:pos="900"/>
        </w:tabs>
        <w:ind w:left="540" w:hanging="540"/>
        <w:rPr>
          <w:b/>
          <w:i/>
        </w:rPr>
      </w:pPr>
      <w:r w:rsidRPr="00267FAE">
        <w:rPr>
          <w:b/>
          <w:i/>
        </w:rPr>
        <w:t xml:space="preserve">Пенсии </w:t>
      </w:r>
      <w:r w:rsidRPr="001F66E9">
        <w:rPr>
          <w:b/>
          <w:i/>
        </w:rPr>
        <w:t xml:space="preserve">по бюджета на </w:t>
      </w:r>
      <w:r>
        <w:rPr>
          <w:b/>
          <w:i/>
        </w:rPr>
        <w:t>д</w:t>
      </w:r>
      <w:r w:rsidRPr="001F66E9">
        <w:rPr>
          <w:b/>
          <w:i/>
        </w:rPr>
        <w:t>ържавното обществено осигуряване</w:t>
      </w:r>
    </w:p>
    <w:p w:rsidR="000938C1" w:rsidRDefault="000938C1" w:rsidP="00F85C67">
      <w:pPr>
        <w:spacing w:line="276" w:lineRule="auto"/>
        <w:ind w:firstLine="540"/>
        <w:jc w:val="both"/>
        <w:rPr>
          <w:iCs/>
        </w:rPr>
      </w:pPr>
      <w:r w:rsidRPr="001F66E9">
        <w:rPr>
          <w:iCs/>
        </w:rPr>
        <w:t xml:space="preserve">За изплащане на пенсиите по бюджета на ДОО през 2013 г. са разходвани 7 784,3 </w:t>
      </w:r>
      <w:r w:rsidRPr="002B36F4">
        <w:rPr>
          <w:iCs/>
        </w:rPr>
        <w:t xml:space="preserve">млн. лв., в т.ч. 38,2 млн. лв. за пощенска такса и ДДС за изплащането на пенсиите, което е с 529,2 млн. лв. повече от предходната година. </w:t>
      </w:r>
    </w:p>
    <w:p w:rsidR="000938C1" w:rsidRPr="002B36F4" w:rsidRDefault="000938C1" w:rsidP="00F85C67">
      <w:pPr>
        <w:spacing w:line="276" w:lineRule="auto"/>
        <w:ind w:firstLine="540"/>
        <w:jc w:val="both"/>
      </w:pPr>
      <w:r w:rsidRPr="002B36F4">
        <w:t>От 1 април 2013 г. се реализира предвиденото в бюджета на държавното обществено осигуряване за 2013 г. увеличение на всички пенсии. Индексацията на пенсиите е с процент, равен на натрупаната инфлация за периода от второто полугодие на 2009 г. до края на 2012 г., както следва:</w:t>
      </w:r>
    </w:p>
    <w:p w:rsidR="000938C1" w:rsidRPr="002B36F4" w:rsidRDefault="000938C1" w:rsidP="00351508">
      <w:pPr>
        <w:ind w:firstLine="539"/>
        <w:jc w:val="both"/>
      </w:pPr>
      <w:r w:rsidRPr="002B36F4">
        <w:t>-</w:t>
      </w:r>
      <w:r w:rsidRPr="002B36F4">
        <w:tab/>
        <w:t>отпуснатите (2 290 032 пенсии, 85</w:t>
      </w:r>
      <w:r>
        <w:t xml:space="preserve"> </w:t>
      </w:r>
      <w:r w:rsidRPr="002B36F4">
        <w:t>%) с начална дата до 31.12.2009 г. – с 9</w:t>
      </w:r>
      <w:r>
        <w:t>,</w:t>
      </w:r>
      <w:r w:rsidRPr="002B36F4">
        <w:t>8 %;</w:t>
      </w:r>
    </w:p>
    <w:p w:rsidR="000938C1" w:rsidRPr="002B36F4" w:rsidRDefault="000938C1" w:rsidP="00351508">
      <w:pPr>
        <w:ind w:firstLine="539"/>
        <w:jc w:val="both"/>
      </w:pPr>
      <w:r w:rsidRPr="002B36F4">
        <w:t>-</w:t>
      </w:r>
      <w:r w:rsidRPr="002B36F4">
        <w:tab/>
        <w:t>отпуснатите (160 679 пенсии, 6</w:t>
      </w:r>
      <w:r>
        <w:t xml:space="preserve"> </w:t>
      </w:r>
      <w:r w:rsidRPr="002B36F4">
        <w:t>%) с начална дата от 1.01. до 31.12.2010 г. –  с 8</w:t>
      </w:r>
      <w:r>
        <w:t>,</w:t>
      </w:r>
      <w:r w:rsidRPr="002B36F4">
        <w:t>8 %;</w:t>
      </w:r>
    </w:p>
    <w:p w:rsidR="000938C1" w:rsidRPr="002B36F4" w:rsidRDefault="000938C1" w:rsidP="00351508">
      <w:pPr>
        <w:ind w:firstLine="539"/>
        <w:jc w:val="both"/>
      </w:pPr>
      <w:r w:rsidRPr="002B36F4">
        <w:t>-</w:t>
      </w:r>
      <w:r w:rsidRPr="002B36F4">
        <w:tab/>
        <w:t>отпуснатите (146 671 пенсии, 5</w:t>
      </w:r>
      <w:r>
        <w:t xml:space="preserve"> </w:t>
      </w:r>
      <w:r w:rsidRPr="002B36F4">
        <w:t>%) с начална дата от 1.01 до 31.12.2011 г. –  с 5</w:t>
      </w:r>
      <w:r>
        <w:t>,</w:t>
      </w:r>
      <w:r w:rsidRPr="002B36F4">
        <w:t>7 %;</w:t>
      </w:r>
    </w:p>
    <w:p w:rsidR="000938C1" w:rsidRPr="002B36F4" w:rsidRDefault="000938C1" w:rsidP="00351508">
      <w:pPr>
        <w:spacing w:after="120"/>
        <w:ind w:firstLine="539"/>
        <w:jc w:val="both"/>
      </w:pPr>
      <w:r w:rsidRPr="002B36F4">
        <w:t>-</w:t>
      </w:r>
      <w:r w:rsidRPr="002B36F4">
        <w:tab/>
        <w:t>отпуснатите (94 942 пенсии, 4</w:t>
      </w:r>
      <w:r>
        <w:t xml:space="preserve"> </w:t>
      </w:r>
      <w:r w:rsidRPr="002B36F4">
        <w:t>%) с начална дата от 1.01. до 31.12.2012 г. –   с 2</w:t>
      </w:r>
      <w:r>
        <w:t>,</w:t>
      </w:r>
      <w:r w:rsidRPr="002B36F4">
        <w:t>2 %.</w:t>
      </w:r>
    </w:p>
    <w:p w:rsidR="000938C1" w:rsidRPr="002B36F4" w:rsidRDefault="000938C1" w:rsidP="00F30F79">
      <w:pPr>
        <w:pStyle w:val="ListParagraph"/>
        <w:numPr>
          <w:ilvl w:val="0"/>
          <w:numId w:val="69"/>
        </w:numPr>
        <w:spacing w:after="120" w:line="276" w:lineRule="auto"/>
        <w:ind w:left="851" w:hanging="284"/>
        <w:jc w:val="both"/>
        <w:rPr>
          <w:iCs/>
        </w:rPr>
      </w:pPr>
      <w:r w:rsidRPr="002B36F4">
        <w:t>Минималната пенсия за осигурителен стаж и възраст беше увеличена от 145</w:t>
      </w:r>
      <w:r>
        <w:t>,</w:t>
      </w:r>
      <w:r w:rsidRPr="002B36F4">
        <w:t>00 лв.</w:t>
      </w:r>
      <w:r w:rsidRPr="002B36F4">
        <w:rPr>
          <w:iCs/>
        </w:rPr>
        <w:t xml:space="preserve"> на 150</w:t>
      </w:r>
      <w:r>
        <w:rPr>
          <w:iCs/>
        </w:rPr>
        <w:t>,</w:t>
      </w:r>
      <w:r w:rsidRPr="002B36F4">
        <w:rPr>
          <w:iCs/>
        </w:rPr>
        <w:t xml:space="preserve">00 лв. месечно от 1 април 2013 г. </w:t>
      </w:r>
    </w:p>
    <w:p w:rsidR="000938C1" w:rsidRPr="002B36F4" w:rsidRDefault="000938C1" w:rsidP="00F30F79">
      <w:pPr>
        <w:pStyle w:val="ListParagraph"/>
        <w:numPr>
          <w:ilvl w:val="0"/>
          <w:numId w:val="69"/>
        </w:numPr>
        <w:spacing w:line="276" w:lineRule="auto"/>
        <w:ind w:left="851" w:hanging="284"/>
        <w:jc w:val="both"/>
      </w:pPr>
      <w:r w:rsidRPr="002B36F4">
        <w:t>Максималният размер на получаваните една или повече пенсии се увеличи от 700</w:t>
      </w:r>
      <w:r>
        <w:t>,</w:t>
      </w:r>
      <w:r w:rsidRPr="002B36F4">
        <w:t>00 лв. на  770</w:t>
      </w:r>
      <w:r>
        <w:t>,</w:t>
      </w:r>
      <w:r w:rsidRPr="002B36F4">
        <w:t>00 лв. от 1 април.</w:t>
      </w:r>
    </w:p>
    <w:p w:rsidR="000938C1" w:rsidRPr="002B36F4" w:rsidRDefault="000938C1" w:rsidP="00F30F79">
      <w:pPr>
        <w:pStyle w:val="ListParagraph"/>
        <w:numPr>
          <w:ilvl w:val="0"/>
          <w:numId w:val="69"/>
        </w:numPr>
        <w:spacing w:line="276" w:lineRule="auto"/>
        <w:ind w:left="851" w:hanging="284"/>
        <w:jc w:val="both"/>
      </w:pPr>
      <w:r w:rsidRPr="002B36F4">
        <w:t>Увеличение на социалната пенсия за старост от 100</w:t>
      </w:r>
      <w:r>
        <w:t>,</w:t>
      </w:r>
      <w:r w:rsidRPr="002B36F4">
        <w:t>86 лв. на 110</w:t>
      </w:r>
      <w:r>
        <w:t>,</w:t>
      </w:r>
      <w:r w:rsidRPr="002B36F4">
        <w:t xml:space="preserve">00 лв. от 1 април. </w:t>
      </w:r>
    </w:p>
    <w:p w:rsidR="000938C1" w:rsidRPr="002B36F4" w:rsidRDefault="000938C1" w:rsidP="00F30F79">
      <w:pPr>
        <w:pStyle w:val="ListParagraph"/>
        <w:numPr>
          <w:ilvl w:val="0"/>
          <w:numId w:val="69"/>
        </w:numPr>
        <w:spacing w:line="276" w:lineRule="auto"/>
        <w:ind w:left="851" w:hanging="284"/>
        <w:jc w:val="both"/>
      </w:pPr>
      <w:r w:rsidRPr="002B36F4">
        <w:t xml:space="preserve">Средният процент на увеличение на пенсиите, отпуснати към 31 декември 2012 г. след индексацията от 01.04.2013 г. е </w:t>
      </w:r>
      <w:r>
        <w:t>9,3</w:t>
      </w:r>
      <w:r w:rsidRPr="002B36F4">
        <w:t xml:space="preserve"> процента.</w:t>
      </w:r>
    </w:p>
    <w:p w:rsidR="000938C1" w:rsidRPr="002B36F4" w:rsidRDefault="000938C1" w:rsidP="00F85C67">
      <w:pPr>
        <w:spacing w:line="276" w:lineRule="auto"/>
        <w:ind w:firstLine="540"/>
        <w:jc w:val="both"/>
        <w:rPr>
          <w:iCs/>
        </w:rPr>
      </w:pPr>
      <w:r w:rsidRPr="002B36F4">
        <w:rPr>
          <w:iCs/>
        </w:rPr>
        <w:t>През месец декември 2013 г. бяха преведени 53</w:t>
      </w:r>
      <w:r>
        <w:rPr>
          <w:iCs/>
        </w:rPr>
        <w:t>,</w:t>
      </w:r>
      <w:r w:rsidRPr="002B36F4">
        <w:rPr>
          <w:iCs/>
        </w:rPr>
        <w:t>5 млн. лв. на НОИ на основание ПМС № 260/18.11.2013 г. за одобряване на допълнителни средства за еднократно изплащане на допълнителна сума в размер на 50 лв. на пенсионери, на които пенсията или сборът от пенсиите заедно с добавките и компенсациите към тях за декември 2013 г. е в размер до 251</w:t>
      </w:r>
      <w:r>
        <w:rPr>
          <w:iCs/>
        </w:rPr>
        <w:t>,</w:t>
      </w:r>
      <w:r w:rsidRPr="002B36F4">
        <w:rPr>
          <w:iCs/>
        </w:rPr>
        <w:t xml:space="preserve">00 лв. включително. Средствата са за сметка на икономии на разходите и трансферите по централния бюджет и от бюджета на Народното събрание за 2013 г. </w:t>
      </w:r>
    </w:p>
    <w:p w:rsidR="000938C1" w:rsidRPr="002B36F4" w:rsidRDefault="000938C1" w:rsidP="00F85C67">
      <w:pPr>
        <w:spacing w:line="276" w:lineRule="auto"/>
        <w:ind w:firstLine="540"/>
        <w:jc w:val="both"/>
        <w:rPr>
          <w:iCs/>
        </w:rPr>
      </w:pPr>
      <w:r w:rsidRPr="002B36F4">
        <w:rPr>
          <w:iCs/>
        </w:rPr>
        <w:t>Резултатите от ускоряването на пенсионната реформа се изразяват в по-малкия брой новоотпуснати пенсии спрямо 2012 година.</w:t>
      </w:r>
    </w:p>
    <w:p w:rsidR="000938C1" w:rsidRPr="002B36F4" w:rsidRDefault="000938C1" w:rsidP="00F85C67">
      <w:pPr>
        <w:spacing w:line="276" w:lineRule="auto"/>
        <w:ind w:firstLine="540"/>
        <w:jc w:val="both"/>
        <w:rPr>
          <w:iCs/>
        </w:rPr>
      </w:pPr>
      <w:r w:rsidRPr="002B36F4">
        <w:rPr>
          <w:iCs/>
        </w:rPr>
        <w:t>•</w:t>
      </w:r>
      <w:r w:rsidRPr="002B36F4">
        <w:rPr>
          <w:iCs/>
        </w:rPr>
        <w:tab/>
        <w:t>Средномесечен брой пенсионери за 2013 г. – 2 195 904 – с 21 738 пенсионери по-малко (1</w:t>
      </w:r>
      <w:r>
        <w:rPr>
          <w:iCs/>
        </w:rPr>
        <w:t>,</w:t>
      </w:r>
      <w:r w:rsidRPr="002B36F4">
        <w:rPr>
          <w:iCs/>
        </w:rPr>
        <w:t>0 на сто намаление) в сравнение с 2012 г</w:t>
      </w:r>
      <w:r>
        <w:rPr>
          <w:iCs/>
        </w:rPr>
        <w:t>одина</w:t>
      </w:r>
      <w:r w:rsidRPr="002B36F4">
        <w:rPr>
          <w:iCs/>
        </w:rPr>
        <w:t>;</w:t>
      </w:r>
    </w:p>
    <w:p w:rsidR="000938C1" w:rsidRPr="002B36F4" w:rsidRDefault="000938C1" w:rsidP="00F85C67">
      <w:pPr>
        <w:spacing w:line="276" w:lineRule="auto"/>
        <w:ind w:firstLine="540"/>
        <w:jc w:val="both"/>
        <w:rPr>
          <w:iCs/>
        </w:rPr>
      </w:pPr>
      <w:r w:rsidRPr="002B36F4">
        <w:rPr>
          <w:iCs/>
        </w:rPr>
        <w:t>•</w:t>
      </w:r>
      <w:r w:rsidRPr="002B36F4">
        <w:rPr>
          <w:iCs/>
        </w:rPr>
        <w:tab/>
        <w:t>Средномесечен брой пенсии за 2013 г. – 2 677 598 – с 19 308 пенсии по-малко (0</w:t>
      </w:r>
      <w:r>
        <w:rPr>
          <w:iCs/>
        </w:rPr>
        <w:t>,</w:t>
      </w:r>
      <w:r w:rsidRPr="002B36F4">
        <w:rPr>
          <w:iCs/>
        </w:rPr>
        <w:t>7 на сто намаление) спрямо 2012 г</w:t>
      </w:r>
      <w:r>
        <w:rPr>
          <w:iCs/>
        </w:rPr>
        <w:t>одина</w:t>
      </w:r>
      <w:r w:rsidRPr="002B36F4">
        <w:rPr>
          <w:iCs/>
        </w:rPr>
        <w:t>;</w:t>
      </w:r>
    </w:p>
    <w:p w:rsidR="000938C1" w:rsidRPr="002B36F4" w:rsidRDefault="000938C1" w:rsidP="00F85C67">
      <w:pPr>
        <w:spacing w:line="276" w:lineRule="auto"/>
        <w:ind w:firstLine="540"/>
        <w:jc w:val="both"/>
        <w:rPr>
          <w:iCs/>
        </w:rPr>
      </w:pPr>
      <w:r w:rsidRPr="002B36F4">
        <w:rPr>
          <w:iCs/>
        </w:rPr>
        <w:t>•</w:t>
      </w:r>
      <w:r w:rsidRPr="002B36F4">
        <w:rPr>
          <w:iCs/>
        </w:rPr>
        <w:tab/>
        <w:t>Средният месечен размер на пенсията на един пенсионер за 2013 г. е 293</w:t>
      </w:r>
      <w:r>
        <w:rPr>
          <w:iCs/>
        </w:rPr>
        <w:t>,</w:t>
      </w:r>
      <w:r w:rsidRPr="002B36F4">
        <w:rPr>
          <w:iCs/>
        </w:rPr>
        <w:t>96 лв. (вкл. коледна добавка за 2013 г.), като реалното нарастване спрямо 2012 г. е 8</w:t>
      </w:r>
      <w:r>
        <w:rPr>
          <w:iCs/>
        </w:rPr>
        <w:t>,</w:t>
      </w:r>
      <w:r w:rsidRPr="002B36F4">
        <w:rPr>
          <w:iCs/>
        </w:rPr>
        <w:t>0 на сто, при средногодишна хармонизирана инфлация 0</w:t>
      </w:r>
      <w:r>
        <w:rPr>
          <w:iCs/>
        </w:rPr>
        <w:t>,</w:t>
      </w:r>
      <w:r w:rsidRPr="002B36F4">
        <w:rPr>
          <w:iCs/>
        </w:rPr>
        <w:t>4 на сто за 2013 г. Средният месечен размер на пенсията на един пенсионер за 2013 г. без коледната добавка за 2013 г. е 291</w:t>
      </w:r>
      <w:r>
        <w:rPr>
          <w:iCs/>
        </w:rPr>
        <w:t>,</w:t>
      </w:r>
      <w:r w:rsidRPr="002B36F4">
        <w:rPr>
          <w:iCs/>
        </w:rPr>
        <w:t xml:space="preserve">97 </w:t>
      </w:r>
      <w:r>
        <w:t>лева</w:t>
      </w:r>
      <w:r w:rsidRPr="002B36F4">
        <w:rPr>
          <w:iCs/>
        </w:rPr>
        <w:t>.;</w:t>
      </w:r>
    </w:p>
    <w:p w:rsidR="000938C1" w:rsidRPr="002B36F4" w:rsidRDefault="000938C1" w:rsidP="00F85C67">
      <w:pPr>
        <w:spacing w:line="276" w:lineRule="auto"/>
        <w:ind w:firstLine="540"/>
        <w:jc w:val="both"/>
        <w:rPr>
          <w:iCs/>
        </w:rPr>
      </w:pPr>
      <w:r w:rsidRPr="002B36F4">
        <w:rPr>
          <w:iCs/>
        </w:rPr>
        <w:t>•</w:t>
      </w:r>
      <w:r w:rsidRPr="002B36F4">
        <w:rPr>
          <w:iCs/>
        </w:rPr>
        <w:tab/>
        <w:t>Средната пенсия на пенсионер за осигурителен стаж и възраст за 2013 г. (без коледна добавка за 2013 г.) е 318</w:t>
      </w:r>
      <w:r>
        <w:rPr>
          <w:iCs/>
        </w:rPr>
        <w:t>,</w:t>
      </w:r>
      <w:r w:rsidRPr="002B36F4">
        <w:rPr>
          <w:iCs/>
        </w:rPr>
        <w:t xml:space="preserve">09 </w:t>
      </w:r>
      <w:r>
        <w:t>лева</w:t>
      </w:r>
      <w:r w:rsidRPr="002B36F4">
        <w:rPr>
          <w:iCs/>
        </w:rPr>
        <w:t>.</w:t>
      </w:r>
    </w:p>
    <w:p w:rsidR="000938C1" w:rsidRPr="00CF1A14" w:rsidRDefault="000938C1" w:rsidP="00F85C67">
      <w:pPr>
        <w:ind w:firstLine="540"/>
        <w:jc w:val="both"/>
        <w:rPr>
          <w:iCs/>
          <w:color w:val="0070C0"/>
          <w:sz w:val="8"/>
          <w:szCs w:val="8"/>
        </w:rPr>
      </w:pPr>
    </w:p>
    <w:p w:rsidR="000938C1" w:rsidRPr="00D610F0" w:rsidRDefault="000938C1" w:rsidP="00F30F79">
      <w:pPr>
        <w:keepNext/>
        <w:numPr>
          <w:ilvl w:val="0"/>
          <w:numId w:val="14"/>
        </w:numPr>
        <w:tabs>
          <w:tab w:val="clear" w:pos="720"/>
          <w:tab w:val="num" w:pos="0"/>
          <w:tab w:val="left" w:pos="540"/>
        </w:tabs>
        <w:ind w:left="360"/>
        <w:jc w:val="both"/>
        <w:rPr>
          <w:b/>
          <w:i/>
          <w:iCs/>
        </w:rPr>
      </w:pPr>
      <w:r w:rsidRPr="00D610F0">
        <w:rPr>
          <w:b/>
          <w:i/>
          <w:iCs/>
        </w:rPr>
        <w:t>Пенсии по бюджета на Учителския пенсионен фонд</w:t>
      </w:r>
    </w:p>
    <w:p w:rsidR="000938C1" w:rsidRPr="003C4AEB" w:rsidRDefault="000938C1" w:rsidP="00F85C67">
      <w:pPr>
        <w:ind w:firstLine="540"/>
        <w:jc w:val="both"/>
      </w:pPr>
      <w:r w:rsidRPr="003C4AEB">
        <w:t>Разходите за изплатени пенсии през 2013 г. от УПФ са в размер на 16,2 млн. лв., като от тях 0</w:t>
      </w:r>
      <w:r>
        <w:t>,</w:t>
      </w:r>
      <w:r w:rsidRPr="003C4AEB">
        <w:t>042 млн. лв. са изразходвани за пощенски такси и ДДС за изплащане на пенсиите.</w:t>
      </w:r>
    </w:p>
    <w:p w:rsidR="000938C1" w:rsidRPr="00681F04" w:rsidRDefault="000938C1" w:rsidP="00F85C67">
      <w:pPr>
        <w:spacing w:after="120"/>
        <w:ind w:firstLine="540"/>
        <w:jc w:val="both"/>
        <w:rPr>
          <w:szCs w:val="12"/>
        </w:rPr>
      </w:pPr>
      <w:r w:rsidRPr="00681F04">
        <w:t>Учителският пенсионен фонд е професионална пенсионна схема за ранно пенсиониране за педагогическия персонал в системата на образованието, която се администрира от Националния осигурителен институт. Работодателят в лицето на училищата и детските градини (държавни, общински и частни) и обслужващите звена (извънучилищни педагогически учреждения и учреждения със социално предназначение) осигурява изцяло за своя сметка всички учители, като внася във фонда 4,3 на сто осигурителна вноска.</w:t>
      </w:r>
    </w:p>
    <w:p w:rsidR="000938C1" w:rsidRPr="00F9206A" w:rsidRDefault="000938C1" w:rsidP="00F85C67">
      <w:pPr>
        <w:spacing w:after="120"/>
        <w:ind w:firstLine="539"/>
        <w:rPr>
          <w:b/>
          <w:sz w:val="12"/>
          <w:szCs w:val="12"/>
        </w:rPr>
      </w:pPr>
      <w:r w:rsidRPr="00F9206A">
        <w:rPr>
          <w:b/>
        </w:rPr>
        <w:t xml:space="preserve">Група Б: </w:t>
      </w:r>
      <w:r w:rsidRPr="00F9206A">
        <w:rPr>
          <w:b/>
          <w:i/>
        </w:rPr>
        <w:t>„Социални помощи и обезщетения”</w:t>
      </w:r>
    </w:p>
    <w:p w:rsidR="000938C1" w:rsidRPr="007E5CA4" w:rsidRDefault="000938C1" w:rsidP="00F85C67">
      <w:pPr>
        <w:spacing w:after="120"/>
        <w:ind w:firstLine="539"/>
        <w:jc w:val="both"/>
        <w:rPr>
          <w:iCs/>
        </w:rPr>
      </w:pPr>
      <w:r w:rsidRPr="004259DA">
        <w:rPr>
          <w:iCs/>
        </w:rPr>
        <w:t xml:space="preserve">Разходите в тази група включват помощите и плащанията към гражданите на основание: Закона за социално подпомагане, Закона за интеграция на хората с увреждания, </w:t>
      </w:r>
      <w:r w:rsidRPr="007E5CA4">
        <w:rPr>
          <w:iCs/>
        </w:rPr>
        <w:t xml:space="preserve">Закона за семейни помощи за деца, Закона за закрила на детето, Закона за военноинвалидите и военнопострадалите, Закона за ветераните от войните, </w:t>
      </w:r>
      <w:r w:rsidRPr="007E5CA4">
        <w:t>Закона за Министерството на вътрешните работи и Закона за отбраната и въоръжените сили на Република България</w:t>
      </w:r>
      <w:r w:rsidRPr="007E5CA4">
        <w:rPr>
          <w:iCs/>
        </w:rPr>
        <w:t>. Общата сума на разходите по тази група на консолидирано ниво възлиза на 1 979,9 млн. лв., което представлява изпълнение 9</w:t>
      </w:r>
      <w:r>
        <w:rPr>
          <w:iCs/>
        </w:rPr>
        <w:t>6,8</w:t>
      </w:r>
      <w:r w:rsidRPr="007E5CA4">
        <w:rPr>
          <w:iCs/>
        </w:rPr>
        <w:t xml:space="preserve"> % спрямо годишните разчети.</w:t>
      </w:r>
    </w:p>
    <w:p w:rsidR="000938C1" w:rsidRPr="008A1818" w:rsidRDefault="000938C1" w:rsidP="00F85C67">
      <w:pPr>
        <w:ind w:firstLine="540"/>
        <w:jc w:val="both"/>
        <w:rPr>
          <w:iCs/>
        </w:rPr>
      </w:pPr>
      <w:r w:rsidRPr="007E5CA4">
        <w:rPr>
          <w:iCs/>
        </w:rPr>
        <w:t xml:space="preserve">Разходите по </w:t>
      </w:r>
      <w:r w:rsidRPr="007E5CA4">
        <w:rPr>
          <w:b/>
          <w:iCs/>
        </w:rPr>
        <w:t>републиканския бюджет</w:t>
      </w:r>
      <w:r w:rsidRPr="007E5CA4">
        <w:rPr>
          <w:iCs/>
        </w:rPr>
        <w:t xml:space="preserve"> са в размер на </w:t>
      </w:r>
      <w:r>
        <w:rPr>
          <w:iCs/>
          <w:lang w:val="ru-RU"/>
        </w:rPr>
        <w:t>856,9</w:t>
      </w:r>
      <w:r w:rsidRPr="007E5CA4">
        <w:rPr>
          <w:iCs/>
        </w:rPr>
        <w:t xml:space="preserve"> млн. лв., отчетени както </w:t>
      </w:r>
      <w:r w:rsidRPr="008A1818">
        <w:rPr>
          <w:iCs/>
        </w:rPr>
        <w:t>следва:</w:t>
      </w:r>
    </w:p>
    <w:p w:rsidR="000938C1" w:rsidRPr="00C8149F" w:rsidRDefault="000938C1" w:rsidP="00F30F79">
      <w:pPr>
        <w:numPr>
          <w:ilvl w:val="1"/>
          <w:numId w:val="14"/>
        </w:numPr>
        <w:tabs>
          <w:tab w:val="clear" w:pos="1440"/>
          <w:tab w:val="num" w:pos="540"/>
        </w:tabs>
        <w:ind w:left="0" w:firstLine="180"/>
        <w:jc w:val="both"/>
        <w:rPr>
          <w:iCs/>
        </w:rPr>
      </w:pPr>
      <w:r w:rsidRPr="00C8149F">
        <w:rPr>
          <w:iCs/>
        </w:rPr>
        <w:t>По бюджета на МТСП за 2013 г. са изразходвани 836,5 млн. лв., които представляват:</w:t>
      </w:r>
    </w:p>
    <w:p w:rsidR="000938C1" w:rsidRPr="00C8149F" w:rsidRDefault="000938C1" w:rsidP="00F30F79">
      <w:pPr>
        <w:numPr>
          <w:ilvl w:val="0"/>
          <w:numId w:val="14"/>
        </w:numPr>
        <w:tabs>
          <w:tab w:val="clear" w:pos="720"/>
          <w:tab w:val="num" w:pos="540"/>
          <w:tab w:val="left" w:pos="1620"/>
          <w:tab w:val="left" w:pos="1800"/>
          <w:tab w:val="left" w:pos="1980"/>
        </w:tabs>
        <w:ind w:left="540"/>
        <w:jc w:val="both"/>
        <w:rPr>
          <w:iCs/>
        </w:rPr>
      </w:pPr>
      <w:r w:rsidRPr="00C8149F">
        <w:rPr>
          <w:iCs/>
        </w:rPr>
        <w:t>Изплатени помощи по Закона за семейни помощи за деца – 503,8 млн. лв.;</w:t>
      </w:r>
    </w:p>
    <w:p w:rsidR="000938C1" w:rsidRPr="00C8149F" w:rsidRDefault="000938C1" w:rsidP="00F30F79">
      <w:pPr>
        <w:numPr>
          <w:ilvl w:val="0"/>
          <w:numId w:val="14"/>
        </w:numPr>
        <w:tabs>
          <w:tab w:val="clear" w:pos="720"/>
          <w:tab w:val="num" w:pos="540"/>
          <w:tab w:val="left" w:pos="1620"/>
          <w:tab w:val="left" w:pos="1800"/>
          <w:tab w:val="left" w:pos="1980"/>
        </w:tabs>
        <w:ind w:left="540"/>
        <w:jc w:val="both"/>
        <w:rPr>
          <w:iCs/>
        </w:rPr>
      </w:pPr>
      <w:r w:rsidRPr="00C8149F">
        <w:rPr>
          <w:iCs/>
        </w:rPr>
        <w:t>Изплатени помощи по Закона за социално подпомагане – 62,0 млн. лв.;</w:t>
      </w:r>
    </w:p>
    <w:p w:rsidR="000938C1" w:rsidRPr="00C8149F" w:rsidRDefault="000938C1" w:rsidP="00F30F79">
      <w:pPr>
        <w:numPr>
          <w:ilvl w:val="0"/>
          <w:numId w:val="14"/>
        </w:numPr>
        <w:tabs>
          <w:tab w:val="clear" w:pos="720"/>
          <w:tab w:val="num" w:pos="540"/>
          <w:tab w:val="left" w:pos="1620"/>
          <w:tab w:val="left" w:pos="1800"/>
          <w:tab w:val="left" w:pos="1980"/>
        </w:tabs>
        <w:ind w:left="540"/>
        <w:jc w:val="both"/>
        <w:rPr>
          <w:iCs/>
        </w:rPr>
      </w:pPr>
      <w:r w:rsidRPr="00C8149F">
        <w:rPr>
          <w:iCs/>
        </w:rPr>
        <w:t>Целеви помощи за отопление по Наредба № РД 07-5 от 16.05.2008 г. – 74,7 млн. лв.;</w:t>
      </w:r>
    </w:p>
    <w:p w:rsidR="000938C1" w:rsidRPr="00C8149F" w:rsidRDefault="000938C1" w:rsidP="00F30F79">
      <w:pPr>
        <w:numPr>
          <w:ilvl w:val="0"/>
          <w:numId w:val="14"/>
        </w:numPr>
        <w:tabs>
          <w:tab w:val="clear" w:pos="720"/>
          <w:tab w:val="num" w:pos="540"/>
          <w:tab w:val="left" w:pos="1620"/>
          <w:tab w:val="left" w:pos="1800"/>
          <w:tab w:val="left" w:pos="1980"/>
        </w:tabs>
        <w:ind w:left="540"/>
        <w:jc w:val="both"/>
        <w:rPr>
          <w:iCs/>
        </w:rPr>
      </w:pPr>
      <w:r w:rsidRPr="00C8149F">
        <w:rPr>
          <w:iCs/>
        </w:rPr>
        <w:t xml:space="preserve">Изплатени помощи по Закона за интеграция на хората с увреждания – </w:t>
      </w:r>
      <w:r w:rsidRPr="00C8149F">
        <w:rPr>
          <w:iCs/>
          <w:lang w:val="ru-RU"/>
        </w:rPr>
        <w:t>182,1</w:t>
      </w:r>
      <w:r w:rsidRPr="00C8149F">
        <w:rPr>
          <w:iCs/>
        </w:rPr>
        <w:t xml:space="preserve"> млн. лв.</w:t>
      </w:r>
      <w:r>
        <w:rPr>
          <w:iCs/>
        </w:rPr>
        <w:t>;</w:t>
      </w:r>
      <w:r w:rsidRPr="00C8149F">
        <w:rPr>
          <w:iCs/>
        </w:rPr>
        <w:t xml:space="preserve"> </w:t>
      </w:r>
    </w:p>
    <w:p w:rsidR="000938C1" w:rsidRPr="00C8149F" w:rsidRDefault="000938C1" w:rsidP="00F30F79">
      <w:pPr>
        <w:numPr>
          <w:ilvl w:val="0"/>
          <w:numId w:val="14"/>
        </w:numPr>
        <w:tabs>
          <w:tab w:val="clear" w:pos="720"/>
          <w:tab w:val="num" w:pos="540"/>
          <w:tab w:val="left" w:pos="1620"/>
          <w:tab w:val="left" w:pos="1800"/>
          <w:tab w:val="left" w:pos="1980"/>
        </w:tabs>
        <w:ind w:left="540"/>
        <w:jc w:val="both"/>
        <w:rPr>
          <w:iCs/>
        </w:rPr>
      </w:pPr>
      <w:r w:rsidRPr="00C8149F">
        <w:rPr>
          <w:iCs/>
        </w:rPr>
        <w:t>Реализиране на програми и мерки по Закона за закрила на детето в размер на 11,2 млн. лв.</w:t>
      </w:r>
    </w:p>
    <w:p w:rsidR="000938C1" w:rsidRPr="008B7A21" w:rsidRDefault="000938C1" w:rsidP="00F30F79">
      <w:pPr>
        <w:numPr>
          <w:ilvl w:val="0"/>
          <w:numId w:val="25"/>
        </w:numPr>
        <w:tabs>
          <w:tab w:val="clear" w:pos="1547"/>
          <w:tab w:val="num" w:pos="540"/>
          <w:tab w:val="left" w:pos="1620"/>
          <w:tab w:val="left" w:pos="1800"/>
          <w:tab w:val="left" w:pos="1980"/>
        </w:tabs>
        <w:ind w:left="0" w:firstLine="180"/>
        <w:jc w:val="both"/>
        <w:rPr>
          <w:iCs/>
        </w:rPr>
      </w:pPr>
      <w:r w:rsidRPr="008B7A21">
        <w:rPr>
          <w:iCs/>
        </w:rPr>
        <w:t xml:space="preserve">За помощи по Закона за ветераните от войните и Закона за военноинвалидите и военнопострадалите  са изплатени средства в размер на 3,0 млн. лв. </w:t>
      </w:r>
    </w:p>
    <w:p w:rsidR="000938C1" w:rsidRPr="00114247" w:rsidRDefault="000938C1" w:rsidP="00F30F79">
      <w:pPr>
        <w:numPr>
          <w:ilvl w:val="0"/>
          <w:numId w:val="25"/>
        </w:numPr>
        <w:tabs>
          <w:tab w:val="clear" w:pos="1547"/>
          <w:tab w:val="num" w:pos="540"/>
          <w:tab w:val="left" w:pos="1620"/>
          <w:tab w:val="left" w:pos="1800"/>
          <w:tab w:val="left" w:pos="1980"/>
        </w:tabs>
        <w:ind w:left="0" w:firstLine="180"/>
        <w:jc w:val="both"/>
        <w:rPr>
          <w:iCs/>
        </w:rPr>
      </w:pPr>
      <w:r w:rsidRPr="00114247">
        <w:rPr>
          <w:iCs/>
        </w:rPr>
        <w:t>Отчетените разходи по бюджета на МФ в тази група са в размер на 12,6 млн. лв. - за финансово компенсиране на жилищно-спестовните влогове на гражданите на основание на Закона за уреждане правата на граждани с многогодишни жилищно-спестовни влогове.</w:t>
      </w:r>
    </w:p>
    <w:p w:rsidR="000938C1" w:rsidRPr="00114247" w:rsidRDefault="000938C1" w:rsidP="00F30F79">
      <w:pPr>
        <w:numPr>
          <w:ilvl w:val="0"/>
          <w:numId w:val="25"/>
        </w:numPr>
        <w:tabs>
          <w:tab w:val="clear" w:pos="1547"/>
          <w:tab w:val="num" w:pos="540"/>
          <w:tab w:val="left" w:pos="1620"/>
          <w:tab w:val="left" w:pos="1800"/>
          <w:tab w:val="left" w:pos="1980"/>
        </w:tabs>
        <w:ind w:left="0" w:firstLine="180"/>
        <w:jc w:val="both"/>
        <w:rPr>
          <w:iCs/>
        </w:rPr>
      </w:pPr>
      <w:r w:rsidRPr="00114247">
        <w:rPr>
          <w:iCs/>
        </w:rPr>
        <w:t>Отчетените разходи по бюджета на ММС са в размер на 5,4 млн. лв.</w:t>
      </w:r>
      <w:r>
        <w:rPr>
          <w:iCs/>
        </w:rPr>
        <w:t xml:space="preserve"> </w:t>
      </w:r>
      <w:r w:rsidRPr="00114247">
        <w:rPr>
          <w:iCs/>
        </w:rPr>
        <w:t>- за стимулиране и награждаване на български спортисти, постигнали призови класирания на световни и европейски първенства и аналогични първенства и игри за спортисти с увреждания.</w:t>
      </w:r>
    </w:p>
    <w:p w:rsidR="000938C1" w:rsidRPr="007E6A98" w:rsidRDefault="000938C1" w:rsidP="00F30F79">
      <w:pPr>
        <w:numPr>
          <w:ilvl w:val="0"/>
          <w:numId w:val="25"/>
        </w:numPr>
        <w:tabs>
          <w:tab w:val="clear" w:pos="1547"/>
          <w:tab w:val="num" w:pos="540"/>
          <w:tab w:val="left" w:pos="1620"/>
          <w:tab w:val="left" w:pos="1800"/>
          <w:tab w:val="left" w:pos="1980"/>
        </w:tabs>
        <w:spacing w:after="120"/>
        <w:ind w:left="0" w:firstLine="180"/>
        <w:jc w:val="both"/>
        <w:rPr>
          <w:iCs/>
        </w:rPr>
      </w:pPr>
      <w:r w:rsidRPr="007E6A98">
        <w:rPr>
          <w:iCs/>
        </w:rPr>
        <w:t xml:space="preserve">Отчетените разходи по бюджета на МС в тази група са в размер на </w:t>
      </w:r>
      <w:r w:rsidRPr="007E6A98">
        <w:rPr>
          <w:iCs/>
          <w:lang w:val="ru-RU"/>
        </w:rPr>
        <w:t>0,8</w:t>
      </w:r>
      <w:r w:rsidRPr="007E6A98">
        <w:rPr>
          <w:iCs/>
        </w:rPr>
        <w:t xml:space="preserve"> млн. лв. - средства по бюджета на Министерския съвет за 2013 г. се предвиждат и съответно отчитат за изплащане на обезщетения по Закона за политическа и гражданска реабилитация на репресирани лица.</w:t>
      </w:r>
    </w:p>
    <w:p w:rsidR="000938C1" w:rsidRPr="00932378" w:rsidRDefault="000938C1" w:rsidP="00F85C67">
      <w:pPr>
        <w:tabs>
          <w:tab w:val="left" w:pos="1620"/>
          <w:tab w:val="left" w:pos="1800"/>
          <w:tab w:val="left" w:pos="1980"/>
        </w:tabs>
        <w:ind w:firstLine="539"/>
        <w:jc w:val="both"/>
        <w:rPr>
          <w:iCs/>
        </w:rPr>
      </w:pPr>
      <w:r w:rsidRPr="00932378">
        <w:rPr>
          <w:iCs/>
        </w:rPr>
        <w:t xml:space="preserve">За обезщетения и помощи по Закона за отбраната и въоръжените сили на Република България са отчетени 0,9 млн. лв. по бюджета на </w:t>
      </w:r>
      <w:r>
        <w:rPr>
          <w:iCs/>
        </w:rPr>
        <w:t>МО</w:t>
      </w:r>
      <w:r w:rsidRPr="00932378">
        <w:rPr>
          <w:iCs/>
        </w:rPr>
        <w:t xml:space="preserve">. </w:t>
      </w:r>
    </w:p>
    <w:p w:rsidR="000938C1" w:rsidRPr="00857E2E" w:rsidRDefault="000938C1" w:rsidP="00855C27">
      <w:pPr>
        <w:tabs>
          <w:tab w:val="left" w:pos="1620"/>
          <w:tab w:val="left" w:pos="1800"/>
          <w:tab w:val="left" w:pos="1980"/>
        </w:tabs>
        <w:ind w:firstLine="539"/>
        <w:jc w:val="both"/>
        <w:rPr>
          <w:iCs/>
        </w:rPr>
      </w:pPr>
      <w:r w:rsidRPr="00FD520F">
        <w:rPr>
          <w:iCs/>
        </w:rPr>
        <w:t xml:space="preserve">За </w:t>
      </w:r>
      <w:r w:rsidRPr="00FD520F">
        <w:t>помощи и левовата равностойност на храна на бежанци по Закона за убежището и бежанците и по Закона за социално подпомагане, както и за помощи на служители на МВР и на техните семейства, предоставени от дарители са отчетени 1</w:t>
      </w:r>
      <w:r>
        <w:t>,</w:t>
      </w:r>
      <w:r w:rsidRPr="00FD520F">
        <w:t>0 млн.</w:t>
      </w:r>
      <w:r>
        <w:t xml:space="preserve"> </w:t>
      </w:r>
      <w:r w:rsidRPr="00FD520F">
        <w:t xml:space="preserve">лв. </w:t>
      </w:r>
      <w:r w:rsidRPr="00FD520F">
        <w:rPr>
          <w:iCs/>
        </w:rPr>
        <w:t>по бюджета на МВР.</w:t>
      </w:r>
    </w:p>
    <w:p w:rsidR="000938C1" w:rsidRPr="00857E2E" w:rsidRDefault="000938C1" w:rsidP="00F85C67">
      <w:pPr>
        <w:ind w:firstLine="540"/>
        <w:jc w:val="both"/>
        <w:rPr>
          <w:iCs/>
          <w:sz w:val="4"/>
          <w:szCs w:val="4"/>
        </w:rPr>
      </w:pPr>
    </w:p>
    <w:p w:rsidR="000938C1" w:rsidRPr="000665E3" w:rsidRDefault="000938C1" w:rsidP="00F85C67">
      <w:pPr>
        <w:ind w:firstLine="540"/>
        <w:jc w:val="both"/>
      </w:pPr>
      <w:r w:rsidRPr="00857E2E">
        <w:t xml:space="preserve">Отчетените разходи за социални помощи и обезщетения по </w:t>
      </w:r>
      <w:r w:rsidRPr="00857E2E">
        <w:rPr>
          <w:b/>
        </w:rPr>
        <w:t>бюджета на ДОО</w:t>
      </w:r>
      <w:r w:rsidRPr="00857E2E">
        <w:t xml:space="preserve"> са в </w:t>
      </w:r>
      <w:r w:rsidRPr="00CF018E">
        <w:t>размер на 1 118,9</w:t>
      </w:r>
      <w:r>
        <w:t xml:space="preserve"> млн. лв. </w:t>
      </w:r>
      <w:r w:rsidRPr="00CF018E">
        <w:t>От структурна гледна точка с най-голям относителен дял са обезщетенията за бременност/раждане и отглеждане на дете до 2-годишна възраст (37,0 %); обезщетенията и помощите за безработица (</w:t>
      </w:r>
      <w:r>
        <w:t>31,4</w:t>
      </w:r>
      <w:r w:rsidRPr="00CF018E">
        <w:t xml:space="preserve"> %) и обезщетенията за временна неработоспособност </w:t>
      </w:r>
      <w:r w:rsidRPr="000665E3">
        <w:t xml:space="preserve">поради общо заболяване (24,3 %). </w:t>
      </w:r>
    </w:p>
    <w:p w:rsidR="000938C1" w:rsidRDefault="000938C1" w:rsidP="00F85C67">
      <w:pPr>
        <w:ind w:firstLine="539"/>
        <w:jc w:val="both"/>
        <w:rPr>
          <w:lang w:val="ru-RU"/>
        </w:rPr>
      </w:pPr>
      <w:r w:rsidRPr="000665E3">
        <w:rPr>
          <w:lang w:val="ru-RU"/>
        </w:rPr>
        <w:t xml:space="preserve">Спрямо 2012 г. </w:t>
      </w:r>
      <w:r w:rsidRPr="002514DD">
        <w:rPr>
          <w:b/>
          <w:lang w:val="ru-RU"/>
        </w:rPr>
        <w:t>изплатените обезщетения по КСО</w:t>
      </w:r>
      <w:r>
        <w:rPr>
          <w:b/>
          <w:lang w:val="ru-RU"/>
        </w:rPr>
        <w:t xml:space="preserve"> </w:t>
      </w:r>
      <w:r w:rsidRPr="000665E3">
        <w:rPr>
          <w:lang w:val="ru-RU"/>
        </w:rPr>
        <w:t xml:space="preserve">са нараснали със 78,6 млн. лв., 7,6 %. </w:t>
      </w:r>
    </w:p>
    <w:p w:rsidR="000938C1" w:rsidRDefault="000938C1" w:rsidP="00F85C67">
      <w:pPr>
        <w:ind w:firstLine="539"/>
        <w:jc w:val="both"/>
        <w:rPr>
          <w:lang w:val="ru-RU"/>
        </w:rPr>
      </w:pPr>
      <w:r w:rsidRPr="000665E3">
        <w:rPr>
          <w:lang w:val="ru-RU"/>
        </w:rPr>
        <w:t xml:space="preserve">Изплатените за годината обезщетения при безработица са в размер на 351,7 млн. лв., с 0,9 % (3,2 млн. лв.) </w:t>
      </w:r>
      <w:r w:rsidRPr="000665E3">
        <w:t xml:space="preserve">по-малко </w:t>
      </w:r>
      <w:r w:rsidRPr="000665E3">
        <w:rPr>
          <w:lang w:val="ru-RU"/>
        </w:rPr>
        <w:t xml:space="preserve">спрямо 2012 г. </w:t>
      </w:r>
      <w:r w:rsidRPr="000665E3">
        <w:t>Средното начислено обезщетение за 2013 г. е 254</w:t>
      </w:r>
      <w:r>
        <w:t>,</w:t>
      </w:r>
      <w:r w:rsidRPr="000665E3">
        <w:t>15 лв., с 0</w:t>
      </w:r>
      <w:r>
        <w:t>,</w:t>
      </w:r>
      <w:r w:rsidRPr="000665E3">
        <w:t>4 на сто по-високо в сравнение с 2012 година</w:t>
      </w:r>
      <w:r>
        <w:t>.</w:t>
      </w:r>
    </w:p>
    <w:p w:rsidR="000938C1" w:rsidRPr="00CC4B02" w:rsidRDefault="000938C1" w:rsidP="00F85C67">
      <w:pPr>
        <w:ind w:firstLine="539"/>
        <w:jc w:val="both"/>
        <w:rPr>
          <w:lang w:val="ru-RU"/>
        </w:rPr>
      </w:pPr>
      <w:r w:rsidRPr="002514DD">
        <w:rPr>
          <w:lang w:val="ru-RU"/>
        </w:rPr>
        <w:t>Изплатените обезщетения за бременност</w:t>
      </w:r>
      <w:r>
        <w:rPr>
          <w:lang w:val="ru-RU"/>
        </w:rPr>
        <w:t xml:space="preserve"> и </w:t>
      </w:r>
      <w:r w:rsidRPr="002514DD">
        <w:rPr>
          <w:lang w:val="ru-RU"/>
        </w:rPr>
        <w:t xml:space="preserve">раждане към 31.12.2013 г. са в размер на </w:t>
      </w:r>
      <w:r>
        <w:rPr>
          <w:lang w:val="ru-RU"/>
        </w:rPr>
        <w:t>286,0</w:t>
      </w:r>
      <w:r w:rsidRPr="002514DD">
        <w:rPr>
          <w:lang w:val="ru-RU"/>
        </w:rPr>
        <w:t xml:space="preserve"> млн. </w:t>
      </w:r>
      <w:r w:rsidRPr="002F62A7">
        <w:rPr>
          <w:lang w:val="ru-RU"/>
        </w:rPr>
        <w:t xml:space="preserve">лв., с </w:t>
      </w:r>
      <w:r>
        <w:rPr>
          <w:lang w:val="ru-RU"/>
        </w:rPr>
        <w:t>15,7</w:t>
      </w:r>
      <w:r w:rsidRPr="002F62A7">
        <w:rPr>
          <w:lang w:val="ru-RU"/>
        </w:rPr>
        <w:t xml:space="preserve"> млн. лв. (</w:t>
      </w:r>
      <w:r>
        <w:rPr>
          <w:lang w:val="ru-RU"/>
        </w:rPr>
        <w:t>5,8</w:t>
      </w:r>
      <w:r w:rsidRPr="002F62A7">
        <w:rPr>
          <w:lang w:val="ru-RU"/>
        </w:rPr>
        <w:t xml:space="preserve"> %) повече спрямо 2012 г. </w:t>
      </w:r>
      <w:r w:rsidRPr="00E919D7">
        <w:rPr>
          <w:lang w:val="ru-RU"/>
        </w:rPr>
        <w:t>Изплатените обезщетения за</w:t>
      </w:r>
      <w:r>
        <w:rPr>
          <w:lang w:val="ru-RU"/>
        </w:rPr>
        <w:t xml:space="preserve"> отглеждане на малко дете</w:t>
      </w:r>
      <w:r w:rsidRPr="002514DD">
        <w:rPr>
          <w:lang w:val="ru-RU"/>
        </w:rPr>
        <w:t xml:space="preserve"> са в размер на </w:t>
      </w:r>
      <w:r>
        <w:rPr>
          <w:lang w:val="ru-RU"/>
        </w:rPr>
        <w:t>128,3</w:t>
      </w:r>
      <w:r w:rsidRPr="002514DD">
        <w:rPr>
          <w:lang w:val="ru-RU"/>
        </w:rPr>
        <w:t xml:space="preserve"> млн. </w:t>
      </w:r>
      <w:r w:rsidRPr="002F62A7">
        <w:rPr>
          <w:lang w:val="ru-RU"/>
        </w:rPr>
        <w:t xml:space="preserve">лв., с </w:t>
      </w:r>
      <w:r>
        <w:rPr>
          <w:lang w:val="ru-RU"/>
        </w:rPr>
        <w:t>19,2</w:t>
      </w:r>
      <w:r w:rsidRPr="002F62A7">
        <w:rPr>
          <w:lang w:val="ru-RU"/>
        </w:rPr>
        <w:t xml:space="preserve"> млн. лв. (</w:t>
      </w:r>
      <w:r>
        <w:rPr>
          <w:lang w:val="ru-RU"/>
        </w:rPr>
        <w:t>17,6</w:t>
      </w:r>
      <w:r w:rsidRPr="002F62A7">
        <w:rPr>
          <w:lang w:val="ru-RU"/>
        </w:rPr>
        <w:t xml:space="preserve"> %) повече спрямо 2012 г</w:t>
      </w:r>
      <w:r w:rsidRPr="00CC4B02">
        <w:rPr>
          <w:lang w:val="ru-RU"/>
        </w:rPr>
        <w:t>.</w:t>
      </w:r>
      <w:r>
        <w:rPr>
          <w:lang w:val="ru-RU"/>
        </w:rPr>
        <w:t xml:space="preserve"> </w:t>
      </w:r>
      <w:r w:rsidRPr="00CC4B02">
        <w:t>Основната причина за по-високите разходи е увеличението на обезщетението за отглеждане на дете от 240 на 310 лв. от 1 юли 2013 г.</w:t>
      </w:r>
    </w:p>
    <w:p w:rsidR="000938C1" w:rsidRPr="00211C6E" w:rsidRDefault="000938C1" w:rsidP="00F85C67">
      <w:pPr>
        <w:ind w:firstLine="539"/>
        <w:jc w:val="both"/>
        <w:rPr>
          <w:lang w:val="ru-RU"/>
        </w:rPr>
      </w:pPr>
      <w:r w:rsidRPr="00211C6E">
        <w:rPr>
          <w:lang w:val="ru-RU"/>
        </w:rPr>
        <w:t xml:space="preserve">Изплатените обезщетения за временна неработоспособност поради общо заболяване, гледане на болен член от семейството и карантина, и нетрудови злополуки са в размер на 329,6 млн. лв., с 48,0 млн. лв. (17,0 %) повече спрямо 2012 година. </w:t>
      </w:r>
    </w:p>
    <w:p w:rsidR="000938C1" w:rsidRPr="00CF1A14" w:rsidRDefault="000938C1" w:rsidP="00F85C67">
      <w:pPr>
        <w:spacing w:after="120"/>
        <w:ind w:firstLine="539"/>
        <w:jc w:val="both"/>
        <w:rPr>
          <w:b/>
          <w:color w:val="0070C0"/>
          <w:sz w:val="8"/>
          <w:szCs w:val="8"/>
          <w:lang w:val="ru-RU"/>
        </w:rPr>
      </w:pPr>
    </w:p>
    <w:p w:rsidR="000938C1" w:rsidRPr="008503B4" w:rsidRDefault="000938C1" w:rsidP="00F85C67">
      <w:pPr>
        <w:spacing w:after="120"/>
        <w:ind w:firstLine="539"/>
        <w:jc w:val="both"/>
        <w:rPr>
          <w:b/>
          <w:i/>
        </w:rPr>
      </w:pPr>
      <w:r w:rsidRPr="008503B4">
        <w:rPr>
          <w:b/>
        </w:rPr>
        <w:t xml:space="preserve">Група В: </w:t>
      </w:r>
      <w:r w:rsidRPr="008503B4">
        <w:rPr>
          <w:b/>
          <w:i/>
        </w:rPr>
        <w:t>„Програми, дейности и служби по социалното осигуряване, подпомагане и заетостта”</w:t>
      </w:r>
    </w:p>
    <w:p w:rsidR="000938C1" w:rsidRPr="008503B4" w:rsidRDefault="000938C1" w:rsidP="00F85C67">
      <w:pPr>
        <w:tabs>
          <w:tab w:val="left" w:pos="540"/>
          <w:tab w:val="left" w:pos="720"/>
        </w:tabs>
        <w:autoSpaceDE w:val="0"/>
        <w:autoSpaceDN w:val="0"/>
        <w:adjustRightInd w:val="0"/>
        <w:spacing w:before="120"/>
        <w:ind w:firstLine="540"/>
        <w:jc w:val="both"/>
      </w:pPr>
      <w:r w:rsidRPr="008503B4">
        <w:t>Общият размер на усвоените средства на консолидирана база по тази група за 201</w:t>
      </w:r>
      <w:r w:rsidRPr="008503B4">
        <w:rPr>
          <w:lang w:val="ru-RU"/>
        </w:rPr>
        <w:t>3</w:t>
      </w:r>
      <w:r w:rsidRPr="008503B4">
        <w:t xml:space="preserve"> г. е </w:t>
      </w:r>
      <w:r w:rsidRPr="008503B4">
        <w:rPr>
          <w:lang w:val="ru-RU"/>
        </w:rPr>
        <w:t>1 219,6</w:t>
      </w:r>
      <w:r w:rsidRPr="008503B4">
        <w:t xml:space="preserve"> млн. лв., като основните системи, по които са извършени разходите са републиканския бюджет и бюджетите на общините.</w:t>
      </w:r>
    </w:p>
    <w:p w:rsidR="000938C1" w:rsidRPr="000073B0" w:rsidRDefault="000938C1" w:rsidP="00F85C67">
      <w:pPr>
        <w:ind w:firstLine="540"/>
        <w:jc w:val="both"/>
        <w:rPr>
          <w:lang w:val="ru-RU"/>
        </w:rPr>
      </w:pPr>
      <w:r w:rsidRPr="008503B4">
        <w:t xml:space="preserve">Размерът на разходите по </w:t>
      </w:r>
      <w:r w:rsidRPr="008503B4">
        <w:rPr>
          <w:b/>
        </w:rPr>
        <w:t>републиканския бюджет</w:t>
      </w:r>
      <w:r w:rsidRPr="008503B4">
        <w:t xml:space="preserve"> е </w:t>
      </w:r>
      <w:r w:rsidRPr="008503B4">
        <w:rPr>
          <w:lang w:val="ru-RU"/>
        </w:rPr>
        <w:t>220,8</w:t>
      </w:r>
      <w:r w:rsidRPr="008503B4">
        <w:t xml:space="preserve"> млн. лв. От тях по бюджетите на министерствата и ведомствата са отчетени </w:t>
      </w:r>
      <w:r w:rsidRPr="008503B4">
        <w:rPr>
          <w:lang w:val="ru-RU"/>
        </w:rPr>
        <w:t>196,4</w:t>
      </w:r>
      <w:r w:rsidRPr="008503B4">
        <w:t xml:space="preserve"> млн. лв. и по централния бюджет </w:t>
      </w:r>
      <w:r>
        <w:rPr>
          <w:lang w:val="ru-RU"/>
        </w:rPr>
        <w:t>2</w:t>
      </w:r>
      <w:r w:rsidRPr="008503B4">
        <w:rPr>
          <w:lang w:val="ru-RU"/>
        </w:rPr>
        <w:t>4,4</w:t>
      </w:r>
      <w:r w:rsidRPr="008503B4">
        <w:t xml:space="preserve"> млн. лв. Планираните разходи със ЗДБРБ за 201</w:t>
      </w:r>
      <w:r w:rsidRPr="008503B4">
        <w:rPr>
          <w:lang w:val="ru-RU"/>
        </w:rPr>
        <w:t>3</w:t>
      </w:r>
      <w:r w:rsidRPr="008503B4">
        <w:t xml:space="preserve"> г. </w:t>
      </w:r>
      <w:r w:rsidRPr="002255D3">
        <w:rPr>
          <w:lang w:val="ru-RU"/>
        </w:rPr>
        <w:t>(</w:t>
      </w:r>
      <w:r w:rsidRPr="008503B4">
        <w:t>в т.ч. резерв за непредвидени и неотложни разходи</w:t>
      </w:r>
      <w:r w:rsidRPr="002255D3">
        <w:rPr>
          <w:lang w:val="ru-RU"/>
        </w:rPr>
        <w:t>)</w:t>
      </w:r>
      <w:r w:rsidRPr="008503B4">
        <w:t xml:space="preserve"> за министерства и ведомства в групата възлизат на </w:t>
      </w:r>
      <w:r w:rsidRPr="008503B4">
        <w:rPr>
          <w:lang w:val="ru-RU"/>
        </w:rPr>
        <w:t>162,1</w:t>
      </w:r>
      <w:r w:rsidRPr="008503B4">
        <w:t xml:space="preserve"> млн. </w:t>
      </w:r>
      <w:r w:rsidRPr="008503B4">
        <w:rPr>
          <w:bCs/>
        </w:rPr>
        <w:t xml:space="preserve">лв. В тази група разходи са планирани по бюджета на </w:t>
      </w:r>
      <w:r>
        <w:rPr>
          <w:bCs/>
        </w:rPr>
        <w:t>МТСП</w:t>
      </w:r>
      <w:r w:rsidRPr="008503B4">
        <w:rPr>
          <w:bCs/>
        </w:rPr>
        <w:t xml:space="preserve"> средствата за активните мерки на пазара на труда</w:t>
      </w:r>
      <w:r>
        <w:rPr>
          <w:bCs/>
        </w:rPr>
        <w:t xml:space="preserve"> </w:t>
      </w:r>
      <w:r w:rsidRPr="008503B4">
        <w:rPr>
          <w:bCs/>
        </w:rPr>
        <w:t>(73</w:t>
      </w:r>
      <w:r>
        <w:rPr>
          <w:bCs/>
        </w:rPr>
        <w:t>,</w:t>
      </w:r>
      <w:r w:rsidRPr="008503B4">
        <w:rPr>
          <w:bCs/>
        </w:rPr>
        <w:t xml:space="preserve">0 млн. лв.), с които се осигурява запазването и развитието на политиката по намаляване на безработицата, съхраняване и поддържане на работната сила. От тази група разходи се финансира и дейността на агенциите второстепенни разпоредители към министъра на труда и социалната политика, които са ангажирани с изпълнението на социалната политика като: Агенцията по заетостта, Агенцията за социално подпомагане, Държавната агенция за закрила на детето и др., както и разходи за издръжка на дейността на Дома на ветераните на културата и изкуствата към </w:t>
      </w:r>
      <w:r w:rsidRPr="000073B0">
        <w:rPr>
          <w:bCs/>
        </w:rPr>
        <w:t xml:space="preserve">Министерство на културата. </w:t>
      </w:r>
      <w:r w:rsidRPr="000073B0">
        <w:rPr>
          <w:lang w:val="ru-RU"/>
        </w:rPr>
        <w:t xml:space="preserve">Изразходваните средства за реализиране на активната политика по заетостта са в размер на 91,5 млн. лв., в т.ч. трансфери към министерства, ведомства и общини в размер на 44,1 млн. </w:t>
      </w:r>
      <w:r>
        <w:t>лева</w:t>
      </w:r>
      <w:r w:rsidRPr="000073B0">
        <w:rPr>
          <w:lang w:val="ru-RU"/>
        </w:rPr>
        <w:t>.</w:t>
      </w:r>
    </w:p>
    <w:p w:rsidR="000938C1" w:rsidRPr="000073B0" w:rsidRDefault="000938C1" w:rsidP="00F85C67">
      <w:pPr>
        <w:spacing w:after="120"/>
        <w:ind w:firstLine="539"/>
        <w:jc w:val="both"/>
      </w:pPr>
      <w:r w:rsidRPr="000073B0">
        <w:t>В тази функционална група са извършените разходите за усвояване на заем</w:t>
      </w:r>
      <w:r>
        <w:t>а</w:t>
      </w:r>
      <w:r w:rsidRPr="000073B0">
        <w:t xml:space="preserve"> от </w:t>
      </w:r>
      <w:r>
        <w:t xml:space="preserve">МБВР </w:t>
      </w:r>
      <w:r w:rsidRPr="000073B0">
        <w:t>за реализирането на проект „Социално включване”.</w:t>
      </w:r>
    </w:p>
    <w:p w:rsidR="000938C1" w:rsidRPr="00CF1A14" w:rsidRDefault="000938C1" w:rsidP="00F85C67">
      <w:pPr>
        <w:spacing w:after="120"/>
        <w:ind w:firstLine="539"/>
        <w:jc w:val="both"/>
        <w:rPr>
          <w:color w:val="0070C0"/>
        </w:rPr>
      </w:pPr>
      <w:r w:rsidRPr="000073B0">
        <w:t xml:space="preserve">По </w:t>
      </w:r>
      <w:r w:rsidRPr="000073B0">
        <w:rPr>
          <w:b/>
        </w:rPr>
        <w:t>бюджетите на общините</w:t>
      </w:r>
      <w:r w:rsidRPr="000073B0">
        <w:t xml:space="preserve"> с разчетите към ЗДБРБ за 2013 г. в група „Програми, дейности и служби по социалното осигуряване, подпомагане и заетостта” са предвидени средства в размер на 253,5 млн. лв. Изпълнението е 448,2 млн. лв., което представлява 176,8 % спрямо плана. Разходите по групата са предназначени за обезпечаване дейностите по социалното подпомаг</w:t>
      </w:r>
      <w:r w:rsidRPr="00C06D75">
        <w:t xml:space="preserve">ане и заетостта. Превишение на разходите спрямо разчета се отчита основно за </w:t>
      </w:r>
      <w:r w:rsidRPr="00C06D75">
        <w:rPr>
          <w:i/>
        </w:rPr>
        <w:t xml:space="preserve">делегираните от държавата дейности </w:t>
      </w:r>
      <w:r w:rsidRPr="00C06D75">
        <w:t xml:space="preserve">и се дължи на предоставени трансфери от МТСП на общините за изплащане на възнагражденията на работещите по програмите за временна заетост, на предоставените от централния бюджет средства за изплащане от държавата на присъдена издръжка и за компенсации на безплатни или по </w:t>
      </w:r>
      <w:r w:rsidRPr="007115AE">
        <w:t xml:space="preserve">намалени цени пътувания на определени категории правоимащи лица, както и на извършени социални разходи по решения на общинските съвети. Тук се отчитат разходите за средства за персонал и издръжка на специализираните институции за предоставяне на социални услуги </w:t>
      </w:r>
      <w:r w:rsidRPr="002255D3">
        <w:rPr>
          <w:lang w:val="ru-RU"/>
        </w:rPr>
        <w:t>(</w:t>
      </w:r>
      <w:r w:rsidRPr="007115AE">
        <w:t>домове за възрастни хора с увреждания, домове за стари хора и домове за деца</w:t>
      </w:r>
      <w:r w:rsidRPr="002255D3">
        <w:rPr>
          <w:lang w:val="ru-RU"/>
        </w:rPr>
        <w:t>)</w:t>
      </w:r>
      <w:r w:rsidRPr="007115AE">
        <w:t xml:space="preserve"> и на социалните услуги, предоставяни в общността </w:t>
      </w:r>
      <w:r w:rsidRPr="002255D3">
        <w:rPr>
          <w:lang w:val="ru-RU"/>
        </w:rPr>
        <w:t>(</w:t>
      </w:r>
      <w:r w:rsidRPr="007115AE">
        <w:t>дневни центрове за деца и възрастни хора с увреждания, центрове за социална рехабилитация и интеграция, за временно настаняване, за обществена подкрепа, за работа с деца на улицата, за настаняване от семеен тип и др</w:t>
      </w:r>
      <w:r w:rsidRPr="002255D3">
        <w:rPr>
          <w:lang w:val="ru-RU"/>
        </w:rPr>
        <w:t>.</w:t>
      </w:r>
      <w:r w:rsidRPr="007115AE">
        <w:t>, защитени, преходни и наблюдавани жилища, звена „Майка и бебе”, приюти</w:t>
      </w:r>
      <w:r w:rsidRPr="002255D3">
        <w:rPr>
          <w:lang w:val="ru-RU"/>
        </w:rPr>
        <w:t>)</w:t>
      </w:r>
      <w:r w:rsidRPr="007115AE">
        <w:t xml:space="preserve">. </w:t>
      </w:r>
    </w:p>
    <w:p w:rsidR="000938C1" w:rsidRPr="007115AE" w:rsidRDefault="000938C1" w:rsidP="00F85C67">
      <w:pPr>
        <w:pStyle w:val="BodyTextIndent"/>
        <w:widowControl w:val="0"/>
        <w:ind w:left="0" w:firstLine="540"/>
        <w:jc w:val="both"/>
        <w:rPr>
          <w:lang w:val="bg-BG"/>
        </w:rPr>
      </w:pPr>
      <w:r w:rsidRPr="007115AE">
        <w:rPr>
          <w:lang w:val="bg-BG"/>
        </w:rPr>
        <w:t>През 201</w:t>
      </w:r>
      <w:r w:rsidRPr="002255D3">
        <w:rPr>
          <w:lang w:val="ru-RU"/>
        </w:rPr>
        <w:t>3</w:t>
      </w:r>
      <w:r w:rsidRPr="007115AE">
        <w:rPr>
          <w:lang w:val="bg-BG"/>
        </w:rPr>
        <w:t xml:space="preserve"> г. общините са дофинансирали със собствени приходи разходи в размер на </w:t>
      </w:r>
      <w:r w:rsidRPr="002255D3">
        <w:rPr>
          <w:lang w:val="ru-RU"/>
        </w:rPr>
        <w:t>6</w:t>
      </w:r>
      <w:r>
        <w:rPr>
          <w:lang w:val="ru-RU"/>
        </w:rPr>
        <w:t>,</w:t>
      </w:r>
      <w:r w:rsidRPr="002255D3">
        <w:rPr>
          <w:lang w:val="ru-RU"/>
        </w:rPr>
        <w:t>1</w:t>
      </w:r>
      <w:r w:rsidRPr="007115AE">
        <w:rPr>
          <w:lang w:val="bg-BG"/>
        </w:rPr>
        <w:t xml:space="preserve"> млн. </w:t>
      </w:r>
      <w:r w:rsidRPr="002255D3">
        <w:rPr>
          <w:lang w:val="ru-RU"/>
        </w:rPr>
        <w:t>лева</w:t>
      </w:r>
      <w:r w:rsidRPr="007115AE">
        <w:rPr>
          <w:lang w:val="bg-BG"/>
        </w:rPr>
        <w:t xml:space="preserve">. </w:t>
      </w:r>
    </w:p>
    <w:p w:rsidR="000938C1" w:rsidRPr="00F74EF9" w:rsidRDefault="000938C1" w:rsidP="00F85C67">
      <w:pPr>
        <w:pStyle w:val="BodyTextIndent"/>
        <w:widowControl w:val="0"/>
        <w:ind w:left="0" w:firstLine="540"/>
        <w:jc w:val="both"/>
        <w:rPr>
          <w:lang w:val="bg-BG"/>
        </w:rPr>
      </w:pPr>
      <w:r w:rsidRPr="002843B1">
        <w:rPr>
          <w:lang w:val="bg-BG"/>
        </w:rPr>
        <w:t xml:space="preserve">Отчетените текущи разходи за </w:t>
      </w:r>
      <w:r w:rsidRPr="002843B1">
        <w:rPr>
          <w:i/>
          <w:lang w:val="bg-BG"/>
        </w:rPr>
        <w:t>местни дейности</w:t>
      </w:r>
      <w:r w:rsidRPr="002843B1">
        <w:rPr>
          <w:lang w:val="bg-BG"/>
        </w:rPr>
        <w:t xml:space="preserve"> са в размер на </w:t>
      </w:r>
      <w:r>
        <w:rPr>
          <w:lang w:val="ru-RU"/>
        </w:rPr>
        <w:t>170,7</w:t>
      </w:r>
      <w:r w:rsidRPr="002843B1">
        <w:rPr>
          <w:lang w:val="bg-BG"/>
        </w:rPr>
        <w:t xml:space="preserve"> млн. лв. В</w:t>
      </w:r>
      <w:r w:rsidRPr="00F74EF9">
        <w:rPr>
          <w:lang w:val="bg-BG"/>
        </w:rPr>
        <w:t xml:space="preserve"> местните дейности по тази група се отчитат разходите за домашен социален патронаж, трапезарии, клубове на пенсионера, инвалида, както и средства по решения на общинските съвети за обезщетения, помощи с цел подпомагане на определени категории от населението за улесняване на достъпа им до предоставяните публични услуги.</w:t>
      </w:r>
    </w:p>
    <w:p w:rsidR="000938C1" w:rsidRPr="00673D4D" w:rsidRDefault="000938C1" w:rsidP="00F85C67">
      <w:pPr>
        <w:pStyle w:val="BodyTextIndent"/>
        <w:widowControl w:val="0"/>
        <w:ind w:left="0" w:firstLine="540"/>
        <w:jc w:val="both"/>
        <w:rPr>
          <w:lang w:val="bg-BG"/>
        </w:rPr>
      </w:pPr>
      <w:r w:rsidRPr="00673D4D">
        <w:rPr>
          <w:b/>
          <w:lang w:val="bg-BG"/>
        </w:rPr>
        <w:t>Европейски средства</w:t>
      </w:r>
      <w:r w:rsidRPr="00673D4D">
        <w:rPr>
          <w:lang w:val="bg-BG"/>
        </w:rPr>
        <w:t xml:space="preserve"> – в група „Програми, дейности и служби по социалното осигуряване, подпомагане и заетостта” </w:t>
      </w:r>
      <w:r w:rsidRPr="00F44092">
        <w:rPr>
          <w:lang w:val="bg-BG"/>
        </w:rPr>
        <w:t>и</w:t>
      </w:r>
      <w:r w:rsidRPr="00673D4D">
        <w:rPr>
          <w:lang w:val="bg-BG"/>
        </w:rPr>
        <w:t>зразходваните средства са 478,0 млн. лв., основно по следните програми:</w:t>
      </w:r>
    </w:p>
    <w:p w:rsidR="000938C1" w:rsidRPr="00F44092" w:rsidRDefault="000938C1" w:rsidP="00F85C67">
      <w:pPr>
        <w:autoSpaceDE w:val="0"/>
        <w:autoSpaceDN w:val="0"/>
        <w:adjustRightInd w:val="0"/>
        <w:jc w:val="both"/>
      </w:pPr>
      <w:r w:rsidRPr="00F44092">
        <w:rPr>
          <w:b/>
          <w:i/>
        </w:rPr>
        <w:t>Оперативна програма „Развитие на човешките ресурси</w:t>
      </w:r>
      <w:r w:rsidRPr="00F44092">
        <w:t>” (413,6 млн. лв.).</w:t>
      </w:r>
      <w:r>
        <w:t xml:space="preserve"> </w:t>
      </w:r>
      <w:r w:rsidRPr="00F44092">
        <w:t>Програмата цели да се подобри качеството на живот на хората в България чрез подобряване на човешкия капитал, постигане на високи нива на заетост, повишаване на производителността</w:t>
      </w:r>
      <w:r w:rsidRPr="00C025DA">
        <w:t>, достъп до качествено образование и учене през целия живот и засилване на социалното включване. Програмата финансира дейности за развитие на пазара на труда, увеличаване на адаптивността на заетите, развитие на социалната икономика, транснационално и междурегионално сътрудничество. Специално внимание се отделя на засилването на активните и превантивните мерки на пазара на труда с цел преодоляване на препятствията при навлизане на пазара на труда и оставане там и с цел насърчаване на мобилността на търсещите работа лица, безработните и неактивните, по-възрастните работници, както и тези, изправени пред риск от безработица, и най-вече на младите хора. Основна част от дейностите по програмата са насочени към достъпа до заетост на младите хора</w:t>
      </w:r>
      <w:r w:rsidRPr="00D35E67">
        <w:t xml:space="preserve"> чрез облекчаване прехода от образование към работа, включително чрез професионално ориентиране, подпомагане за завършване на образование, достъп до подходящо обучение и стажуване, както и на удължаване на трудовия живот на по-възрастните с акцент върху обучение и заетост,</w:t>
      </w:r>
      <w:r w:rsidRPr="00F44092">
        <w:t xml:space="preserve"> подобряване на условията на труд и опазване здравето на работниците и служителите. Важен приоритет е и осигуряването на пазар на труда, насърчаващ включването на хора в неравностойно положение или изправени пред риск от социално изключване. Бенефициенти на програмата са образователни институции, консултантски фирми, работодатели, браншови организации, социално-икономически партньори, неправителствени организации, центрове за информация и професионално обучение.</w:t>
      </w:r>
    </w:p>
    <w:p w:rsidR="000938C1" w:rsidRPr="00F44092" w:rsidRDefault="000938C1" w:rsidP="00F85C67">
      <w:pPr>
        <w:tabs>
          <w:tab w:val="left" w:pos="540"/>
          <w:tab w:val="left" w:pos="720"/>
        </w:tabs>
        <w:autoSpaceDE w:val="0"/>
        <w:autoSpaceDN w:val="0"/>
        <w:adjustRightInd w:val="0"/>
        <w:spacing w:before="120"/>
        <w:ind w:firstLine="540"/>
        <w:jc w:val="both"/>
      </w:pPr>
      <w:r w:rsidRPr="00F44092">
        <w:rPr>
          <w:b/>
          <w:i/>
        </w:rPr>
        <w:t>Оперативна програма „Регионално развитие</w:t>
      </w:r>
      <w:r w:rsidRPr="00F44092">
        <w:t xml:space="preserve">” (57,8 млн. лв.) - чрез тази оперативна програма в частта на дейности по социалното осигуряване, подпомагане и заетост се цели създаване на  условия за развитие и трудова заетост, особено в отдалечените райони. </w:t>
      </w:r>
    </w:p>
    <w:p w:rsidR="000938C1" w:rsidRPr="006E3E53" w:rsidRDefault="000938C1" w:rsidP="00F30F79">
      <w:pPr>
        <w:pStyle w:val="Heading3"/>
        <w:numPr>
          <w:ilvl w:val="2"/>
          <w:numId w:val="72"/>
        </w:numPr>
        <w:rPr>
          <w:rFonts w:ascii="Times New Roman" w:hAnsi="Times New Roman"/>
          <w:sz w:val="24"/>
          <w:lang w:val="bg-BG"/>
        </w:rPr>
      </w:pPr>
      <w:bookmarkStart w:id="224" w:name="_Toc261276591"/>
      <w:bookmarkStart w:id="225" w:name="_Toc324863427"/>
      <w:bookmarkStart w:id="226" w:name="_Toc326315919"/>
      <w:bookmarkStart w:id="227" w:name="_Toc393728078"/>
      <w:r w:rsidRPr="006E3E53">
        <w:rPr>
          <w:rFonts w:ascii="Times New Roman" w:hAnsi="Times New Roman"/>
          <w:sz w:val="24"/>
          <w:lang w:val="bg-BG"/>
        </w:rPr>
        <w:t>Жилищно строителство, благоустройство, комунално стопанство и опазване на околната среда</w:t>
      </w:r>
      <w:bookmarkEnd w:id="224"/>
      <w:bookmarkEnd w:id="225"/>
      <w:bookmarkEnd w:id="226"/>
      <w:bookmarkEnd w:id="227"/>
    </w:p>
    <w:p w:rsidR="000938C1" w:rsidRPr="00CF1A14" w:rsidRDefault="000938C1" w:rsidP="00F85C67">
      <w:pPr>
        <w:jc w:val="both"/>
        <w:rPr>
          <w:color w:val="0070C0"/>
          <w:sz w:val="12"/>
          <w:szCs w:val="12"/>
        </w:rPr>
      </w:pPr>
    </w:p>
    <w:p w:rsidR="000938C1" w:rsidRPr="006E3E53" w:rsidRDefault="000938C1" w:rsidP="00F85C67">
      <w:pPr>
        <w:ind w:firstLine="540"/>
        <w:jc w:val="both"/>
      </w:pPr>
      <w:r w:rsidRPr="006E3E53">
        <w:t xml:space="preserve">Основната част от разходите във функцията са </w:t>
      </w:r>
      <w:r w:rsidRPr="006E3E53">
        <w:rPr>
          <w:iCs/>
        </w:rPr>
        <w:t>предназначени за поддържане и изграждане на техническата инфраструктура и предоставяне на публични услуги на населението, свързани с дейностите по опазване на чистотата, водоснабдяване и канализация, озеленяване и други дейности от обществен интерес</w:t>
      </w:r>
      <w:r w:rsidRPr="006E3E53">
        <w:t>.</w:t>
      </w:r>
    </w:p>
    <w:p w:rsidR="000938C1" w:rsidRPr="00CF1A14" w:rsidRDefault="000938C1" w:rsidP="00F85C67">
      <w:pPr>
        <w:jc w:val="both"/>
        <w:rPr>
          <w:color w:val="0070C0"/>
          <w:sz w:val="12"/>
          <w:szCs w:val="12"/>
        </w:rPr>
      </w:pPr>
    </w:p>
    <w:p w:rsidR="000938C1" w:rsidRPr="006E3E53" w:rsidRDefault="000938C1" w:rsidP="00F85C67">
      <w:pPr>
        <w:ind w:firstLine="8100"/>
        <w:rPr>
          <w:b/>
          <w:sz w:val="18"/>
          <w:szCs w:val="18"/>
        </w:rPr>
      </w:pPr>
      <w:r w:rsidRPr="006E3E53">
        <w:rPr>
          <w:b/>
          <w:sz w:val="18"/>
          <w:szCs w:val="18"/>
        </w:rPr>
        <w:t>(млн. лв.)</w:t>
      </w:r>
    </w:p>
    <w:tbl>
      <w:tblPr>
        <w:tblW w:w="10728" w:type="dxa"/>
        <w:tblInd w:w="-834" w:type="dxa"/>
        <w:tblLayout w:type="fixed"/>
        <w:tblCellMar>
          <w:left w:w="70" w:type="dxa"/>
          <w:right w:w="70" w:type="dxa"/>
        </w:tblCellMar>
        <w:tblLook w:val="0000"/>
      </w:tblPr>
      <w:tblGrid>
        <w:gridCol w:w="4680"/>
        <w:gridCol w:w="770"/>
        <w:gridCol w:w="691"/>
        <w:gridCol w:w="1011"/>
        <w:gridCol w:w="845"/>
        <w:gridCol w:w="1080"/>
        <w:gridCol w:w="700"/>
        <w:gridCol w:w="951"/>
      </w:tblGrid>
      <w:tr w:rsidR="000938C1" w:rsidRPr="00E65B0D" w:rsidTr="009E1415">
        <w:trPr>
          <w:trHeight w:val="660"/>
        </w:trPr>
        <w:tc>
          <w:tcPr>
            <w:tcW w:w="4680"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ОТЧЕТ 2013 г.</w:t>
            </w:r>
          </w:p>
        </w:tc>
        <w:tc>
          <w:tcPr>
            <w:tcW w:w="770"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КФП</w:t>
            </w:r>
          </w:p>
        </w:tc>
        <w:tc>
          <w:tcPr>
            <w:tcW w:w="691" w:type="dxa"/>
            <w:tcBorders>
              <w:top w:val="double" w:sz="6" w:space="0" w:color="800000"/>
              <w:left w:val="nil"/>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20"/>
                <w:szCs w:val="20"/>
              </w:rPr>
            </w:pPr>
            <w:r w:rsidRPr="00F85C67">
              <w:rPr>
                <w:b/>
                <w:bCs/>
                <w:color w:val="FFFFFF"/>
                <w:sz w:val="20"/>
                <w:szCs w:val="20"/>
              </w:rPr>
              <w:t>РБ</w:t>
            </w:r>
          </w:p>
        </w:tc>
        <w:tc>
          <w:tcPr>
            <w:tcW w:w="1011"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Общини</w:t>
            </w:r>
          </w:p>
        </w:tc>
        <w:tc>
          <w:tcPr>
            <w:tcW w:w="845" w:type="dxa"/>
            <w:tcBorders>
              <w:top w:val="double" w:sz="6" w:space="0" w:color="800000"/>
              <w:left w:val="nil"/>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20"/>
                <w:szCs w:val="20"/>
              </w:rPr>
            </w:pPr>
            <w:r w:rsidRPr="00F85C67">
              <w:rPr>
                <w:b/>
                <w:bCs/>
                <w:color w:val="FFFFFF"/>
                <w:sz w:val="20"/>
                <w:szCs w:val="20"/>
              </w:rPr>
              <w:t>ИБСФ</w:t>
            </w:r>
          </w:p>
        </w:tc>
        <w:tc>
          <w:tcPr>
            <w:tcW w:w="1080"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20"/>
                <w:szCs w:val="20"/>
              </w:rPr>
            </w:pPr>
            <w:r w:rsidRPr="00F85C67">
              <w:rPr>
                <w:b/>
                <w:bCs/>
                <w:color w:val="FFFFFF"/>
                <w:sz w:val="20"/>
                <w:szCs w:val="20"/>
              </w:rPr>
              <w:t xml:space="preserve">Предприс. </w:t>
            </w:r>
          </w:p>
          <w:p w:rsidR="000938C1" w:rsidRPr="00F85C67" w:rsidRDefault="000938C1" w:rsidP="009E1415">
            <w:pPr>
              <w:jc w:val="center"/>
              <w:rPr>
                <w:b/>
                <w:bCs/>
                <w:color w:val="FFFFFF"/>
                <w:sz w:val="16"/>
                <w:szCs w:val="16"/>
              </w:rPr>
            </w:pPr>
            <w:r w:rsidRPr="00F85C67">
              <w:rPr>
                <w:b/>
                <w:bCs/>
                <w:color w:val="FFFFFF"/>
                <w:sz w:val="20"/>
                <w:szCs w:val="20"/>
              </w:rPr>
              <w:t>програми</w:t>
            </w:r>
          </w:p>
        </w:tc>
        <w:tc>
          <w:tcPr>
            <w:tcW w:w="700" w:type="dxa"/>
            <w:tcBorders>
              <w:top w:val="double" w:sz="6" w:space="0" w:color="800000"/>
              <w:left w:val="nil"/>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Европ. ср-ва</w:t>
            </w:r>
          </w:p>
        </w:tc>
        <w:tc>
          <w:tcPr>
            <w:tcW w:w="951" w:type="dxa"/>
            <w:tcBorders>
              <w:top w:val="double" w:sz="6" w:space="0" w:color="800000"/>
              <w:left w:val="nil"/>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6"/>
                <w:szCs w:val="16"/>
              </w:rPr>
            </w:pPr>
            <w:r w:rsidRPr="00F85C67">
              <w:rPr>
                <w:b/>
                <w:bCs/>
                <w:color w:val="FFFFFF"/>
                <w:sz w:val="16"/>
                <w:szCs w:val="16"/>
              </w:rPr>
              <w:t>ПУДООС</w:t>
            </w:r>
          </w:p>
        </w:tc>
      </w:tr>
      <w:tr w:rsidR="000938C1" w:rsidRPr="00CF1A14" w:rsidTr="009E1415">
        <w:trPr>
          <w:trHeight w:val="463"/>
        </w:trPr>
        <w:tc>
          <w:tcPr>
            <w:tcW w:w="4680" w:type="dxa"/>
            <w:tcBorders>
              <w:top w:val="double" w:sz="6" w:space="0" w:color="800000"/>
              <w:left w:val="double" w:sz="6" w:space="0" w:color="800000"/>
              <w:bottom w:val="nil"/>
              <w:right w:val="single" w:sz="4" w:space="0" w:color="800000"/>
            </w:tcBorders>
            <w:shd w:val="clear" w:color="auto" w:fill="FFFFCC"/>
            <w:noWrap/>
            <w:vAlign w:val="bottom"/>
          </w:tcPr>
          <w:p w:rsidR="000938C1" w:rsidRPr="00E65B0D" w:rsidRDefault="000938C1" w:rsidP="009E1415">
            <w:pPr>
              <w:rPr>
                <w:b/>
                <w:bCs/>
                <w:sz w:val="17"/>
                <w:szCs w:val="17"/>
              </w:rPr>
            </w:pPr>
            <w:r w:rsidRPr="00E65B0D">
              <w:rPr>
                <w:b/>
                <w:bCs/>
                <w:sz w:val="17"/>
                <w:szCs w:val="17"/>
              </w:rPr>
              <w:t>VІ. ЖИЛИЩНО СТРОИТЕЛСТВО, БЛАГОУСТРОЙСТВО, КОМУНАЛНО СТОПАНСТВО И ОПАЗВАНЕ НА ОКОЛНАТА СРЕДА</w:t>
            </w:r>
          </w:p>
        </w:tc>
        <w:tc>
          <w:tcPr>
            <w:tcW w:w="770"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1 851,0</w:t>
            </w:r>
          </w:p>
        </w:tc>
        <w:tc>
          <w:tcPr>
            <w:tcW w:w="691"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97,9</w:t>
            </w:r>
          </w:p>
        </w:tc>
        <w:tc>
          <w:tcPr>
            <w:tcW w:w="1011"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902,9</w:t>
            </w:r>
          </w:p>
        </w:tc>
        <w:tc>
          <w:tcPr>
            <w:tcW w:w="845"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6,8</w:t>
            </w:r>
          </w:p>
        </w:tc>
        <w:tc>
          <w:tcPr>
            <w:tcW w:w="1080"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1,8</w:t>
            </w:r>
          </w:p>
        </w:tc>
        <w:tc>
          <w:tcPr>
            <w:tcW w:w="700" w:type="dxa"/>
            <w:tcBorders>
              <w:top w:val="double" w:sz="6" w:space="0" w:color="800000"/>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837,5</w:t>
            </w:r>
          </w:p>
        </w:tc>
        <w:tc>
          <w:tcPr>
            <w:tcW w:w="951" w:type="dxa"/>
            <w:tcBorders>
              <w:top w:val="double" w:sz="6" w:space="0" w:color="800000"/>
              <w:left w:val="single" w:sz="4" w:space="0" w:color="800000"/>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4,1</w:t>
            </w:r>
          </w:p>
        </w:tc>
      </w:tr>
      <w:tr w:rsidR="000938C1" w:rsidRPr="00CF1A14" w:rsidTr="009E1415">
        <w:trPr>
          <w:trHeight w:val="255"/>
        </w:trPr>
        <w:tc>
          <w:tcPr>
            <w:tcW w:w="4680" w:type="dxa"/>
            <w:tcBorders>
              <w:top w:val="nil"/>
              <w:left w:val="double" w:sz="6" w:space="0" w:color="800000"/>
              <w:bottom w:val="nil"/>
              <w:right w:val="single" w:sz="4" w:space="0" w:color="800000"/>
            </w:tcBorders>
            <w:shd w:val="clear" w:color="auto" w:fill="FFFFCC"/>
            <w:noWrap/>
            <w:vAlign w:val="bottom"/>
          </w:tcPr>
          <w:p w:rsidR="000938C1" w:rsidRPr="00E65B0D" w:rsidRDefault="000938C1" w:rsidP="009E1415">
            <w:pPr>
              <w:rPr>
                <w:b/>
                <w:bCs/>
                <w:sz w:val="17"/>
                <w:szCs w:val="17"/>
              </w:rPr>
            </w:pPr>
            <w:r w:rsidRPr="00E65B0D">
              <w:rPr>
                <w:b/>
                <w:bCs/>
                <w:sz w:val="17"/>
                <w:szCs w:val="17"/>
              </w:rPr>
              <w:t xml:space="preserve">   А. ЖИЛИЩНО СТРОИТЕЛСТВО, БЛАГОУСТРОЙСТВО, КОМУНАЛНО СТОПАНСТВО</w:t>
            </w:r>
          </w:p>
        </w:tc>
        <w:tc>
          <w:tcPr>
            <w:tcW w:w="77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1 068,5</w:t>
            </w:r>
          </w:p>
        </w:tc>
        <w:tc>
          <w:tcPr>
            <w:tcW w:w="691"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51,6</w:t>
            </w:r>
          </w:p>
        </w:tc>
        <w:tc>
          <w:tcPr>
            <w:tcW w:w="1011"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390,2</w:t>
            </w:r>
          </w:p>
        </w:tc>
        <w:tc>
          <w:tcPr>
            <w:tcW w:w="845"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6,1</w:t>
            </w:r>
          </w:p>
        </w:tc>
        <w:tc>
          <w:tcPr>
            <w:tcW w:w="108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700"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620,6</w:t>
            </w:r>
          </w:p>
        </w:tc>
        <w:tc>
          <w:tcPr>
            <w:tcW w:w="951" w:type="dxa"/>
            <w:tcBorders>
              <w:top w:val="nil"/>
              <w:left w:val="single" w:sz="4" w:space="0" w:color="800000"/>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r>
      <w:tr w:rsidR="000938C1" w:rsidRPr="00CF1A14" w:rsidTr="009E1415">
        <w:trPr>
          <w:trHeight w:val="145"/>
        </w:trPr>
        <w:tc>
          <w:tcPr>
            <w:tcW w:w="4680" w:type="dxa"/>
            <w:tcBorders>
              <w:top w:val="nil"/>
              <w:left w:val="double" w:sz="6" w:space="0" w:color="800000"/>
              <w:bottom w:val="nil"/>
              <w:right w:val="single" w:sz="4" w:space="0" w:color="800000"/>
            </w:tcBorders>
            <w:shd w:val="clear" w:color="auto" w:fill="FFFFCC"/>
            <w:noWrap/>
            <w:vAlign w:val="bottom"/>
          </w:tcPr>
          <w:p w:rsidR="000938C1" w:rsidRPr="00E65B0D" w:rsidRDefault="000938C1" w:rsidP="009E1415">
            <w:pPr>
              <w:rPr>
                <w:sz w:val="17"/>
                <w:szCs w:val="17"/>
              </w:rPr>
            </w:pPr>
            <w:r w:rsidRPr="00E65B0D">
              <w:rPr>
                <w:sz w:val="17"/>
                <w:szCs w:val="17"/>
              </w:rPr>
              <w:t xml:space="preserve">   Текущи нелихвени разходи</w:t>
            </w:r>
          </w:p>
        </w:tc>
        <w:tc>
          <w:tcPr>
            <w:tcW w:w="77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276,5</w:t>
            </w:r>
          </w:p>
        </w:tc>
        <w:tc>
          <w:tcPr>
            <w:tcW w:w="69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21,9</w:t>
            </w:r>
          </w:p>
        </w:tc>
        <w:tc>
          <w:tcPr>
            <w:tcW w:w="101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226,4</w:t>
            </w:r>
          </w:p>
        </w:tc>
        <w:tc>
          <w:tcPr>
            <w:tcW w:w="84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0,2</w:t>
            </w:r>
          </w:p>
        </w:tc>
        <w:tc>
          <w:tcPr>
            <w:tcW w:w="108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0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28,0</w:t>
            </w:r>
          </w:p>
        </w:tc>
        <w:tc>
          <w:tcPr>
            <w:tcW w:w="951" w:type="dxa"/>
            <w:tcBorders>
              <w:top w:val="nil"/>
              <w:left w:val="single" w:sz="4" w:space="0" w:color="800000"/>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80"/>
        </w:trPr>
        <w:tc>
          <w:tcPr>
            <w:tcW w:w="4680" w:type="dxa"/>
            <w:tcBorders>
              <w:top w:val="nil"/>
              <w:left w:val="double" w:sz="6" w:space="0" w:color="800000"/>
              <w:bottom w:val="nil"/>
              <w:right w:val="single" w:sz="4" w:space="0" w:color="800000"/>
            </w:tcBorders>
            <w:shd w:val="clear" w:color="auto" w:fill="FFFFCC"/>
            <w:noWrap/>
            <w:vAlign w:val="bottom"/>
          </w:tcPr>
          <w:p w:rsidR="000938C1" w:rsidRPr="00E65B0D" w:rsidRDefault="000938C1" w:rsidP="009E1415">
            <w:pPr>
              <w:rPr>
                <w:sz w:val="17"/>
                <w:szCs w:val="17"/>
              </w:rPr>
            </w:pPr>
            <w:r w:rsidRPr="00E65B0D">
              <w:rPr>
                <w:sz w:val="17"/>
                <w:szCs w:val="17"/>
              </w:rPr>
              <w:t xml:space="preserve">   Капиталови разходи</w:t>
            </w:r>
          </w:p>
        </w:tc>
        <w:tc>
          <w:tcPr>
            <w:tcW w:w="77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792,0</w:t>
            </w:r>
          </w:p>
        </w:tc>
        <w:tc>
          <w:tcPr>
            <w:tcW w:w="69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29,7</w:t>
            </w:r>
          </w:p>
        </w:tc>
        <w:tc>
          <w:tcPr>
            <w:tcW w:w="101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163,8</w:t>
            </w:r>
          </w:p>
        </w:tc>
        <w:tc>
          <w:tcPr>
            <w:tcW w:w="84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5,9</w:t>
            </w:r>
          </w:p>
        </w:tc>
        <w:tc>
          <w:tcPr>
            <w:tcW w:w="108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00" w:type="dxa"/>
            <w:tcBorders>
              <w:top w:val="nil"/>
              <w:left w:val="nil"/>
              <w:bottom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592,6</w:t>
            </w:r>
          </w:p>
        </w:tc>
        <w:tc>
          <w:tcPr>
            <w:tcW w:w="951" w:type="dxa"/>
            <w:tcBorders>
              <w:top w:val="nil"/>
              <w:left w:val="single" w:sz="4" w:space="0" w:color="800000"/>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CF1A14" w:rsidTr="009E1415">
        <w:trPr>
          <w:trHeight w:val="80"/>
        </w:trPr>
        <w:tc>
          <w:tcPr>
            <w:tcW w:w="4680" w:type="dxa"/>
            <w:tcBorders>
              <w:top w:val="nil"/>
              <w:left w:val="double" w:sz="6" w:space="0" w:color="800000"/>
              <w:bottom w:val="nil"/>
              <w:right w:val="single" w:sz="4" w:space="0" w:color="800000"/>
            </w:tcBorders>
            <w:shd w:val="clear" w:color="auto" w:fill="FFFFCC"/>
            <w:noWrap/>
            <w:vAlign w:val="bottom"/>
          </w:tcPr>
          <w:p w:rsidR="000938C1" w:rsidRPr="00E65B0D" w:rsidRDefault="000938C1" w:rsidP="009E1415">
            <w:pPr>
              <w:rPr>
                <w:b/>
                <w:bCs/>
                <w:sz w:val="17"/>
                <w:szCs w:val="17"/>
              </w:rPr>
            </w:pPr>
            <w:r w:rsidRPr="00E65B0D">
              <w:rPr>
                <w:b/>
                <w:bCs/>
                <w:sz w:val="17"/>
                <w:szCs w:val="17"/>
              </w:rPr>
              <w:t xml:space="preserve">  Б. ОПАЗВАНЕ НА ОКОЛНАТА СРЕДА</w:t>
            </w:r>
          </w:p>
        </w:tc>
        <w:tc>
          <w:tcPr>
            <w:tcW w:w="77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782,5</w:t>
            </w:r>
          </w:p>
        </w:tc>
        <w:tc>
          <w:tcPr>
            <w:tcW w:w="691"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46,2</w:t>
            </w:r>
          </w:p>
        </w:tc>
        <w:tc>
          <w:tcPr>
            <w:tcW w:w="1011"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512,8</w:t>
            </w:r>
          </w:p>
        </w:tc>
        <w:tc>
          <w:tcPr>
            <w:tcW w:w="845"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0,8</w:t>
            </w:r>
          </w:p>
        </w:tc>
        <w:tc>
          <w:tcPr>
            <w:tcW w:w="108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1,8</w:t>
            </w:r>
          </w:p>
        </w:tc>
        <w:tc>
          <w:tcPr>
            <w:tcW w:w="700" w:type="dxa"/>
            <w:tcBorders>
              <w:top w:val="nil"/>
              <w:left w:val="nil"/>
              <w:bottom w:val="nil"/>
              <w:right w:val="single" w:sz="4" w:space="0" w:color="800000"/>
            </w:tcBorders>
            <w:shd w:val="clear" w:color="auto" w:fill="FFFFCC"/>
            <w:vAlign w:val="bottom"/>
          </w:tcPr>
          <w:p w:rsidR="000938C1" w:rsidRDefault="000938C1">
            <w:pPr>
              <w:jc w:val="right"/>
              <w:rPr>
                <w:b/>
                <w:bCs/>
                <w:color w:val="000000"/>
                <w:sz w:val="18"/>
                <w:szCs w:val="18"/>
              </w:rPr>
            </w:pPr>
            <w:r>
              <w:rPr>
                <w:b/>
                <w:bCs/>
                <w:color w:val="000000"/>
                <w:sz w:val="18"/>
                <w:szCs w:val="18"/>
              </w:rPr>
              <w:t>216,9</w:t>
            </w:r>
          </w:p>
        </w:tc>
        <w:tc>
          <w:tcPr>
            <w:tcW w:w="951" w:type="dxa"/>
            <w:tcBorders>
              <w:top w:val="nil"/>
              <w:left w:val="single" w:sz="4" w:space="0" w:color="800000"/>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4,1</w:t>
            </w:r>
          </w:p>
        </w:tc>
      </w:tr>
      <w:tr w:rsidR="000938C1" w:rsidRPr="00CF1A14" w:rsidTr="009E1415">
        <w:trPr>
          <w:trHeight w:val="138"/>
        </w:trPr>
        <w:tc>
          <w:tcPr>
            <w:tcW w:w="4680" w:type="dxa"/>
            <w:tcBorders>
              <w:top w:val="nil"/>
              <w:left w:val="double" w:sz="6" w:space="0" w:color="800000"/>
              <w:bottom w:val="nil"/>
              <w:right w:val="single" w:sz="4" w:space="0" w:color="800000"/>
            </w:tcBorders>
            <w:shd w:val="clear" w:color="auto" w:fill="FFFFCC"/>
            <w:noWrap/>
            <w:vAlign w:val="bottom"/>
          </w:tcPr>
          <w:p w:rsidR="000938C1" w:rsidRPr="00E65B0D" w:rsidRDefault="000938C1" w:rsidP="009E1415">
            <w:pPr>
              <w:rPr>
                <w:sz w:val="17"/>
                <w:szCs w:val="17"/>
              </w:rPr>
            </w:pPr>
            <w:r w:rsidRPr="00E65B0D">
              <w:rPr>
                <w:sz w:val="17"/>
                <w:szCs w:val="17"/>
              </w:rPr>
              <w:t xml:space="preserve">   Текущи нелихвени разходи</w:t>
            </w:r>
          </w:p>
        </w:tc>
        <w:tc>
          <w:tcPr>
            <w:tcW w:w="77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528,0</w:t>
            </w:r>
          </w:p>
        </w:tc>
        <w:tc>
          <w:tcPr>
            <w:tcW w:w="69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32,3</w:t>
            </w:r>
          </w:p>
        </w:tc>
        <w:tc>
          <w:tcPr>
            <w:tcW w:w="1011"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449,3</w:t>
            </w:r>
          </w:p>
        </w:tc>
        <w:tc>
          <w:tcPr>
            <w:tcW w:w="845"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0,3</w:t>
            </w:r>
          </w:p>
        </w:tc>
        <w:tc>
          <w:tcPr>
            <w:tcW w:w="108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0,9</w:t>
            </w:r>
          </w:p>
        </w:tc>
        <w:tc>
          <w:tcPr>
            <w:tcW w:w="700" w:type="dxa"/>
            <w:tcBorders>
              <w:top w:val="nil"/>
              <w:left w:val="nil"/>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41,2</w:t>
            </w:r>
          </w:p>
        </w:tc>
        <w:tc>
          <w:tcPr>
            <w:tcW w:w="951" w:type="dxa"/>
            <w:tcBorders>
              <w:top w:val="nil"/>
              <w:left w:val="single" w:sz="4" w:space="0" w:color="800000"/>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4,0</w:t>
            </w:r>
          </w:p>
        </w:tc>
      </w:tr>
      <w:tr w:rsidR="000938C1" w:rsidRPr="00CF1A14" w:rsidTr="009E1415">
        <w:trPr>
          <w:trHeight w:val="180"/>
        </w:trPr>
        <w:tc>
          <w:tcPr>
            <w:tcW w:w="4680" w:type="dxa"/>
            <w:tcBorders>
              <w:top w:val="nil"/>
              <w:left w:val="double" w:sz="6" w:space="0" w:color="800000"/>
              <w:bottom w:val="double" w:sz="6" w:space="0" w:color="800000"/>
              <w:right w:val="single" w:sz="4" w:space="0" w:color="800000"/>
            </w:tcBorders>
            <w:shd w:val="clear" w:color="auto" w:fill="FFFFCC"/>
            <w:noWrap/>
            <w:vAlign w:val="bottom"/>
          </w:tcPr>
          <w:p w:rsidR="000938C1" w:rsidRPr="00E65B0D" w:rsidRDefault="000938C1" w:rsidP="009E1415">
            <w:pPr>
              <w:rPr>
                <w:sz w:val="17"/>
                <w:szCs w:val="17"/>
              </w:rPr>
            </w:pPr>
            <w:r w:rsidRPr="00E65B0D">
              <w:rPr>
                <w:sz w:val="17"/>
                <w:szCs w:val="17"/>
              </w:rPr>
              <w:t xml:space="preserve">   Капиталови разходи</w:t>
            </w:r>
          </w:p>
        </w:tc>
        <w:tc>
          <w:tcPr>
            <w:tcW w:w="77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254,5</w:t>
            </w:r>
          </w:p>
        </w:tc>
        <w:tc>
          <w:tcPr>
            <w:tcW w:w="691"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13,9</w:t>
            </w:r>
          </w:p>
        </w:tc>
        <w:tc>
          <w:tcPr>
            <w:tcW w:w="1011"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63,5</w:t>
            </w:r>
          </w:p>
        </w:tc>
        <w:tc>
          <w:tcPr>
            <w:tcW w:w="845"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0,4</w:t>
            </w:r>
          </w:p>
        </w:tc>
        <w:tc>
          <w:tcPr>
            <w:tcW w:w="108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0,8</w:t>
            </w:r>
          </w:p>
        </w:tc>
        <w:tc>
          <w:tcPr>
            <w:tcW w:w="700" w:type="dxa"/>
            <w:tcBorders>
              <w:top w:val="nil"/>
              <w:left w:val="nil"/>
              <w:bottom w:val="double" w:sz="6" w:space="0" w:color="800000"/>
              <w:right w:val="single" w:sz="4" w:space="0" w:color="800000"/>
            </w:tcBorders>
            <w:shd w:val="clear" w:color="auto" w:fill="FFFFCC"/>
            <w:vAlign w:val="bottom"/>
          </w:tcPr>
          <w:p w:rsidR="000938C1" w:rsidRDefault="000938C1">
            <w:pPr>
              <w:jc w:val="right"/>
              <w:rPr>
                <w:color w:val="000000"/>
                <w:sz w:val="18"/>
                <w:szCs w:val="18"/>
              </w:rPr>
            </w:pPr>
            <w:r>
              <w:rPr>
                <w:color w:val="000000"/>
                <w:sz w:val="18"/>
                <w:szCs w:val="18"/>
              </w:rPr>
              <w:t>175,7</w:t>
            </w:r>
          </w:p>
        </w:tc>
        <w:tc>
          <w:tcPr>
            <w:tcW w:w="951" w:type="dxa"/>
            <w:tcBorders>
              <w:top w:val="nil"/>
              <w:left w:val="single" w:sz="4" w:space="0" w:color="800000"/>
              <w:bottom w:val="double" w:sz="6" w:space="0" w:color="800000"/>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r>
    </w:tbl>
    <w:p w:rsidR="000938C1" w:rsidRPr="00CF1A14" w:rsidRDefault="000938C1" w:rsidP="00F85C67">
      <w:pPr>
        <w:tabs>
          <w:tab w:val="left" w:pos="1320"/>
        </w:tabs>
        <w:rPr>
          <w:color w:val="0070C0"/>
          <w:sz w:val="12"/>
          <w:szCs w:val="12"/>
        </w:rPr>
      </w:pPr>
      <w:r w:rsidRPr="00CF1A14">
        <w:rPr>
          <w:color w:val="0070C0"/>
        </w:rPr>
        <w:tab/>
      </w:r>
    </w:p>
    <w:p w:rsidR="000938C1" w:rsidRPr="00CF1A14" w:rsidRDefault="000938C1" w:rsidP="00F85C67">
      <w:pPr>
        <w:ind w:firstLine="540"/>
        <w:jc w:val="center"/>
        <w:rPr>
          <w:color w:val="0070C0"/>
          <w:sz w:val="12"/>
          <w:szCs w:val="12"/>
        </w:rPr>
      </w:pPr>
    </w:p>
    <w:p w:rsidR="000938C1" w:rsidRPr="00CF1A14" w:rsidRDefault="000938C1" w:rsidP="00F85C67">
      <w:pPr>
        <w:ind w:firstLine="360"/>
        <w:jc w:val="center"/>
        <w:rPr>
          <w:b/>
          <w:color w:val="0070C0"/>
          <w:sz w:val="8"/>
          <w:szCs w:val="8"/>
        </w:rPr>
      </w:pPr>
    </w:p>
    <w:p w:rsidR="000938C1" w:rsidRPr="00BE3DBE" w:rsidRDefault="000938C1" w:rsidP="00F85C67">
      <w:pPr>
        <w:ind w:firstLine="360"/>
        <w:jc w:val="center"/>
        <w:rPr>
          <w:b/>
        </w:rPr>
      </w:pPr>
      <w:r w:rsidRPr="00BE3DBE">
        <w:rPr>
          <w:b/>
        </w:rPr>
        <w:t xml:space="preserve">Група А: </w:t>
      </w:r>
      <w:r w:rsidRPr="00BE3DBE">
        <w:rPr>
          <w:b/>
          <w:i/>
        </w:rPr>
        <w:t>„Жилищно строителство, благоустройство, комунално стопанство”</w:t>
      </w:r>
    </w:p>
    <w:p w:rsidR="000938C1" w:rsidRPr="00CF1A14" w:rsidRDefault="000938C1" w:rsidP="00F85C67">
      <w:pPr>
        <w:ind w:firstLine="540"/>
        <w:jc w:val="both"/>
        <w:rPr>
          <w:color w:val="0070C0"/>
          <w:sz w:val="12"/>
          <w:szCs w:val="12"/>
        </w:rPr>
      </w:pPr>
    </w:p>
    <w:p w:rsidR="000938C1" w:rsidRPr="00CF1A14" w:rsidRDefault="000938C1" w:rsidP="00F85C67">
      <w:pPr>
        <w:ind w:firstLine="540"/>
        <w:jc w:val="both"/>
        <w:rPr>
          <w:color w:val="0070C0"/>
        </w:rPr>
      </w:pPr>
      <w:r w:rsidRPr="00BE3DBE">
        <w:t xml:space="preserve">Със ЗДБРБ за 2013 г. по група „Жилищно строителство, благоустройство, комунално стопанство” </w:t>
      </w:r>
      <w:r w:rsidRPr="00BE3DBE">
        <w:rPr>
          <w:b/>
        </w:rPr>
        <w:t>за министерствата и ведомствата</w:t>
      </w:r>
      <w:r w:rsidRPr="00BE3DBE">
        <w:t xml:space="preserve"> са утвърдени средства в размер на </w:t>
      </w:r>
      <w:r w:rsidRPr="00BE3DBE">
        <w:rPr>
          <w:lang w:val="ru-RU"/>
        </w:rPr>
        <w:t>23,5</w:t>
      </w:r>
      <w:r w:rsidRPr="00BE3DBE">
        <w:t xml:space="preserve"> млн. лв. Одобрените средства са за реализиране на следните приоритетни политики на </w:t>
      </w:r>
      <w:r>
        <w:t>п</w:t>
      </w:r>
      <w:r w:rsidRPr="00BE3DBE">
        <w:t>равителството, изпълнявани чрез МРР и МИП:</w:t>
      </w:r>
    </w:p>
    <w:p w:rsidR="000938C1" w:rsidRPr="002F7CD8" w:rsidRDefault="000938C1" w:rsidP="00F30F79">
      <w:pPr>
        <w:numPr>
          <w:ilvl w:val="0"/>
          <w:numId w:val="14"/>
        </w:numPr>
        <w:tabs>
          <w:tab w:val="clear" w:pos="720"/>
          <w:tab w:val="left" w:pos="540"/>
        </w:tabs>
        <w:ind w:left="540"/>
        <w:jc w:val="both"/>
      </w:pPr>
      <w:r w:rsidRPr="002F7CD8">
        <w:t>Създаването на условия за балансирано и устойчиво регионално развитие, прилагане на стратегически подход за планиране, наблюдение и оценка, реализиране процеса на децентрализация и укрепване на местното самоуправление;</w:t>
      </w:r>
    </w:p>
    <w:p w:rsidR="000938C1" w:rsidRPr="002F7CD8" w:rsidRDefault="000938C1" w:rsidP="00F30F79">
      <w:pPr>
        <w:numPr>
          <w:ilvl w:val="0"/>
          <w:numId w:val="14"/>
        </w:numPr>
        <w:tabs>
          <w:tab w:val="clear" w:pos="720"/>
          <w:tab w:val="left" w:pos="540"/>
        </w:tabs>
        <w:ind w:left="540"/>
        <w:jc w:val="both"/>
      </w:pPr>
      <w:r w:rsidRPr="002F7CD8">
        <w:t>Подобряване на инвестиционния процес чрез развитие на устройственото планиране, усъвършенстване на информационните системи на кадастъра и имотния регистър, стимулиране на публично-частното партньорство, подобряване качеството на превантивния и текущия контрол и прилагане на европейските стандарти;</w:t>
      </w:r>
    </w:p>
    <w:p w:rsidR="000938C1" w:rsidRPr="002F7CD8" w:rsidRDefault="000938C1" w:rsidP="00F30F79">
      <w:pPr>
        <w:numPr>
          <w:ilvl w:val="0"/>
          <w:numId w:val="14"/>
        </w:numPr>
        <w:tabs>
          <w:tab w:val="clear" w:pos="720"/>
          <w:tab w:val="left" w:pos="540"/>
        </w:tabs>
        <w:ind w:left="540"/>
        <w:jc w:val="both"/>
      </w:pPr>
      <w:r w:rsidRPr="002F7CD8">
        <w:t>Поддържане, модернизация и изграждане на техническата инфраструктура, свързана с подобряване на транспортната достъпност и интегрираното управление на водните ресурси;</w:t>
      </w:r>
    </w:p>
    <w:p w:rsidR="000938C1" w:rsidRPr="002F7CD8" w:rsidRDefault="000938C1" w:rsidP="00F30F79">
      <w:pPr>
        <w:numPr>
          <w:ilvl w:val="0"/>
          <w:numId w:val="14"/>
        </w:numPr>
        <w:tabs>
          <w:tab w:val="clear" w:pos="720"/>
          <w:tab w:val="left" w:pos="540"/>
        </w:tabs>
        <w:ind w:left="540"/>
        <w:jc w:val="both"/>
      </w:pPr>
      <w:r w:rsidRPr="002F7CD8">
        <w:t>Подобряване качеството на жизнената среда на българските граждани чрез благоустрояване на населените места и усъвършенстване управлението и поддържането на жилищния фонд.</w:t>
      </w:r>
    </w:p>
    <w:p w:rsidR="000938C1" w:rsidRPr="00CF1A14" w:rsidRDefault="000938C1" w:rsidP="00F85C67">
      <w:pPr>
        <w:tabs>
          <w:tab w:val="left" w:pos="540"/>
        </w:tabs>
        <w:ind w:left="180"/>
        <w:jc w:val="both"/>
        <w:rPr>
          <w:color w:val="0070C0"/>
          <w:sz w:val="16"/>
          <w:szCs w:val="16"/>
        </w:rPr>
      </w:pPr>
    </w:p>
    <w:p w:rsidR="000938C1" w:rsidRPr="0033763D" w:rsidRDefault="000938C1" w:rsidP="00F85C67">
      <w:pPr>
        <w:tabs>
          <w:tab w:val="left" w:pos="540"/>
        </w:tabs>
        <w:ind w:firstLine="540"/>
        <w:jc w:val="both"/>
      </w:pPr>
      <w:r w:rsidRPr="0033763D">
        <w:t>В хода на изпълнението на държавния бюджет, на основание чл. 34, ал. 1 и ал. 2 и чл. 35, ал. 2 и 5 от ЗУДБ в това функционално направление са осигурени допълнителни средства в размер на 24,2 млн. лв. Нарастването на средствата по уточнен план в това направление са в изпълнение на следните нормативни актове:</w:t>
      </w:r>
    </w:p>
    <w:p w:rsidR="000938C1" w:rsidRPr="0033763D" w:rsidRDefault="000938C1" w:rsidP="00F30F79">
      <w:pPr>
        <w:numPr>
          <w:ilvl w:val="0"/>
          <w:numId w:val="46"/>
        </w:numPr>
        <w:tabs>
          <w:tab w:val="clear" w:pos="1260"/>
          <w:tab w:val="left" w:pos="540"/>
          <w:tab w:val="num" w:pos="900"/>
        </w:tabs>
        <w:ind w:left="540"/>
        <w:jc w:val="both"/>
      </w:pPr>
      <w:r w:rsidRPr="0033763D">
        <w:t xml:space="preserve">по ПМС № 49/01.03.2012 г. – 8,0 млн. лв. – за изграждането на водопровод </w:t>
      </w:r>
      <w:r>
        <w:t>П</w:t>
      </w:r>
      <w:r w:rsidRPr="0033763D">
        <w:t>олигон „Ново село”;</w:t>
      </w:r>
    </w:p>
    <w:p w:rsidR="000938C1" w:rsidRPr="0033763D" w:rsidRDefault="000938C1" w:rsidP="00F30F79">
      <w:pPr>
        <w:numPr>
          <w:ilvl w:val="0"/>
          <w:numId w:val="46"/>
        </w:numPr>
        <w:tabs>
          <w:tab w:val="clear" w:pos="1260"/>
          <w:tab w:val="left" w:pos="540"/>
          <w:tab w:val="num" w:pos="900"/>
        </w:tabs>
        <w:ind w:left="540"/>
        <w:jc w:val="both"/>
      </w:pPr>
      <w:r w:rsidRPr="0033763D">
        <w:t>по ПМС № 119/2013 г. – 0</w:t>
      </w:r>
      <w:r>
        <w:t>,</w:t>
      </w:r>
      <w:r w:rsidRPr="0033763D">
        <w:t>5 млн.лв. за изпълнение на дейности по Закона за устройството на Черноморското крайбрежие и Закона за кадастъра и имотния регистър;</w:t>
      </w:r>
    </w:p>
    <w:p w:rsidR="000938C1" w:rsidRPr="0033763D" w:rsidRDefault="000938C1" w:rsidP="00F30F79">
      <w:pPr>
        <w:numPr>
          <w:ilvl w:val="0"/>
          <w:numId w:val="46"/>
        </w:numPr>
        <w:tabs>
          <w:tab w:val="clear" w:pos="1260"/>
          <w:tab w:val="left" w:pos="540"/>
          <w:tab w:val="num" w:pos="900"/>
        </w:tabs>
        <w:ind w:left="540"/>
        <w:jc w:val="both"/>
      </w:pPr>
      <w:r w:rsidRPr="0033763D">
        <w:t>изпълнение на държавен инвестиционен заем.</w:t>
      </w:r>
    </w:p>
    <w:p w:rsidR="000938C1" w:rsidRPr="00CF1A14" w:rsidRDefault="000938C1" w:rsidP="00F85C67">
      <w:pPr>
        <w:tabs>
          <w:tab w:val="left" w:pos="540"/>
        </w:tabs>
        <w:jc w:val="both"/>
        <w:rPr>
          <w:color w:val="0070C0"/>
          <w:sz w:val="4"/>
          <w:szCs w:val="4"/>
        </w:rPr>
      </w:pPr>
    </w:p>
    <w:p w:rsidR="000938C1" w:rsidRPr="00DA24FD" w:rsidRDefault="000938C1" w:rsidP="00F85C67">
      <w:pPr>
        <w:ind w:firstLine="540"/>
        <w:jc w:val="both"/>
        <w:rPr>
          <w:iCs/>
        </w:rPr>
      </w:pPr>
      <w:r w:rsidRPr="00DA24FD">
        <w:t xml:space="preserve">В група „Жилищно строителство, благоустройство, комунално стопанство” за 2013 г. по </w:t>
      </w:r>
      <w:r w:rsidRPr="00DA24FD">
        <w:rPr>
          <w:b/>
        </w:rPr>
        <w:t>бюджетите на министерствата и ведомствата</w:t>
      </w:r>
      <w:r w:rsidRPr="00DA24FD">
        <w:t xml:space="preserve"> (МРР и МИП) </w:t>
      </w:r>
      <w:r w:rsidRPr="00DA24FD">
        <w:rPr>
          <w:iCs/>
        </w:rPr>
        <w:t xml:space="preserve">са отчетени </w:t>
      </w:r>
      <w:r>
        <w:rPr>
          <w:iCs/>
        </w:rPr>
        <w:t xml:space="preserve">общо </w:t>
      </w:r>
      <w:r w:rsidRPr="00DA24FD">
        <w:rPr>
          <w:iCs/>
        </w:rPr>
        <w:t xml:space="preserve">разходи в размер на 51,6 млн. </w:t>
      </w:r>
      <w:r>
        <w:t>лева</w:t>
      </w:r>
      <w:r w:rsidRPr="00DA24FD">
        <w:rPr>
          <w:iCs/>
        </w:rPr>
        <w:t xml:space="preserve">. </w:t>
      </w:r>
    </w:p>
    <w:p w:rsidR="000938C1" w:rsidRPr="00DA24FD" w:rsidRDefault="000938C1" w:rsidP="00F85C67">
      <w:pPr>
        <w:ind w:firstLine="567"/>
        <w:jc w:val="both"/>
        <w:rPr>
          <w:iCs/>
          <w:szCs w:val="20"/>
        </w:rPr>
      </w:pPr>
      <w:r w:rsidRPr="00DA24FD">
        <w:rPr>
          <w:iCs/>
          <w:szCs w:val="20"/>
        </w:rPr>
        <w:t xml:space="preserve">Към 31.12.2013 г. в това функционално направление по бюджета на </w:t>
      </w:r>
      <w:r w:rsidRPr="00DA24FD">
        <w:rPr>
          <w:b/>
          <w:iCs/>
          <w:szCs w:val="20"/>
        </w:rPr>
        <w:t>Министерство на регионалното развитие</w:t>
      </w:r>
      <w:r w:rsidRPr="00DA24FD">
        <w:rPr>
          <w:iCs/>
          <w:szCs w:val="20"/>
        </w:rPr>
        <w:t xml:space="preserve"> са отчетени общо разходи в размер на 47</w:t>
      </w:r>
      <w:r>
        <w:rPr>
          <w:iCs/>
          <w:szCs w:val="20"/>
        </w:rPr>
        <w:t>,</w:t>
      </w:r>
      <w:r w:rsidRPr="00DA24FD">
        <w:rPr>
          <w:iCs/>
          <w:szCs w:val="20"/>
        </w:rPr>
        <w:t>0 млн.</w:t>
      </w:r>
      <w:r>
        <w:rPr>
          <w:iCs/>
          <w:szCs w:val="20"/>
        </w:rPr>
        <w:t xml:space="preserve"> </w:t>
      </w:r>
      <w:r w:rsidRPr="00DA24FD">
        <w:rPr>
          <w:iCs/>
          <w:szCs w:val="20"/>
        </w:rPr>
        <w:t>лв., което представлява 98</w:t>
      </w:r>
      <w:r>
        <w:rPr>
          <w:iCs/>
          <w:szCs w:val="20"/>
        </w:rPr>
        <w:t>,</w:t>
      </w:r>
      <w:r w:rsidRPr="00DA24FD">
        <w:rPr>
          <w:iCs/>
          <w:szCs w:val="20"/>
        </w:rPr>
        <w:t>7 % спрямо уточнения план на средствата в това функционално направление по бюджета на МРР в размер на 47</w:t>
      </w:r>
      <w:r>
        <w:rPr>
          <w:iCs/>
          <w:szCs w:val="20"/>
        </w:rPr>
        <w:t>,</w:t>
      </w:r>
      <w:r w:rsidRPr="00DA24FD">
        <w:rPr>
          <w:iCs/>
          <w:szCs w:val="20"/>
        </w:rPr>
        <w:t>6 млн.</w:t>
      </w:r>
      <w:r>
        <w:rPr>
          <w:iCs/>
          <w:szCs w:val="20"/>
        </w:rPr>
        <w:t xml:space="preserve"> </w:t>
      </w:r>
      <w:r w:rsidRPr="00DA24FD">
        <w:rPr>
          <w:iCs/>
          <w:szCs w:val="20"/>
        </w:rPr>
        <w:t>лв.</w:t>
      </w:r>
      <w:r>
        <w:rPr>
          <w:iCs/>
          <w:szCs w:val="20"/>
        </w:rPr>
        <w:t xml:space="preserve"> </w:t>
      </w:r>
      <w:r w:rsidRPr="00DA24FD">
        <w:rPr>
          <w:iCs/>
          <w:szCs w:val="20"/>
        </w:rPr>
        <w:t>С отчетените разходи по бюджета на МРР през 2013 г. са финансирани дейности по изграждането на приоритетни водоснабдителни обекти и управлението на ВиК инфраструктурата, изработването и поддържането на кадастрални карти и регистри, дейности по регулиране и контрол върху проектирането и строителството, дейности по създаване на условия за подобряване състоянието на съществуващия сграден фонд, проекти на техническата инфраструктура, изпълнение на дейности по програмите за трансгранично сътрудничество.</w:t>
      </w:r>
      <w:r>
        <w:rPr>
          <w:iCs/>
          <w:szCs w:val="20"/>
        </w:rPr>
        <w:t xml:space="preserve"> </w:t>
      </w:r>
      <w:r w:rsidRPr="00DA24FD">
        <w:rPr>
          <w:iCs/>
          <w:szCs w:val="20"/>
        </w:rPr>
        <w:t>От отчетените разходи по бюджета на МРР</w:t>
      </w:r>
      <w:r>
        <w:rPr>
          <w:iCs/>
          <w:szCs w:val="20"/>
        </w:rPr>
        <w:t>,</w:t>
      </w:r>
      <w:r w:rsidRPr="00DA24FD">
        <w:rPr>
          <w:iCs/>
          <w:szCs w:val="20"/>
        </w:rPr>
        <w:t xml:space="preserve"> 16</w:t>
      </w:r>
      <w:r>
        <w:rPr>
          <w:iCs/>
          <w:szCs w:val="20"/>
        </w:rPr>
        <w:t>,</w:t>
      </w:r>
      <w:r w:rsidRPr="00DA24FD">
        <w:rPr>
          <w:iCs/>
          <w:szCs w:val="20"/>
        </w:rPr>
        <w:t>2 млн.</w:t>
      </w:r>
      <w:r>
        <w:rPr>
          <w:iCs/>
          <w:szCs w:val="20"/>
        </w:rPr>
        <w:t xml:space="preserve"> </w:t>
      </w:r>
      <w:r w:rsidRPr="00DA24FD">
        <w:rPr>
          <w:iCs/>
          <w:szCs w:val="20"/>
        </w:rPr>
        <w:t xml:space="preserve">лв. са разходи по държавно инвестиционен заем изпълняван в тази група – проект „Развитие на общинската инфраструктура”. </w:t>
      </w:r>
    </w:p>
    <w:p w:rsidR="000938C1" w:rsidRPr="00DA24FD" w:rsidRDefault="000938C1" w:rsidP="00F85C67">
      <w:pPr>
        <w:ind w:firstLine="567"/>
        <w:jc w:val="both"/>
        <w:rPr>
          <w:iCs/>
          <w:szCs w:val="20"/>
        </w:rPr>
      </w:pPr>
      <w:r w:rsidRPr="00DA24FD">
        <w:rPr>
          <w:iCs/>
          <w:szCs w:val="20"/>
        </w:rPr>
        <w:t xml:space="preserve">За периода октомври-декември 2013 г. чрез бюджета на </w:t>
      </w:r>
      <w:r w:rsidRPr="00DA24FD">
        <w:rPr>
          <w:b/>
          <w:iCs/>
          <w:szCs w:val="20"/>
        </w:rPr>
        <w:t xml:space="preserve">Министерството на инвестиционното проектиране </w:t>
      </w:r>
      <w:r w:rsidRPr="00DA24FD">
        <w:rPr>
          <w:iCs/>
          <w:szCs w:val="20"/>
        </w:rPr>
        <w:t>в това функционално направление са усвоени 4</w:t>
      </w:r>
      <w:r>
        <w:rPr>
          <w:iCs/>
          <w:szCs w:val="20"/>
        </w:rPr>
        <w:t>,</w:t>
      </w:r>
      <w:r w:rsidRPr="00DA24FD">
        <w:rPr>
          <w:iCs/>
          <w:szCs w:val="20"/>
        </w:rPr>
        <w:t>6 млн.</w:t>
      </w:r>
      <w:r>
        <w:rPr>
          <w:iCs/>
          <w:szCs w:val="20"/>
        </w:rPr>
        <w:t xml:space="preserve"> </w:t>
      </w:r>
      <w:r w:rsidRPr="00DA24FD">
        <w:rPr>
          <w:iCs/>
          <w:szCs w:val="20"/>
        </w:rPr>
        <w:t>лв., което представлява изпълнение в размер на 95</w:t>
      </w:r>
      <w:r>
        <w:rPr>
          <w:iCs/>
          <w:szCs w:val="20"/>
        </w:rPr>
        <w:t>,</w:t>
      </w:r>
      <w:r w:rsidRPr="00DA24FD">
        <w:rPr>
          <w:iCs/>
          <w:szCs w:val="20"/>
        </w:rPr>
        <w:t xml:space="preserve">8 % спрямо уточнения план на разходите. </w:t>
      </w:r>
      <w:r>
        <w:rPr>
          <w:iCs/>
          <w:szCs w:val="20"/>
        </w:rPr>
        <w:t xml:space="preserve">С </w:t>
      </w:r>
      <w:r w:rsidRPr="00DA24FD">
        <w:rPr>
          <w:iCs/>
          <w:szCs w:val="20"/>
        </w:rPr>
        <w:t>отчетените разходи, чрез бюджета на министерството</w:t>
      </w:r>
      <w:r>
        <w:rPr>
          <w:iCs/>
          <w:szCs w:val="20"/>
        </w:rPr>
        <w:t>,</w:t>
      </w:r>
      <w:r w:rsidRPr="00DA24FD">
        <w:rPr>
          <w:iCs/>
          <w:szCs w:val="20"/>
        </w:rPr>
        <w:t xml:space="preserve"> са финансирани дейностите и функциите изпълнявани от Агенцията по геодезия, картография и кадастър и Дирекцията за национален строителен контрол, които от 01.10.2013 г. преминаха като второстепенни разпоредители към МИП. П</w:t>
      </w:r>
      <w:r w:rsidRPr="00DA24FD">
        <w:rPr>
          <w:szCs w:val="20"/>
        </w:rPr>
        <w:t>рез отчетния период усвоените разходи бяха насочени към постигане на единна политика в областта на инвестиционното проектиране, устройственото планиране на територията и държавната политика в областта на строителния контрол, строителството и осигуряването на благоприятна среда за обитаване, както и осъществяването на ръководство и контрол на дейността по кадастъра, геодезията и картографията.</w:t>
      </w:r>
    </w:p>
    <w:p w:rsidR="000938C1" w:rsidRPr="00CF1A14" w:rsidRDefault="000938C1" w:rsidP="00F85C67">
      <w:pPr>
        <w:spacing w:before="120"/>
        <w:ind w:firstLine="539"/>
        <w:jc w:val="both"/>
        <w:rPr>
          <w:iCs/>
          <w:color w:val="0070C0"/>
        </w:rPr>
      </w:pPr>
      <w:r w:rsidRPr="0046497D">
        <w:rPr>
          <w:iCs/>
        </w:rPr>
        <w:t xml:space="preserve">По </w:t>
      </w:r>
      <w:r w:rsidRPr="00F1622F">
        <w:rPr>
          <w:b/>
          <w:iCs/>
        </w:rPr>
        <w:t>бюджетите на общините</w:t>
      </w:r>
      <w:r w:rsidRPr="00F1622F">
        <w:rPr>
          <w:iCs/>
        </w:rPr>
        <w:t xml:space="preserve"> разходите, отчетени в група „Жилищно строителство, благоустройство, комунално стопанство”, са в размер на 390,2 млн. лв., като те са с най-голям относителен дял на консолидирано ниво за групата. Отчетените текущи разходи за група „Жилищно строителство, благоустройство, комунално стопанство” са в размер на 226,4 млн. лв., което е 107,3 % спрямо разчетените със закона (211,1 млн. лв.</w:t>
      </w:r>
      <w:r w:rsidRPr="00F1622F">
        <w:rPr>
          <w:iCs/>
          <w:lang w:val="ru-RU"/>
        </w:rPr>
        <w:t>)</w:t>
      </w:r>
      <w:r w:rsidRPr="00F1622F">
        <w:rPr>
          <w:iCs/>
        </w:rPr>
        <w:t xml:space="preserve"> и 113,0 % спрямо отчетените през 2012 г. Превишението на средствата спрямо разчетените по закон се дължи на високия ръст на разходите за издръжка – при разчетени по закон 195,3 млн. лв., разходите по отчет към 31.12.2013 г. възлизат на 208,6 млн. лв. или с 13,3 млн. лв. повече. </w:t>
      </w:r>
    </w:p>
    <w:p w:rsidR="000938C1" w:rsidRPr="00986970" w:rsidRDefault="000938C1" w:rsidP="00F85C67">
      <w:pPr>
        <w:spacing w:before="120" w:after="120"/>
        <w:ind w:firstLine="539"/>
        <w:jc w:val="both"/>
        <w:rPr>
          <w:iCs/>
        </w:rPr>
      </w:pPr>
      <w:r w:rsidRPr="00C13EDE">
        <w:rPr>
          <w:iCs/>
        </w:rPr>
        <w:t xml:space="preserve">Размерът на отчетените капиталови разходи в тази група е 163,8 млн. лв. или със 158,0 млн. лв. по-малко спрямо разчета и с 9,9 млн. лв. по-малко от отчетените през 2012 г. </w:t>
      </w:r>
      <w:r w:rsidRPr="00986970">
        <w:rPr>
          <w:iCs/>
        </w:rPr>
        <w:t xml:space="preserve">В групата се отчитат разходите, определени по решение на общинския съвет, свързани с поддържането на уличната мрежа, водоснабдяване, канализация и други публични услуги, предоставяни на населението. </w:t>
      </w:r>
    </w:p>
    <w:p w:rsidR="000938C1" w:rsidRPr="0023030B" w:rsidRDefault="000938C1" w:rsidP="00F85C67">
      <w:pPr>
        <w:pStyle w:val="BodyTextIndent2"/>
        <w:spacing w:line="240" w:lineRule="auto"/>
        <w:ind w:left="0" w:firstLine="539"/>
        <w:jc w:val="both"/>
      </w:pPr>
      <w:r w:rsidRPr="0023030B">
        <w:rPr>
          <w:b/>
        </w:rPr>
        <w:t>Европейски средства</w:t>
      </w:r>
      <w:r w:rsidRPr="0023030B">
        <w:t xml:space="preserve"> – през 2013 г. за група „</w:t>
      </w:r>
      <w:r w:rsidRPr="0023030B">
        <w:rPr>
          <w:iCs/>
        </w:rPr>
        <w:t>Жилищно строителство, благоустройство, комунално стопанство</w:t>
      </w:r>
      <w:r w:rsidRPr="0023030B">
        <w:t>” изразходваните средства са 620,6 млн. лв., от които:</w:t>
      </w:r>
    </w:p>
    <w:p w:rsidR="000938C1" w:rsidRPr="0023030B" w:rsidRDefault="000938C1" w:rsidP="00F85C67">
      <w:pPr>
        <w:pStyle w:val="BodyTextIndent2"/>
        <w:spacing w:line="240" w:lineRule="auto"/>
        <w:ind w:left="0" w:firstLine="539"/>
        <w:jc w:val="both"/>
      </w:pPr>
      <w:r w:rsidRPr="0023030B">
        <w:rPr>
          <w:b/>
          <w:i/>
        </w:rPr>
        <w:t xml:space="preserve">Оперативна програма „Околна среда” </w:t>
      </w:r>
      <w:r w:rsidRPr="0023030B">
        <w:t xml:space="preserve">(393,8 млн. лв. за групата). Програмата, основни бенефициенти по която са общините  финансира дейности свързани с опазване на водните ресурси, развитие на екологичната инфраструктура, подобряване и развитие на инфраструктурата за питейни и отпадъчни води, подобряване управлението на отпадъците. </w:t>
      </w:r>
    </w:p>
    <w:p w:rsidR="000938C1" w:rsidRPr="0023030B" w:rsidRDefault="000938C1" w:rsidP="00F85C67">
      <w:pPr>
        <w:autoSpaceDE w:val="0"/>
        <w:autoSpaceDN w:val="0"/>
        <w:adjustRightInd w:val="0"/>
        <w:spacing w:after="120"/>
        <w:ind w:firstLine="539"/>
        <w:jc w:val="both"/>
        <w:rPr>
          <w:rFonts w:eastAsia="ArialNarrow"/>
        </w:rPr>
      </w:pPr>
      <w:r w:rsidRPr="0023030B">
        <w:rPr>
          <w:b/>
          <w:i/>
        </w:rPr>
        <w:t xml:space="preserve">Оперативна програма „Регионално развитие” </w:t>
      </w:r>
      <w:r w:rsidRPr="0023030B">
        <w:t xml:space="preserve">(86,5 млн. лв.) - в това функционално направление, целта на оперативната програма е повишаване на конкурентоспособността и привлекателността на регионите и общините посредством подобряване на жилищната среда на градските райони и достъпността на селските райони. Една от основните цели на програмата е </w:t>
      </w:r>
      <w:r w:rsidRPr="0023030B">
        <w:rPr>
          <w:rFonts w:eastAsia="ArialNarrow"/>
        </w:rPr>
        <w:t xml:space="preserve">да се осигурят по-добри условия на живот за хората и да се допринесе за социалната интеграция чрез повишаване на жизнения стандарт и общо подобряване на качеството на живот на хора в неравностойно и уязвимо положение. В частта на </w:t>
      </w:r>
      <w:r w:rsidRPr="0023030B">
        <w:t>жилищното строителство, благоустройството и комунално стопанство</w:t>
      </w:r>
      <w:r w:rsidRPr="0023030B">
        <w:rPr>
          <w:rFonts w:eastAsia="ArialNarrow"/>
        </w:rPr>
        <w:t xml:space="preserve"> оперативната програма цели освен повишаване на качеството на живот и поддържане на съответните екологични условия, включително предотвратяване на рискове, както и подобряване на физическата среда на градските центрове и агломерации като част от по-широкообхватната стратегия за социално и екологично възраждане.</w:t>
      </w:r>
    </w:p>
    <w:p w:rsidR="000938C1" w:rsidRPr="00F67397" w:rsidRDefault="000938C1" w:rsidP="00F85C67">
      <w:pPr>
        <w:autoSpaceDE w:val="0"/>
        <w:autoSpaceDN w:val="0"/>
        <w:adjustRightInd w:val="0"/>
        <w:spacing w:after="120"/>
        <w:ind w:firstLine="539"/>
        <w:jc w:val="both"/>
      </w:pPr>
      <w:r w:rsidRPr="00F67397">
        <w:rPr>
          <w:b/>
          <w:i/>
        </w:rPr>
        <w:t xml:space="preserve">Европейски средства, предоставени от Разплащателната агенция към ДФЗ на общините </w:t>
      </w:r>
      <w:r w:rsidRPr="00F67397">
        <w:t xml:space="preserve">като бенефициенти </w:t>
      </w:r>
      <w:r w:rsidRPr="00F67397">
        <w:rPr>
          <w:lang w:val="ru-RU"/>
        </w:rPr>
        <w:t>(</w:t>
      </w:r>
      <w:r w:rsidRPr="00F67397">
        <w:t>мерки по Програмата за развитие на селските райони</w:t>
      </w:r>
      <w:r w:rsidRPr="00F67397">
        <w:rPr>
          <w:lang w:val="ru-RU"/>
        </w:rPr>
        <w:t xml:space="preserve">) </w:t>
      </w:r>
      <w:r w:rsidRPr="00F67397">
        <w:t xml:space="preserve">– 133,6 млн. </w:t>
      </w:r>
      <w:r>
        <w:t>лева</w:t>
      </w:r>
      <w:r w:rsidRPr="00F67397">
        <w:t>.</w:t>
      </w:r>
    </w:p>
    <w:p w:rsidR="000938C1" w:rsidRPr="00CF1A14" w:rsidRDefault="000938C1" w:rsidP="00F85C67">
      <w:pPr>
        <w:ind w:firstLine="540"/>
        <w:jc w:val="both"/>
        <w:rPr>
          <w:iCs/>
          <w:color w:val="0070C0"/>
          <w:sz w:val="12"/>
          <w:szCs w:val="12"/>
        </w:rPr>
      </w:pPr>
    </w:p>
    <w:p w:rsidR="000938C1" w:rsidRPr="00F20467" w:rsidRDefault="000938C1" w:rsidP="00F85C67">
      <w:pPr>
        <w:ind w:firstLine="540"/>
        <w:rPr>
          <w:b/>
        </w:rPr>
      </w:pPr>
      <w:r w:rsidRPr="00F20467">
        <w:rPr>
          <w:b/>
        </w:rPr>
        <w:t xml:space="preserve">Група Б: </w:t>
      </w:r>
      <w:r w:rsidRPr="00F20467">
        <w:rPr>
          <w:b/>
          <w:i/>
        </w:rPr>
        <w:t>„Опазване на околната среда”</w:t>
      </w:r>
    </w:p>
    <w:p w:rsidR="000938C1" w:rsidRPr="00CF1A14" w:rsidRDefault="000938C1" w:rsidP="00F85C67">
      <w:pPr>
        <w:ind w:firstLine="540"/>
        <w:jc w:val="both"/>
        <w:rPr>
          <w:iCs/>
          <w:color w:val="0070C0"/>
          <w:sz w:val="12"/>
          <w:szCs w:val="12"/>
        </w:rPr>
      </w:pPr>
    </w:p>
    <w:p w:rsidR="000938C1" w:rsidRPr="00420146" w:rsidRDefault="000938C1" w:rsidP="00F85C67">
      <w:pPr>
        <w:ind w:firstLine="540"/>
        <w:jc w:val="both"/>
        <w:rPr>
          <w:iCs/>
        </w:rPr>
      </w:pPr>
      <w:r w:rsidRPr="00420146">
        <w:rPr>
          <w:iCs/>
        </w:rPr>
        <w:t>Основните цели</w:t>
      </w:r>
      <w:r>
        <w:rPr>
          <w:iCs/>
        </w:rPr>
        <w:t xml:space="preserve"> </w:t>
      </w:r>
      <w:r w:rsidRPr="00420146">
        <w:rPr>
          <w:iCs/>
        </w:rPr>
        <w:t>и съответно извършените разходи в областта на опазването на околната среда са:</w:t>
      </w:r>
    </w:p>
    <w:p w:rsidR="000938C1" w:rsidRPr="00420146" w:rsidRDefault="000938C1" w:rsidP="00F85C67">
      <w:pPr>
        <w:ind w:firstLine="540"/>
        <w:jc w:val="both"/>
        <w:rPr>
          <w:iCs/>
          <w:sz w:val="8"/>
          <w:szCs w:val="8"/>
        </w:rPr>
      </w:pPr>
    </w:p>
    <w:p w:rsidR="000938C1" w:rsidRPr="00420146" w:rsidRDefault="000938C1" w:rsidP="00F30F79">
      <w:pPr>
        <w:numPr>
          <w:ilvl w:val="0"/>
          <w:numId w:val="15"/>
        </w:numPr>
        <w:tabs>
          <w:tab w:val="clear" w:pos="720"/>
          <w:tab w:val="left" w:pos="360"/>
        </w:tabs>
        <w:ind w:left="0" w:firstLine="0"/>
        <w:jc w:val="both"/>
        <w:rPr>
          <w:iCs/>
        </w:rPr>
      </w:pPr>
      <w:r w:rsidRPr="00420146">
        <w:rPr>
          <w:iCs/>
        </w:rPr>
        <w:t xml:space="preserve">подобряване управлението на водите, отпадъците и качеството на атмосферния въздух; опазване на биологичното разнообразие; предотвратяване на вредното въздействие на химичните вещества и препарати върху околната среда; повишаване обществената култура и съзнание и осигуряване на представителна информация за околната среда; интегриране на политиката по околна среда и на екологични проблеми в секторните политики за постигане на устойчиво развитие; намаляване на неблагоприятното въздействие, предизвикано от изменение на климата, върху човешкото здраве, екосистемите и националното стопанство; </w:t>
      </w:r>
    </w:p>
    <w:p w:rsidR="000938C1" w:rsidRPr="00D63E0D" w:rsidRDefault="000938C1" w:rsidP="00F30F79">
      <w:pPr>
        <w:numPr>
          <w:ilvl w:val="0"/>
          <w:numId w:val="15"/>
        </w:numPr>
        <w:tabs>
          <w:tab w:val="clear" w:pos="720"/>
          <w:tab w:val="left" w:pos="360"/>
        </w:tabs>
        <w:ind w:left="0" w:firstLine="0"/>
        <w:jc w:val="both"/>
        <w:rPr>
          <w:iCs/>
        </w:rPr>
      </w:pPr>
      <w:r w:rsidRPr="00D63E0D">
        <w:rPr>
          <w:iCs/>
        </w:rPr>
        <w:t>укрепване на свлачища, геозащита и трансгранично сътрудничество.</w:t>
      </w:r>
    </w:p>
    <w:p w:rsidR="000938C1" w:rsidRPr="00CF1A14" w:rsidRDefault="000938C1" w:rsidP="00F85C67">
      <w:pPr>
        <w:ind w:firstLine="540"/>
        <w:jc w:val="both"/>
        <w:rPr>
          <w:iCs/>
          <w:color w:val="0070C0"/>
          <w:sz w:val="12"/>
          <w:szCs w:val="12"/>
        </w:rPr>
      </w:pPr>
    </w:p>
    <w:p w:rsidR="000938C1" w:rsidRDefault="000938C1" w:rsidP="00F85C67">
      <w:pPr>
        <w:ind w:firstLine="539"/>
        <w:jc w:val="both"/>
        <w:rPr>
          <w:iCs/>
        </w:rPr>
      </w:pPr>
      <w:r w:rsidRPr="00D63E0D">
        <w:rPr>
          <w:iCs/>
        </w:rPr>
        <w:t>Със ЗДБРБ за 2013 г. за група „Опазване на околната среда” по републикански</w:t>
      </w:r>
      <w:r>
        <w:rPr>
          <w:iCs/>
        </w:rPr>
        <w:t>я</w:t>
      </w:r>
      <w:r w:rsidRPr="00D63E0D">
        <w:rPr>
          <w:iCs/>
        </w:rPr>
        <w:t xml:space="preserve"> бюджет са утвърдени средства в размер на 48,5 млн. лв. и са отчетени разходи в размер на 46,2 млн. лв. (95,3 % изпълнение на закона).</w:t>
      </w:r>
    </w:p>
    <w:p w:rsidR="000938C1" w:rsidRPr="00D63E0D" w:rsidRDefault="000938C1" w:rsidP="00F85C67">
      <w:pPr>
        <w:ind w:firstLine="539"/>
        <w:jc w:val="both"/>
        <w:rPr>
          <w:iCs/>
        </w:rPr>
      </w:pPr>
      <w:r w:rsidRPr="009E35D0">
        <w:rPr>
          <w:iCs/>
        </w:rPr>
        <w:t>В хода на изпълнението на държавния бюджет, на основание чл. 34, ал. 1</w:t>
      </w:r>
      <w:r>
        <w:rPr>
          <w:iCs/>
        </w:rPr>
        <w:t xml:space="preserve"> и</w:t>
      </w:r>
      <w:r w:rsidRPr="009E35D0">
        <w:rPr>
          <w:iCs/>
        </w:rPr>
        <w:t xml:space="preserve"> 2 и чл. 35, ал. 2 и 5 от </w:t>
      </w:r>
      <w:r>
        <w:rPr>
          <w:iCs/>
        </w:rPr>
        <w:t>ЗУДБ,</w:t>
      </w:r>
      <w:r w:rsidRPr="009E35D0">
        <w:rPr>
          <w:iCs/>
        </w:rPr>
        <w:t xml:space="preserve"> на министерствата и ведомствата по група „Опазване на околната среда” са осигурени допълнителни средства в размер на 10,1 млн.</w:t>
      </w:r>
      <w:r>
        <w:rPr>
          <w:iCs/>
        </w:rPr>
        <w:t xml:space="preserve"> </w:t>
      </w:r>
      <w:r>
        <w:t>лева</w:t>
      </w:r>
      <w:r w:rsidRPr="009E35D0">
        <w:rPr>
          <w:iCs/>
        </w:rPr>
        <w:t>.</w:t>
      </w:r>
    </w:p>
    <w:p w:rsidR="000938C1" w:rsidRDefault="000938C1" w:rsidP="00F85C67">
      <w:pPr>
        <w:ind w:firstLine="539"/>
        <w:jc w:val="both"/>
        <w:rPr>
          <w:iCs/>
        </w:rPr>
      </w:pPr>
      <w:r w:rsidRPr="009E35D0">
        <w:rPr>
          <w:iCs/>
        </w:rPr>
        <w:t xml:space="preserve">За група „Опазване на околната среда” към 31.12.2013 г. по бюджетите на министерствата и ведомствата са отчетени разходи в размер на 42,1 млн. лв. </w:t>
      </w:r>
    </w:p>
    <w:p w:rsidR="000938C1" w:rsidRPr="009E35D0" w:rsidRDefault="000938C1" w:rsidP="00F85C67">
      <w:pPr>
        <w:ind w:firstLine="539"/>
        <w:jc w:val="both"/>
        <w:rPr>
          <w:iCs/>
        </w:rPr>
      </w:pPr>
      <w:r w:rsidRPr="009E35D0">
        <w:rPr>
          <w:iCs/>
        </w:rPr>
        <w:t>По бюджета на Министерство на околната среда и водите (МОСВ) за 2013 г. в това функционално направление са усвоени средства в размер на 39,9 млн.</w:t>
      </w:r>
      <w:r>
        <w:rPr>
          <w:iCs/>
        </w:rPr>
        <w:t xml:space="preserve"> </w:t>
      </w:r>
      <w:r w:rsidRPr="009E35D0">
        <w:rPr>
          <w:iCs/>
        </w:rPr>
        <w:t>лв. Изпълнението на разходите в това функционално направление възлиза на 97</w:t>
      </w:r>
      <w:r>
        <w:rPr>
          <w:iCs/>
        </w:rPr>
        <w:t>,0</w:t>
      </w:r>
      <w:r w:rsidRPr="009E35D0">
        <w:rPr>
          <w:iCs/>
        </w:rPr>
        <w:t xml:space="preserve"> % от уточнения план на разходите от 41,0 млн.</w:t>
      </w:r>
      <w:r>
        <w:rPr>
          <w:iCs/>
        </w:rPr>
        <w:t xml:space="preserve"> </w:t>
      </w:r>
      <w:r>
        <w:t>лева</w:t>
      </w:r>
      <w:r w:rsidRPr="009E35D0">
        <w:rPr>
          <w:iCs/>
        </w:rPr>
        <w:t xml:space="preserve">. </w:t>
      </w:r>
    </w:p>
    <w:p w:rsidR="000938C1" w:rsidRPr="009E35D0" w:rsidRDefault="000938C1" w:rsidP="00F85C67">
      <w:pPr>
        <w:ind w:firstLine="539"/>
        <w:jc w:val="both"/>
        <w:rPr>
          <w:iCs/>
        </w:rPr>
      </w:pPr>
      <w:r w:rsidRPr="009E35D0">
        <w:rPr>
          <w:iCs/>
        </w:rPr>
        <w:t xml:space="preserve">В съответствие с изискванията на Закона за управление на отпадъци и подзаконовата нормативна база през 2013 г. с издадените </w:t>
      </w:r>
      <w:r>
        <w:rPr>
          <w:iCs/>
        </w:rPr>
        <w:t>р</w:t>
      </w:r>
      <w:r w:rsidRPr="009E35D0">
        <w:rPr>
          <w:iCs/>
        </w:rPr>
        <w:t xml:space="preserve">азрешения за дейности с отпадъци, регистрационни документи и удостоверения за търговска дейност с метални отпадъци е постигнато намаляване на въздействието от образуването и третирането на отпадъците върху околната среда и подобряване на ефективността на използваните ресурси. Извършените проверки и издадените предписания водят до предотвратяване или ограничаване вредното въздействие на отпадъците върху човешкото здраве и околната среда. </w:t>
      </w:r>
      <w:r w:rsidRPr="002D5C86">
        <w:rPr>
          <w:iCs/>
        </w:rPr>
        <w:t>На различна фаза по изграждане са пет</w:t>
      </w:r>
      <w:r w:rsidRPr="009E35D0">
        <w:rPr>
          <w:iCs/>
        </w:rPr>
        <w:t xml:space="preserve"> регионални депа за твърди отпадъци в България - Монтана, Русе, Севлиево, Силистра и Созопол.</w:t>
      </w:r>
    </w:p>
    <w:p w:rsidR="000938C1" w:rsidRPr="009E35D0" w:rsidRDefault="000938C1" w:rsidP="00F85C67">
      <w:pPr>
        <w:ind w:firstLine="539"/>
        <w:jc w:val="both"/>
        <w:rPr>
          <w:iCs/>
        </w:rPr>
      </w:pPr>
      <w:r w:rsidRPr="009E35D0">
        <w:rPr>
          <w:iCs/>
        </w:rPr>
        <w:t xml:space="preserve">През отчетния период са извършвани контролни проверки по график, утвърден от </w:t>
      </w:r>
      <w:r>
        <w:rPr>
          <w:iCs/>
        </w:rPr>
        <w:t>м</w:t>
      </w:r>
      <w:r w:rsidRPr="009E35D0">
        <w:rPr>
          <w:iCs/>
        </w:rPr>
        <w:t xml:space="preserve">инистъра на околната среда и водите, като проверки по собствени планове на РИОСВ. В случаи когато са установени наднормени емисии са извършвани проверки и издавани предписания </w:t>
      </w:r>
      <w:r>
        <w:rPr>
          <w:iCs/>
        </w:rPr>
        <w:t xml:space="preserve">с цел </w:t>
      </w:r>
      <w:r w:rsidRPr="009E35D0">
        <w:rPr>
          <w:iCs/>
        </w:rPr>
        <w:t xml:space="preserve">постепенно намаляване на емисиите на вредните вещества и на количествата внесени вещества нарушаващи озоновия слой.  През целия отчетен период са работили автоматичните пунктове за контрол </w:t>
      </w:r>
      <w:r>
        <w:rPr>
          <w:iCs/>
        </w:rPr>
        <w:t xml:space="preserve">на </w:t>
      </w:r>
      <w:r w:rsidRPr="009E35D0">
        <w:rPr>
          <w:iCs/>
        </w:rPr>
        <w:t>качеството на атмосферния въздух, като се анализират показателите: азотен диоксид, азотен оксид, серен диоксид, сероводород, въглероден оксид, неметанови въглеводороди, тотални въглеводороди, озон, амоняк.</w:t>
      </w:r>
    </w:p>
    <w:p w:rsidR="000938C1" w:rsidRPr="009E35D0" w:rsidRDefault="000938C1" w:rsidP="00F85C67">
      <w:pPr>
        <w:ind w:firstLine="539"/>
        <w:jc w:val="both"/>
        <w:rPr>
          <w:iCs/>
        </w:rPr>
      </w:pPr>
      <w:r w:rsidRPr="009E35D0">
        <w:rPr>
          <w:iCs/>
        </w:rPr>
        <w:t xml:space="preserve">За периода е извършен мониторинг </w:t>
      </w:r>
      <w:r>
        <w:rPr>
          <w:iCs/>
        </w:rPr>
        <w:t xml:space="preserve">на </w:t>
      </w:r>
      <w:r w:rsidRPr="009E35D0">
        <w:rPr>
          <w:iCs/>
        </w:rPr>
        <w:t xml:space="preserve">състоянието на екосистеми, растителни и животински видове, съгласуване на дейности в защитени територии, проверки и издавани предписания в защитени територии във връзка с опазване на биологичното разнообразие. </w:t>
      </w:r>
    </w:p>
    <w:p w:rsidR="000938C1" w:rsidRPr="009E35D0" w:rsidRDefault="000938C1" w:rsidP="00F85C67">
      <w:pPr>
        <w:ind w:firstLine="539"/>
        <w:jc w:val="both"/>
        <w:rPr>
          <w:iCs/>
        </w:rPr>
      </w:pPr>
      <w:r w:rsidRPr="009E35D0">
        <w:rPr>
          <w:iCs/>
        </w:rPr>
        <w:t xml:space="preserve">През отчетния период продължи работата за развитие и управление на мрежата от защитени територии, посредством обявяването на нови и разширение на съществуващите,  укрепване на институционалния капацитет на регионалните структури на МОСВ, имащи отношение към изпълнение на поставените цели и финансиране на дейности за подобряване на общия биологичен статус на територията на страната. </w:t>
      </w:r>
    </w:p>
    <w:p w:rsidR="000938C1" w:rsidRPr="009E35D0" w:rsidRDefault="000938C1" w:rsidP="00F85C67">
      <w:pPr>
        <w:ind w:firstLine="539"/>
        <w:jc w:val="both"/>
        <w:rPr>
          <w:iCs/>
        </w:rPr>
      </w:pPr>
      <w:r>
        <w:rPr>
          <w:iCs/>
        </w:rPr>
        <w:t>През 2013 г. за пореден път се проведе</w:t>
      </w:r>
      <w:r w:rsidRPr="009E35D0">
        <w:rPr>
          <w:iCs/>
        </w:rPr>
        <w:t xml:space="preserve"> кампания</w:t>
      </w:r>
      <w:r>
        <w:rPr>
          <w:iCs/>
        </w:rPr>
        <w:t>та</w:t>
      </w:r>
      <w:r w:rsidRPr="009E35D0">
        <w:rPr>
          <w:iCs/>
        </w:rPr>
        <w:t xml:space="preserve"> „Да изчистим България за един ден!“</w:t>
      </w:r>
      <w:r>
        <w:rPr>
          <w:iCs/>
        </w:rPr>
        <w:t>,</w:t>
      </w:r>
      <w:r w:rsidRPr="009E35D0">
        <w:rPr>
          <w:iCs/>
        </w:rPr>
        <w:t xml:space="preserve"> на територията на  5-те паркови района.</w:t>
      </w:r>
    </w:p>
    <w:p w:rsidR="000938C1" w:rsidRPr="009E35D0" w:rsidRDefault="000938C1" w:rsidP="00F85C67">
      <w:pPr>
        <w:ind w:firstLine="539"/>
        <w:jc w:val="both"/>
        <w:rPr>
          <w:iCs/>
        </w:rPr>
      </w:pPr>
      <w:r w:rsidRPr="0059415F">
        <w:rPr>
          <w:iCs/>
        </w:rPr>
        <w:t>През отчетния период е извършено и:</w:t>
      </w:r>
    </w:p>
    <w:p w:rsidR="000938C1" w:rsidRPr="009E35D0" w:rsidRDefault="000938C1" w:rsidP="00F30F79">
      <w:pPr>
        <w:numPr>
          <w:ilvl w:val="0"/>
          <w:numId w:val="70"/>
        </w:numPr>
        <w:jc w:val="both"/>
        <w:rPr>
          <w:iCs/>
        </w:rPr>
      </w:pPr>
      <w:r w:rsidRPr="009E35D0">
        <w:rPr>
          <w:iCs/>
        </w:rPr>
        <w:t xml:space="preserve"> аварийно почистване коритото на реката в Стара Рибарица (ПУ Тетевен) от паднали дървета, с цел предотвратяване забентване на реката и образуване на приливна вълна при пролетното снеготопене</w:t>
      </w:r>
      <w:r>
        <w:rPr>
          <w:iCs/>
        </w:rPr>
        <w:t>;</w:t>
      </w:r>
    </w:p>
    <w:p w:rsidR="000938C1" w:rsidRPr="009E35D0" w:rsidRDefault="000938C1" w:rsidP="00F30F79">
      <w:pPr>
        <w:numPr>
          <w:ilvl w:val="0"/>
          <w:numId w:val="70"/>
        </w:numPr>
        <w:jc w:val="both"/>
        <w:rPr>
          <w:b/>
          <w:i/>
          <w:iCs/>
        </w:rPr>
      </w:pPr>
      <w:r w:rsidRPr="009E35D0">
        <w:rPr>
          <w:iCs/>
        </w:rPr>
        <w:t>аварийно  почистване на пътя от с. Рибарица за хижа Вежен и хижа Бенковски (ПУ Тетевен) от свлачищни земно-каменни маси</w:t>
      </w:r>
      <w:r>
        <w:rPr>
          <w:iCs/>
        </w:rPr>
        <w:t>;</w:t>
      </w:r>
    </w:p>
    <w:p w:rsidR="000938C1" w:rsidRPr="009E35D0" w:rsidRDefault="000938C1" w:rsidP="00F30F79">
      <w:pPr>
        <w:numPr>
          <w:ilvl w:val="0"/>
          <w:numId w:val="70"/>
        </w:numPr>
        <w:jc w:val="both"/>
        <w:rPr>
          <w:b/>
          <w:i/>
          <w:iCs/>
        </w:rPr>
      </w:pPr>
      <w:r w:rsidRPr="009E35D0">
        <w:rPr>
          <w:iCs/>
        </w:rPr>
        <w:t>аварийно почистване от паднали скални маси (13 куб.м.) на пътя от с.</w:t>
      </w:r>
      <w:r>
        <w:rPr>
          <w:iCs/>
        </w:rPr>
        <w:t xml:space="preserve"> </w:t>
      </w:r>
      <w:r w:rsidRPr="009E35D0">
        <w:rPr>
          <w:iCs/>
        </w:rPr>
        <w:t>Тъжа за м.</w:t>
      </w:r>
      <w:r>
        <w:rPr>
          <w:iCs/>
        </w:rPr>
        <w:t xml:space="preserve"> </w:t>
      </w:r>
      <w:r w:rsidRPr="009E35D0">
        <w:rPr>
          <w:iCs/>
        </w:rPr>
        <w:t>Смесите в района над КИП Сладката вода (ПУ Тъжа)</w:t>
      </w:r>
      <w:r>
        <w:rPr>
          <w:iCs/>
        </w:rPr>
        <w:t>;</w:t>
      </w:r>
      <w:r w:rsidRPr="009E35D0">
        <w:rPr>
          <w:iCs/>
        </w:rPr>
        <w:t xml:space="preserve">. </w:t>
      </w:r>
    </w:p>
    <w:p w:rsidR="000938C1" w:rsidRPr="009E35D0" w:rsidRDefault="000938C1" w:rsidP="00F30F79">
      <w:pPr>
        <w:numPr>
          <w:ilvl w:val="0"/>
          <w:numId w:val="70"/>
        </w:numPr>
        <w:jc w:val="both"/>
        <w:rPr>
          <w:b/>
          <w:i/>
          <w:iCs/>
        </w:rPr>
      </w:pPr>
      <w:r w:rsidRPr="009E35D0">
        <w:rPr>
          <w:iCs/>
        </w:rPr>
        <w:t>аварийно почистване на свлачища по път</w:t>
      </w:r>
      <w:r>
        <w:rPr>
          <w:iCs/>
        </w:rPr>
        <w:t>я</w:t>
      </w:r>
      <w:r w:rsidRPr="009E35D0">
        <w:rPr>
          <w:iCs/>
        </w:rPr>
        <w:t xml:space="preserve"> Нешковци – Голям Жидов дол и </w:t>
      </w:r>
      <w:r>
        <w:rPr>
          <w:iCs/>
        </w:rPr>
        <w:t xml:space="preserve">по </w:t>
      </w:r>
      <w:r w:rsidRPr="009E35D0">
        <w:rPr>
          <w:iCs/>
        </w:rPr>
        <w:t>път</w:t>
      </w:r>
      <w:r>
        <w:rPr>
          <w:iCs/>
        </w:rPr>
        <w:t>я</w:t>
      </w:r>
      <w:r w:rsidRPr="009E35D0">
        <w:rPr>
          <w:iCs/>
        </w:rPr>
        <w:t xml:space="preserve"> Нешковци – Киселицата (ПУ Троян)</w:t>
      </w:r>
      <w:r>
        <w:rPr>
          <w:iCs/>
        </w:rPr>
        <w:t>;</w:t>
      </w:r>
    </w:p>
    <w:p w:rsidR="000938C1" w:rsidRPr="009E35D0" w:rsidRDefault="000938C1" w:rsidP="00F30F79">
      <w:pPr>
        <w:numPr>
          <w:ilvl w:val="0"/>
          <w:numId w:val="70"/>
        </w:numPr>
        <w:tabs>
          <w:tab w:val="num" w:pos="0"/>
        </w:tabs>
        <w:jc w:val="both"/>
        <w:rPr>
          <w:b/>
          <w:i/>
          <w:iCs/>
        </w:rPr>
      </w:pPr>
      <w:r w:rsidRPr="009E35D0">
        <w:rPr>
          <w:iCs/>
        </w:rPr>
        <w:t>профилактика, подготовка и допълване на транспортната техника и оборудването за противопожарна дейност.</w:t>
      </w:r>
    </w:p>
    <w:p w:rsidR="000938C1" w:rsidRPr="009E35D0" w:rsidRDefault="000938C1" w:rsidP="00F85C67">
      <w:pPr>
        <w:ind w:firstLine="539"/>
        <w:jc w:val="both"/>
        <w:rPr>
          <w:iCs/>
        </w:rPr>
      </w:pPr>
    </w:p>
    <w:p w:rsidR="000938C1" w:rsidRPr="009E35D0" w:rsidRDefault="000938C1" w:rsidP="00F85C67">
      <w:pPr>
        <w:ind w:firstLine="539"/>
        <w:jc w:val="both"/>
        <w:rPr>
          <w:iCs/>
        </w:rPr>
      </w:pPr>
      <w:r w:rsidRPr="009E35D0">
        <w:rPr>
          <w:iCs/>
        </w:rPr>
        <w:t>Към 31.12.2013 г. по бюджета на Министерство на регионалното развитие</w:t>
      </w:r>
      <w:r>
        <w:rPr>
          <w:iCs/>
        </w:rPr>
        <w:t xml:space="preserve"> </w:t>
      </w:r>
      <w:r w:rsidRPr="009E35D0">
        <w:rPr>
          <w:iCs/>
        </w:rPr>
        <w:t>(МРР) в това функционално направление са усвоени средства в размер на 2,2 млн.</w:t>
      </w:r>
      <w:r>
        <w:rPr>
          <w:iCs/>
        </w:rPr>
        <w:t xml:space="preserve"> </w:t>
      </w:r>
      <w:r w:rsidRPr="009E35D0">
        <w:rPr>
          <w:iCs/>
        </w:rPr>
        <w:t>лв., в т.ч. 0,5 млн.</w:t>
      </w:r>
      <w:r>
        <w:rPr>
          <w:iCs/>
        </w:rPr>
        <w:t xml:space="preserve"> </w:t>
      </w:r>
      <w:r w:rsidRPr="009E35D0">
        <w:rPr>
          <w:iCs/>
        </w:rPr>
        <w:t xml:space="preserve">лв. разходи по </w:t>
      </w:r>
      <w:r>
        <w:rPr>
          <w:iCs/>
        </w:rPr>
        <w:t>д</w:t>
      </w:r>
      <w:r w:rsidRPr="009E35D0">
        <w:rPr>
          <w:iCs/>
        </w:rPr>
        <w:t>ържавни инвестиционни заеми (ДИЗ), изпълнявани от МРР. Изпълнението на разходите в това функционал</w:t>
      </w:r>
      <w:r>
        <w:rPr>
          <w:iCs/>
        </w:rPr>
        <w:t xml:space="preserve">но направление възлиза на 105,0 </w:t>
      </w:r>
      <w:r w:rsidRPr="009E35D0">
        <w:rPr>
          <w:iCs/>
        </w:rPr>
        <w:t xml:space="preserve">% спрямо уточнения план на разходите. </w:t>
      </w:r>
    </w:p>
    <w:p w:rsidR="000938C1" w:rsidRPr="009E35D0" w:rsidRDefault="000938C1" w:rsidP="00F85C67">
      <w:pPr>
        <w:ind w:firstLine="539"/>
        <w:jc w:val="both"/>
        <w:rPr>
          <w:iCs/>
        </w:rPr>
      </w:pPr>
      <w:r w:rsidRPr="009E35D0">
        <w:rPr>
          <w:iCs/>
        </w:rPr>
        <w:t xml:space="preserve">В рамките на това направление </w:t>
      </w:r>
      <w:r>
        <w:rPr>
          <w:iCs/>
        </w:rPr>
        <w:t>МРР</w:t>
      </w:r>
      <w:r w:rsidRPr="009E35D0">
        <w:rPr>
          <w:iCs/>
        </w:rPr>
        <w:t xml:space="preserve"> реализира своята политика за „Създаване и изпълнение на национална програма за превенция и ограничаване на въздействието на свлачищните процеси, ерозията и абразията”, чрез изпълнението на програма „Противодействие на свлачищните, ерозионните и абразион</w:t>
      </w:r>
      <w:r>
        <w:rPr>
          <w:iCs/>
        </w:rPr>
        <w:t xml:space="preserve">ни процеси”, в </w:t>
      </w:r>
      <w:r w:rsidRPr="009E35D0">
        <w:rPr>
          <w:iCs/>
        </w:rPr>
        <w:t>т.</w:t>
      </w:r>
      <w:r>
        <w:rPr>
          <w:iCs/>
        </w:rPr>
        <w:t>ч.</w:t>
      </w:r>
      <w:r w:rsidRPr="009E35D0">
        <w:rPr>
          <w:iCs/>
        </w:rPr>
        <w:t xml:space="preserve"> и дейности по държавн</w:t>
      </w:r>
      <w:r>
        <w:rPr>
          <w:iCs/>
        </w:rPr>
        <w:t xml:space="preserve">и </w:t>
      </w:r>
      <w:r w:rsidRPr="009E35D0">
        <w:rPr>
          <w:iCs/>
        </w:rPr>
        <w:t>инвестиционни заем</w:t>
      </w:r>
      <w:r>
        <w:rPr>
          <w:iCs/>
        </w:rPr>
        <w:t>и</w:t>
      </w:r>
      <w:r w:rsidRPr="009E35D0">
        <w:rPr>
          <w:iCs/>
        </w:rPr>
        <w:t xml:space="preserve">, а именно Проект България „Защита на речните и морските брегове от ерозията и абразията и свързаните с тях свлачищни процеси”, финансирани съвместно с </w:t>
      </w:r>
      <w:r w:rsidRPr="00BB3C1B">
        <w:rPr>
          <w:iCs/>
        </w:rPr>
        <w:t>ЕИБ и БРСЕ</w:t>
      </w:r>
      <w:r w:rsidRPr="009E35D0">
        <w:rPr>
          <w:iCs/>
        </w:rPr>
        <w:t xml:space="preserve">, проект „Техническа инфраструктура”, финансиран </w:t>
      </w:r>
      <w:r w:rsidRPr="00FA5C0A">
        <w:rPr>
          <w:iCs/>
        </w:rPr>
        <w:t>от KFW (Германска банка за развитие).</w:t>
      </w:r>
    </w:p>
    <w:p w:rsidR="000938C1" w:rsidRPr="009E35D0" w:rsidRDefault="000938C1" w:rsidP="00F85C67">
      <w:pPr>
        <w:ind w:firstLine="539"/>
        <w:jc w:val="both"/>
        <w:rPr>
          <w:iCs/>
        </w:rPr>
      </w:pPr>
      <w:r w:rsidRPr="009E35D0">
        <w:rPr>
          <w:iCs/>
        </w:rPr>
        <w:t>С усвоените средства през отчетния период са предприети ефективни превантивни мерки и дейности за ограничаване на риска от възникване на свлачищни процеси, ерозионни процеси по Дунавското и абразионни процеси по Черноморското крайбрежие. Извършен беше ефективен мониторинг на свлачищните райони и на изградени противосвлачищни съоръжения, изградени и възстановени бяха контролно-измервателн</w:t>
      </w:r>
      <w:r>
        <w:rPr>
          <w:iCs/>
        </w:rPr>
        <w:t>и</w:t>
      </w:r>
      <w:r w:rsidRPr="009E35D0">
        <w:rPr>
          <w:iCs/>
        </w:rPr>
        <w:t xml:space="preserve"> системи в свлачищни райони за следене на деформациите, възложени и изработени бяха проекто-проучвателни разработки и др. Извършен беше ефективен контрол на инвестиционните намерения в свлачищни райони. </w:t>
      </w:r>
    </w:p>
    <w:p w:rsidR="000938C1" w:rsidRPr="009E35D0" w:rsidRDefault="000938C1" w:rsidP="00F85C67">
      <w:pPr>
        <w:spacing w:after="120"/>
        <w:ind w:firstLine="539"/>
        <w:jc w:val="both"/>
        <w:rPr>
          <w:iCs/>
        </w:rPr>
      </w:pPr>
      <w:r w:rsidRPr="009E35D0">
        <w:rPr>
          <w:iCs/>
        </w:rPr>
        <w:t>През 2013 г. беше въведен в експлоатация обект „Аварийно брегоукрепване и отводняване на къмпинг „Космос”, с. Дуранкулак, община Шабла. Беше завършен обект „Отводняване на с. Панаретовци, община Сливен” и бяха извършени строително-монтажни работи на обект „Укрепване свлачище в гр. Оряхово”.</w:t>
      </w:r>
    </w:p>
    <w:p w:rsidR="000938C1" w:rsidRPr="00F20467" w:rsidRDefault="000938C1" w:rsidP="00F85C67">
      <w:pPr>
        <w:pStyle w:val="BodyText"/>
        <w:widowControl w:val="0"/>
        <w:ind w:firstLine="720"/>
        <w:jc w:val="both"/>
      </w:pPr>
      <w:r w:rsidRPr="00F20467">
        <w:rPr>
          <w:iCs/>
        </w:rPr>
        <w:t xml:space="preserve">Основните разходи по КФП в групата са извършени  </w:t>
      </w:r>
      <w:r w:rsidRPr="00F20467">
        <w:rPr>
          <w:b/>
          <w:iCs/>
        </w:rPr>
        <w:t>по бюджетите на общините</w:t>
      </w:r>
      <w:r w:rsidRPr="00F20467">
        <w:rPr>
          <w:iCs/>
        </w:rPr>
        <w:t xml:space="preserve">, като за годината те възлизат на 512,8 млн. лв. От тях 449,3 млн. лв. представляват текущи разходи, което е с 55,8 млн. лв. или с 14,2 % повече от разчетените със закона за 2013 г. Превишението на средствата спрямо разчетените по закон се дължи на увеличението на разходите за </w:t>
      </w:r>
      <w:r w:rsidRPr="00F20467">
        <w:rPr>
          <w:i/>
          <w:iCs/>
        </w:rPr>
        <w:t>издръжка</w:t>
      </w:r>
      <w:r w:rsidRPr="00F20467">
        <w:rPr>
          <w:iCs/>
        </w:rPr>
        <w:t xml:space="preserve"> в резултат на разпределен остатък от предходната година. </w:t>
      </w:r>
      <w:r w:rsidRPr="00F20467">
        <w:t xml:space="preserve">В групата с висок относителен дял са разходите за издръжка и по-конкретно за външни услуги, тъй като в нея се отчитат разходите, свързани с поддържането на чистотата и благоустрояването, извършвани от фирми или общински предприятия. Размерът на отчетените </w:t>
      </w:r>
      <w:r w:rsidRPr="00F20467">
        <w:rPr>
          <w:i/>
        </w:rPr>
        <w:t>капиталови</w:t>
      </w:r>
      <w:r w:rsidRPr="00F20467">
        <w:t xml:space="preserve"> разходи в тази група е 63,5 млн. лв. или с 32,5 млн. лв. по-малко спрямо разчета им по закон и с 10,4 млн. лв. повече от отчетените през 2012 г. В групата се отчитат разходите, определени по решение на общинския съвет за дейностите по поддържане на чистота, озеленяване, пречистване на отпадъчни води, управление на отпадъците и други публични услуги с обществено значение.</w:t>
      </w:r>
    </w:p>
    <w:p w:rsidR="000938C1" w:rsidRPr="00CF1A14" w:rsidRDefault="000938C1" w:rsidP="00F85C67">
      <w:pPr>
        <w:pStyle w:val="BodyTextIndent2"/>
        <w:spacing w:line="240" w:lineRule="auto"/>
        <w:ind w:left="0" w:firstLine="539"/>
        <w:jc w:val="both"/>
        <w:rPr>
          <w:color w:val="0070C0"/>
          <w:lang w:val="ru-RU"/>
        </w:rPr>
      </w:pPr>
      <w:r w:rsidRPr="009F0985">
        <w:rPr>
          <w:b/>
        </w:rPr>
        <w:t>Европейски средства</w:t>
      </w:r>
      <w:r w:rsidRPr="009F0985">
        <w:t xml:space="preserve"> – за група „Опазване на околната среда” изразходваните средства са 216,9 млн. лв., основно по </w:t>
      </w:r>
      <w:r w:rsidRPr="009F0985">
        <w:rPr>
          <w:b/>
          <w:i/>
        </w:rPr>
        <w:t>Оперативна програма „Околна среда”.</w:t>
      </w:r>
      <w:r w:rsidRPr="009F0985">
        <w:t xml:space="preserve"> Основната цел на програмата е подобряване, запазване и възстановяване на естествената околна среда и развитие на екологичната инфраструктура. Програмата финансира дейности свързани с: опазване и подобряване състоянието на водните ресурси; подобряване на управлението на отпадъците и на защитата на почвите; опазване на биоразнообразието и защита на природата и др. Предмет на програмата са: инфраструктурни проекти за третиране на отпадъци, питейни и отпадни води; проекти за възстановяване на биологичното разнообразие. Бенефициенти са: общини; басейнови дирекции; регионални асоциации; регионални структури на МОСВ; Изпълнителна агенция по горите; администрации, управляващи НАТУРА 2000; неправителствени организации.</w:t>
      </w:r>
    </w:p>
    <w:p w:rsidR="000938C1" w:rsidRPr="00CF1A14" w:rsidRDefault="000938C1" w:rsidP="00F85C67">
      <w:pPr>
        <w:pStyle w:val="BodyTextIndent2"/>
        <w:spacing w:line="240" w:lineRule="auto"/>
        <w:ind w:left="0" w:firstLine="539"/>
        <w:jc w:val="both"/>
        <w:rPr>
          <w:color w:val="0070C0"/>
          <w:sz w:val="8"/>
          <w:szCs w:val="8"/>
          <w:lang w:val="ru-RU"/>
        </w:rPr>
      </w:pPr>
    </w:p>
    <w:p w:rsidR="000938C1" w:rsidRPr="002F5689" w:rsidRDefault="000938C1" w:rsidP="00F30F79">
      <w:pPr>
        <w:pStyle w:val="Heading3"/>
        <w:numPr>
          <w:ilvl w:val="2"/>
          <w:numId w:val="72"/>
        </w:numPr>
        <w:rPr>
          <w:rFonts w:ascii="Times New Roman" w:hAnsi="Times New Roman"/>
          <w:sz w:val="24"/>
          <w:lang w:val="en-US"/>
        </w:rPr>
      </w:pPr>
      <w:bookmarkStart w:id="228" w:name="_Toc261276592"/>
      <w:bookmarkStart w:id="229" w:name="_Toc324863428"/>
      <w:bookmarkStart w:id="230" w:name="_Toc326315920"/>
      <w:bookmarkStart w:id="231" w:name="_Toc393728079"/>
      <w:r w:rsidRPr="002F5689">
        <w:rPr>
          <w:rFonts w:ascii="Times New Roman" w:hAnsi="Times New Roman"/>
          <w:sz w:val="24"/>
          <w:lang w:val="bg-BG"/>
        </w:rPr>
        <w:t>Почивно дело, култура, религиозни дейности</w:t>
      </w:r>
      <w:bookmarkEnd w:id="228"/>
      <w:bookmarkEnd w:id="229"/>
      <w:bookmarkEnd w:id="230"/>
      <w:bookmarkEnd w:id="231"/>
    </w:p>
    <w:p w:rsidR="000938C1" w:rsidRPr="00CF1A14" w:rsidRDefault="000938C1" w:rsidP="00F85C67">
      <w:pPr>
        <w:rPr>
          <w:color w:val="0070C0"/>
          <w:lang w:val="en-US"/>
        </w:rPr>
      </w:pPr>
    </w:p>
    <w:p w:rsidR="000938C1" w:rsidRPr="00CF1A14" w:rsidRDefault="000938C1" w:rsidP="00F85C67">
      <w:pPr>
        <w:ind w:firstLine="540"/>
        <w:jc w:val="both"/>
        <w:rPr>
          <w:color w:val="0070C0"/>
          <w:sz w:val="2"/>
          <w:szCs w:val="2"/>
        </w:rPr>
      </w:pPr>
    </w:p>
    <w:p w:rsidR="000938C1" w:rsidRDefault="000938C1" w:rsidP="00F85C67">
      <w:pPr>
        <w:ind w:firstLine="540"/>
        <w:jc w:val="both"/>
      </w:pPr>
      <w:r w:rsidRPr="002516A1">
        <w:t>Основната част от разходите по функция „Почивно дело, култура, религиозни дейности” са в група В. „Култура” и група Б. „Физическа култура и спорт”. По съставни бюджети разходите са извършени от министерствата и ведомствата, БНТ, БНР, общините и др.</w:t>
      </w:r>
    </w:p>
    <w:p w:rsidR="000938C1" w:rsidRDefault="000938C1" w:rsidP="00F85C67">
      <w:pPr>
        <w:ind w:firstLine="540"/>
        <w:jc w:val="both"/>
      </w:pPr>
    </w:p>
    <w:p w:rsidR="000938C1" w:rsidRPr="002516A1" w:rsidRDefault="000938C1" w:rsidP="00F85C67">
      <w:pPr>
        <w:ind w:firstLine="540"/>
        <w:jc w:val="both"/>
      </w:pPr>
    </w:p>
    <w:p w:rsidR="000938C1" w:rsidRPr="00CF1A14" w:rsidRDefault="000938C1" w:rsidP="00F85C67">
      <w:pPr>
        <w:ind w:firstLine="8563"/>
        <w:jc w:val="both"/>
        <w:rPr>
          <w:b/>
          <w:color w:val="0070C0"/>
          <w:sz w:val="18"/>
          <w:szCs w:val="18"/>
          <w:lang w:val="ru-RU"/>
        </w:rPr>
      </w:pPr>
    </w:p>
    <w:p w:rsidR="000938C1" w:rsidRPr="00154B2B" w:rsidRDefault="000938C1" w:rsidP="00F85C67">
      <w:pPr>
        <w:ind w:firstLine="8563"/>
        <w:jc w:val="both"/>
        <w:rPr>
          <w:b/>
          <w:sz w:val="18"/>
          <w:szCs w:val="18"/>
        </w:rPr>
      </w:pPr>
      <w:r w:rsidRPr="00154B2B">
        <w:rPr>
          <w:b/>
          <w:sz w:val="18"/>
          <w:szCs w:val="18"/>
        </w:rPr>
        <w:t>(млн. лв.)</w:t>
      </w:r>
    </w:p>
    <w:tbl>
      <w:tblPr>
        <w:tblW w:w="11150" w:type="dxa"/>
        <w:tblInd w:w="-830" w:type="dxa"/>
        <w:tblLayout w:type="fixed"/>
        <w:tblCellMar>
          <w:left w:w="70" w:type="dxa"/>
          <w:right w:w="70" w:type="dxa"/>
        </w:tblCellMar>
        <w:tblLook w:val="0000"/>
      </w:tblPr>
      <w:tblGrid>
        <w:gridCol w:w="2472"/>
        <w:gridCol w:w="900"/>
        <w:gridCol w:w="720"/>
        <w:gridCol w:w="824"/>
        <w:gridCol w:w="620"/>
        <w:gridCol w:w="540"/>
        <w:gridCol w:w="540"/>
        <w:gridCol w:w="516"/>
        <w:gridCol w:w="500"/>
        <w:gridCol w:w="723"/>
        <w:gridCol w:w="515"/>
        <w:gridCol w:w="702"/>
        <w:gridCol w:w="688"/>
        <w:gridCol w:w="864"/>
        <w:gridCol w:w="26"/>
      </w:tblGrid>
      <w:tr w:rsidR="000938C1" w:rsidRPr="00702FD4" w:rsidTr="009E1415">
        <w:trPr>
          <w:trHeight w:val="720"/>
        </w:trPr>
        <w:tc>
          <w:tcPr>
            <w:tcW w:w="2472"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ОТЧЕТ 2013 г.</w:t>
            </w:r>
          </w:p>
        </w:tc>
        <w:tc>
          <w:tcPr>
            <w:tcW w:w="900" w:type="dxa"/>
            <w:tcBorders>
              <w:top w:val="double" w:sz="6" w:space="0" w:color="800000"/>
              <w:left w:val="single" w:sz="4" w:space="0" w:color="FFFFFF"/>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КФП</w:t>
            </w:r>
          </w:p>
        </w:tc>
        <w:tc>
          <w:tcPr>
            <w:tcW w:w="720" w:type="dxa"/>
            <w:tcBorders>
              <w:top w:val="double" w:sz="6" w:space="0" w:color="800000"/>
              <w:left w:val="single" w:sz="4" w:space="0" w:color="FFFFFF"/>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РБ</w:t>
            </w:r>
          </w:p>
        </w:tc>
        <w:tc>
          <w:tcPr>
            <w:tcW w:w="824" w:type="dxa"/>
            <w:tcBorders>
              <w:top w:val="double" w:sz="6" w:space="0" w:color="800000"/>
              <w:left w:val="nil"/>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 xml:space="preserve">Съдеб. </w:t>
            </w:r>
          </w:p>
          <w:p w:rsidR="000938C1" w:rsidRPr="00F85C67" w:rsidRDefault="000938C1" w:rsidP="009E1415">
            <w:pPr>
              <w:jc w:val="center"/>
              <w:rPr>
                <w:b/>
                <w:bCs/>
                <w:color w:val="FFFFFF"/>
                <w:sz w:val="18"/>
                <w:szCs w:val="18"/>
              </w:rPr>
            </w:pPr>
            <w:r w:rsidRPr="00F85C67">
              <w:rPr>
                <w:b/>
                <w:bCs/>
                <w:color w:val="FFFFFF"/>
                <w:sz w:val="18"/>
                <w:szCs w:val="18"/>
              </w:rPr>
              <w:t>власт</w:t>
            </w:r>
          </w:p>
        </w:tc>
        <w:tc>
          <w:tcPr>
            <w:tcW w:w="620" w:type="dxa"/>
            <w:tcBorders>
              <w:top w:val="double" w:sz="6" w:space="0" w:color="800000"/>
              <w:left w:val="double" w:sz="6" w:space="0" w:color="800000"/>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БАН</w:t>
            </w:r>
          </w:p>
        </w:tc>
        <w:tc>
          <w:tcPr>
            <w:tcW w:w="540" w:type="dxa"/>
            <w:tcBorders>
              <w:top w:val="double" w:sz="6" w:space="0" w:color="800000"/>
              <w:left w:val="single" w:sz="4" w:space="0" w:color="FFFFFF"/>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БНР</w:t>
            </w:r>
          </w:p>
        </w:tc>
        <w:tc>
          <w:tcPr>
            <w:tcW w:w="540"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БНТ</w:t>
            </w:r>
          </w:p>
        </w:tc>
        <w:tc>
          <w:tcPr>
            <w:tcW w:w="516" w:type="dxa"/>
            <w:tcBorders>
              <w:top w:val="double" w:sz="6" w:space="0" w:color="800000"/>
              <w:left w:val="nil"/>
              <w:bottom w:val="double" w:sz="6" w:space="0" w:color="800000"/>
              <w:right w:val="outset" w:sz="6" w:space="0" w:color="FFFFFF"/>
            </w:tcBorders>
            <w:shd w:val="clear" w:color="auto" w:fill="800000"/>
          </w:tcPr>
          <w:p w:rsidR="000938C1" w:rsidRPr="00F85C67" w:rsidRDefault="000938C1" w:rsidP="009E1415">
            <w:pPr>
              <w:jc w:val="center"/>
              <w:rPr>
                <w:b/>
                <w:bCs/>
                <w:color w:val="FFFFFF"/>
                <w:sz w:val="14"/>
                <w:szCs w:val="14"/>
              </w:rPr>
            </w:pPr>
          </w:p>
          <w:p w:rsidR="000938C1" w:rsidRPr="00F85C67" w:rsidRDefault="000938C1" w:rsidP="009E1415">
            <w:pPr>
              <w:jc w:val="center"/>
              <w:rPr>
                <w:b/>
                <w:bCs/>
                <w:color w:val="FFFFFF"/>
                <w:sz w:val="6"/>
                <w:szCs w:val="6"/>
              </w:rPr>
            </w:pPr>
          </w:p>
          <w:p w:rsidR="000938C1" w:rsidRPr="00F85C67" w:rsidRDefault="000938C1" w:rsidP="009E1415">
            <w:pPr>
              <w:jc w:val="center"/>
              <w:rPr>
                <w:b/>
                <w:bCs/>
                <w:color w:val="FFFFFF"/>
                <w:sz w:val="18"/>
                <w:szCs w:val="18"/>
              </w:rPr>
            </w:pPr>
            <w:r w:rsidRPr="00F85C67">
              <w:rPr>
                <w:b/>
                <w:bCs/>
                <w:color w:val="FFFFFF"/>
                <w:sz w:val="18"/>
                <w:szCs w:val="18"/>
              </w:rPr>
              <w:t>БТА</w:t>
            </w:r>
          </w:p>
        </w:tc>
        <w:tc>
          <w:tcPr>
            <w:tcW w:w="500" w:type="dxa"/>
            <w:tcBorders>
              <w:top w:val="double" w:sz="6" w:space="0" w:color="800000"/>
              <w:left w:val="outset" w:sz="6" w:space="0" w:color="FFFFFF"/>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НС</w:t>
            </w:r>
          </w:p>
        </w:tc>
        <w:tc>
          <w:tcPr>
            <w:tcW w:w="723" w:type="dxa"/>
            <w:tcBorders>
              <w:top w:val="double" w:sz="6" w:space="0" w:color="800000"/>
              <w:left w:val="single" w:sz="4" w:space="0" w:color="FFFFFF"/>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Общи</w:t>
            </w:r>
          </w:p>
          <w:p w:rsidR="000938C1" w:rsidRPr="00F85C67" w:rsidRDefault="000938C1" w:rsidP="009E1415">
            <w:pPr>
              <w:jc w:val="center"/>
              <w:rPr>
                <w:b/>
                <w:bCs/>
                <w:color w:val="FFFFFF"/>
                <w:sz w:val="18"/>
                <w:szCs w:val="18"/>
              </w:rPr>
            </w:pPr>
            <w:r w:rsidRPr="00F85C67">
              <w:rPr>
                <w:b/>
                <w:bCs/>
                <w:color w:val="FFFFFF"/>
                <w:sz w:val="18"/>
                <w:szCs w:val="18"/>
              </w:rPr>
              <w:t>ни</w:t>
            </w:r>
          </w:p>
        </w:tc>
        <w:tc>
          <w:tcPr>
            <w:tcW w:w="515"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ИБ</w:t>
            </w:r>
          </w:p>
          <w:p w:rsidR="000938C1" w:rsidRPr="00F85C67" w:rsidRDefault="000938C1" w:rsidP="009E1415">
            <w:pPr>
              <w:jc w:val="center"/>
              <w:rPr>
                <w:b/>
                <w:bCs/>
                <w:color w:val="FFFFFF"/>
                <w:sz w:val="18"/>
                <w:szCs w:val="18"/>
              </w:rPr>
            </w:pPr>
            <w:r w:rsidRPr="00F85C67">
              <w:rPr>
                <w:b/>
                <w:bCs/>
                <w:color w:val="FFFFFF"/>
                <w:sz w:val="18"/>
                <w:szCs w:val="18"/>
              </w:rPr>
              <w:t>СФ</w:t>
            </w:r>
          </w:p>
        </w:tc>
        <w:tc>
          <w:tcPr>
            <w:tcW w:w="702" w:type="dxa"/>
            <w:tcBorders>
              <w:top w:val="double" w:sz="6" w:space="0" w:color="800000"/>
              <w:left w:val="nil"/>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 xml:space="preserve">Предп. </w:t>
            </w:r>
          </w:p>
          <w:p w:rsidR="000938C1" w:rsidRPr="00F85C67" w:rsidRDefault="000938C1" w:rsidP="009E1415">
            <w:pPr>
              <w:jc w:val="center"/>
              <w:rPr>
                <w:b/>
                <w:bCs/>
                <w:color w:val="FFFFFF"/>
                <w:sz w:val="18"/>
                <w:szCs w:val="18"/>
              </w:rPr>
            </w:pPr>
            <w:r w:rsidRPr="00F85C67">
              <w:rPr>
                <w:b/>
                <w:bCs/>
                <w:color w:val="FFFFFF"/>
                <w:sz w:val="18"/>
                <w:szCs w:val="18"/>
              </w:rPr>
              <w:t>пр-ми</w:t>
            </w:r>
          </w:p>
        </w:tc>
        <w:tc>
          <w:tcPr>
            <w:tcW w:w="688" w:type="dxa"/>
            <w:tcBorders>
              <w:top w:val="double" w:sz="6" w:space="0" w:color="800000"/>
              <w:left w:val="nil"/>
              <w:bottom w:val="double" w:sz="6" w:space="0" w:color="800000"/>
              <w:right w:val="double" w:sz="6" w:space="0" w:color="800000"/>
            </w:tcBorders>
            <w:shd w:val="clear" w:color="auto" w:fill="800000"/>
          </w:tcPr>
          <w:p w:rsidR="000938C1" w:rsidRPr="00F85C67" w:rsidRDefault="000938C1" w:rsidP="009E1415">
            <w:pPr>
              <w:jc w:val="center"/>
              <w:rPr>
                <w:b/>
                <w:bCs/>
                <w:color w:val="FFFFFF"/>
                <w:sz w:val="18"/>
                <w:szCs w:val="18"/>
              </w:rPr>
            </w:pPr>
            <w:r w:rsidRPr="00F85C67">
              <w:rPr>
                <w:b/>
                <w:bCs/>
                <w:color w:val="FFFFFF"/>
                <w:sz w:val="18"/>
                <w:szCs w:val="18"/>
              </w:rPr>
              <w:t>Европ</w:t>
            </w:r>
            <w:r w:rsidRPr="00F85C67">
              <w:rPr>
                <w:b/>
                <w:bCs/>
                <w:color w:val="FFFFFF"/>
                <w:sz w:val="14"/>
                <w:szCs w:val="14"/>
              </w:rPr>
              <w:t xml:space="preserve">. </w:t>
            </w:r>
            <w:r w:rsidRPr="00F85C67">
              <w:rPr>
                <w:b/>
                <w:bCs/>
                <w:color w:val="FFFFFF"/>
                <w:sz w:val="18"/>
                <w:szCs w:val="18"/>
              </w:rPr>
              <w:t>ср-ва</w:t>
            </w:r>
          </w:p>
        </w:tc>
        <w:tc>
          <w:tcPr>
            <w:tcW w:w="890" w:type="dxa"/>
            <w:gridSpan w:val="2"/>
            <w:tcBorders>
              <w:top w:val="double" w:sz="6" w:space="0" w:color="800000"/>
              <w:left w:val="double" w:sz="6" w:space="0" w:color="800000"/>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Др. сметки</w:t>
            </w:r>
            <w:r w:rsidRPr="00F85C67">
              <w:rPr>
                <w:rStyle w:val="FootnoteReference"/>
                <w:b/>
                <w:bCs/>
                <w:color w:val="FFFFFF"/>
                <w:sz w:val="18"/>
                <w:szCs w:val="18"/>
              </w:rPr>
              <w:footnoteReference w:id="17"/>
            </w:r>
          </w:p>
        </w:tc>
      </w:tr>
      <w:tr w:rsidR="000938C1" w:rsidRPr="00702FD4" w:rsidTr="009E1415">
        <w:trPr>
          <w:gridAfter w:val="1"/>
          <w:wAfter w:w="26" w:type="dxa"/>
          <w:trHeight w:val="270"/>
        </w:trPr>
        <w:tc>
          <w:tcPr>
            <w:tcW w:w="2472" w:type="dxa"/>
            <w:tcBorders>
              <w:top w:val="double" w:sz="6" w:space="0" w:color="800000"/>
              <w:left w:val="double" w:sz="6" w:space="0" w:color="800000"/>
              <w:bottom w:val="nil"/>
              <w:right w:val="single" w:sz="4" w:space="0" w:color="800000"/>
            </w:tcBorders>
            <w:shd w:val="clear" w:color="auto" w:fill="FFFFCC"/>
            <w:noWrap/>
            <w:vAlign w:val="bottom"/>
          </w:tcPr>
          <w:p w:rsidR="000938C1" w:rsidRPr="00702FD4" w:rsidRDefault="000938C1" w:rsidP="009E1415">
            <w:pPr>
              <w:rPr>
                <w:b/>
                <w:bCs/>
                <w:sz w:val="18"/>
                <w:szCs w:val="18"/>
              </w:rPr>
            </w:pPr>
            <w:r w:rsidRPr="00702FD4">
              <w:rPr>
                <w:b/>
                <w:bCs/>
                <w:sz w:val="18"/>
                <w:szCs w:val="18"/>
              </w:rPr>
              <w:t>VII. ПОЧИВНО ДЕЛО, КУЛТУРА, РЕЛИГИОЗНИ ДЕЙНОСТИ</w:t>
            </w:r>
          </w:p>
        </w:tc>
        <w:tc>
          <w:tcPr>
            <w:tcW w:w="900" w:type="dxa"/>
            <w:tcBorders>
              <w:top w:val="double" w:sz="6"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669,4</w:t>
            </w:r>
          </w:p>
        </w:tc>
        <w:tc>
          <w:tcPr>
            <w:tcW w:w="720" w:type="dxa"/>
            <w:tcBorders>
              <w:top w:val="double" w:sz="6"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149,5</w:t>
            </w:r>
          </w:p>
        </w:tc>
        <w:tc>
          <w:tcPr>
            <w:tcW w:w="824" w:type="dxa"/>
            <w:tcBorders>
              <w:top w:val="double" w:sz="6" w:space="0" w:color="800000"/>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2,1</w:t>
            </w:r>
          </w:p>
        </w:tc>
        <w:tc>
          <w:tcPr>
            <w:tcW w:w="620" w:type="dxa"/>
            <w:tcBorders>
              <w:top w:val="double" w:sz="6" w:space="0" w:color="800000"/>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1,0</w:t>
            </w:r>
          </w:p>
        </w:tc>
        <w:tc>
          <w:tcPr>
            <w:tcW w:w="540" w:type="dxa"/>
            <w:tcBorders>
              <w:top w:val="double" w:sz="6" w:space="0" w:color="800000"/>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44,6</w:t>
            </w:r>
          </w:p>
        </w:tc>
        <w:tc>
          <w:tcPr>
            <w:tcW w:w="540" w:type="dxa"/>
            <w:tcBorders>
              <w:top w:val="double" w:sz="6"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79,2</w:t>
            </w:r>
          </w:p>
        </w:tc>
        <w:tc>
          <w:tcPr>
            <w:tcW w:w="516" w:type="dxa"/>
            <w:tcBorders>
              <w:top w:val="double" w:sz="6" w:space="0" w:color="800000"/>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6,4</w:t>
            </w:r>
          </w:p>
        </w:tc>
        <w:tc>
          <w:tcPr>
            <w:tcW w:w="500" w:type="dxa"/>
            <w:tcBorders>
              <w:top w:val="double" w:sz="6" w:space="0" w:color="800000"/>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1,1</w:t>
            </w:r>
          </w:p>
        </w:tc>
        <w:tc>
          <w:tcPr>
            <w:tcW w:w="723" w:type="dxa"/>
            <w:tcBorders>
              <w:top w:val="double" w:sz="6"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258,2</w:t>
            </w:r>
          </w:p>
        </w:tc>
        <w:tc>
          <w:tcPr>
            <w:tcW w:w="515" w:type="dxa"/>
            <w:tcBorders>
              <w:top w:val="double" w:sz="6"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0,6</w:t>
            </w:r>
          </w:p>
        </w:tc>
        <w:tc>
          <w:tcPr>
            <w:tcW w:w="702" w:type="dxa"/>
            <w:tcBorders>
              <w:top w:val="double" w:sz="6" w:space="0" w:color="800000"/>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0,8</w:t>
            </w:r>
          </w:p>
        </w:tc>
        <w:tc>
          <w:tcPr>
            <w:tcW w:w="688" w:type="dxa"/>
            <w:tcBorders>
              <w:top w:val="double" w:sz="6" w:space="0" w:color="800000"/>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100,5</w:t>
            </w:r>
          </w:p>
        </w:tc>
        <w:tc>
          <w:tcPr>
            <w:tcW w:w="864" w:type="dxa"/>
            <w:tcBorders>
              <w:top w:val="double" w:sz="6" w:space="0" w:color="800000"/>
              <w:left w:val="single" w:sz="4" w:space="0" w:color="800000"/>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25,4</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b/>
                <w:bCs/>
                <w:sz w:val="18"/>
                <w:szCs w:val="18"/>
              </w:rPr>
            </w:pPr>
            <w:r w:rsidRPr="00702FD4">
              <w:rPr>
                <w:b/>
                <w:bCs/>
                <w:sz w:val="18"/>
                <w:szCs w:val="18"/>
              </w:rPr>
              <w:t xml:space="preserve"> А. ПОЧИВНО ДЕЛО</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16,7</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10,1</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2,1</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0,2</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0,2</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0,4</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1,1</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2,4</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0,2</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sz w:val="18"/>
                <w:szCs w:val="18"/>
              </w:rPr>
            </w:pPr>
            <w:r w:rsidRPr="00702FD4">
              <w:rPr>
                <w:sz w:val="18"/>
                <w:szCs w:val="18"/>
              </w:rPr>
              <w:t xml:space="preserve">   Текущи нелихвени разходи</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15,4</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9,1</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2,1</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0,2</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0,1</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0,4</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1,0</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2,3</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0,2</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sz w:val="18"/>
                <w:szCs w:val="18"/>
              </w:rPr>
            </w:pPr>
            <w:r w:rsidRPr="00702FD4">
              <w:rPr>
                <w:sz w:val="18"/>
                <w:szCs w:val="18"/>
              </w:rPr>
              <w:t xml:space="preserve">   Капиталови разходи</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1,3</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1,0</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0,0</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0,1</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0,0</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0,2</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0,0</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b/>
                <w:bCs/>
                <w:sz w:val="18"/>
                <w:szCs w:val="18"/>
              </w:rPr>
            </w:pPr>
            <w:r w:rsidRPr="00702FD4">
              <w:rPr>
                <w:b/>
                <w:bCs/>
                <w:sz w:val="18"/>
                <w:szCs w:val="18"/>
              </w:rPr>
              <w:t>Б. ФИЗИЧЕСКА КУЛТУРА И СПОРТ</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140,3</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25,0</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72,6</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0,4</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16,9</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25,4</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sz w:val="18"/>
                <w:szCs w:val="18"/>
              </w:rPr>
            </w:pPr>
            <w:r w:rsidRPr="00702FD4">
              <w:rPr>
                <w:sz w:val="18"/>
                <w:szCs w:val="18"/>
              </w:rPr>
              <w:t xml:space="preserve">   Текущи нелихвени разходи</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91,1</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25,0</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41,7</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1,4</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22,9</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sz w:val="18"/>
                <w:szCs w:val="18"/>
              </w:rPr>
            </w:pPr>
            <w:r w:rsidRPr="00702FD4">
              <w:rPr>
                <w:sz w:val="18"/>
                <w:szCs w:val="18"/>
              </w:rPr>
              <w:t xml:space="preserve">   Капиталови разходи</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49,2</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0,0</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31,0</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0,4</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15,4</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2,5</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b/>
                <w:bCs/>
                <w:sz w:val="18"/>
                <w:szCs w:val="18"/>
              </w:rPr>
            </w:pPr>
            <w:r w:rsidRPr="00702FD4">
              <w:rPr>
                <w:b/>
                <w:bCs/>
                <w:sz w:val="18"/>
                <w:szCs w:val="18"/>
              </w:rPr>
              <w:t xml:space="preserve"> В. КУЛТУРА</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508,8</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110,8</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0,8</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44,4</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78,9</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6,4</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183,1</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0,2</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0,8</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83,4</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sz w:val="18"/>
                <w:szCs w:val="18"/>
              </w:rPr>
            </w:pPr>
            <w:r w:rsidRPr="00702FD4">
              <w:rPr>
                <w:sz w:val="18"/>
                <w:szCs w:val="18"/>
              </w:rPr>
              <w:t xml:space="preserve">   Текущи нелихвени разходи</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394,2</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106,8</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0,7</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40,1</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61,1</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6,3</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165,5</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0,0</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0,8</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12,8</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sz w:val="18"/>
                <w:szCs w:val="18"/>
              </w:rPr>
            </w:pPr>
            <w:r w:rsidRPr="00702FD4">
              <w:rPr>
                <w:sz w:val="18"/>
                <w:szCs w:val="18"/>
              </w:rPr>
              <w:t xml:space="preserve">   Капиталови разходи</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114,5</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3,9</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0,1</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4,3</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17,7</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0,1</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17,6</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0,2</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70,6</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b/>
                <w:bCs/>
                <w:sz w:val="18"/>
                <w:szCs w:val="18"/>
              </w:rPr>
            </w:pPr>
            <w:r w:rsidRPr="00702FD4">
              <w:rPr>
                <w:b/>
                <w:bCs/>
                <w:sz w:val="18"/>
                <w:szCs w:val="18"/>
              </w:rPr>
              <w:t xml:space="preserve"> Г. РЕЛИГИОЗНО ДЕЛО</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3,6</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3,6</w:t>
            </w:r>
          </w:p>
        </w:tc>
        <w:tc>
          <w:tcPr>
            <w:tcW w:w="824" w:type="dxa"/>
            <w:tcBorders>
              <w:top w:val="nil"/>
              <w:left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b/>
                <w:bCs/>
                <w:color w:val="000000"/>
                <w:sz w:val="18"/>
                <w:szCs w:val="18"/>
              </w:rPr>
            </w:pPr>
            <w:r>
              <w:rPr>
                <w:b/>
                <w:bCs/>
                <w:color w:val="000000"/>
                <w:sz w:val="18"/>
                <w:szCs w:val="18"/>
              </w:rPr>
              <w:t> </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b/>
                <w:bCs/>
                <w:color w:val="000000"/>
                <w:sz w:val="18"/>
                <w:szCs w:val="18"/>
              </w:rPr>
            </w:pPr>
            <w:r>
              <w:rPr>
                <w:b/>
                <w:bCs/>
                <w:color w:val="000000"/>
                <w:sz w:val="18"/>
                <w:szCs w:val="18"/>
              </w:rPr>
              <w:t> </w:t>
            </w:r>
          </w:p>
        </w:tc>
      </w:tr>
      <w:tr w:rsidR="000938C1" w:rsidRPr="00702FD4" w:rsidTr="009E1415">
        <w:trPr>
          <w:gridAfter w:val="1"/>
          <w:wAfter w:w="26" w:type="dxa"/>
          <w:trHeight w:val="255"/>
        </w:trPr>
        <w:tc>
          <w:tcPr>
            <w:tcW w:w="2472" w:type="dxa"/>
            <w:tcBorders>
              <w:top w:val="nil"/>
              <w:left w:val="double" w:sz="6" w:space="0" w:color="800000"/>
              <w:bottom w:val="nil"/>
              <w:right w:val="single" w:sz="4" w:space="0" w:color="800000"/>
            </w:tcBorders>
            <w:shd w:val="clear" w:color="auto" w:fill="FFFFCC"/>
            <w:noWrap/>
            <w:vAlign w:val="bottom"/>
          </w:tcPr>
          <w:p w:rsidR="000938C1" w:rsidRPr="00702FD4" w:rsidRDefault="000938C1" w:rsidP="009E1415">
            <w:pPr>
              <w:rPr>
                <w:sz w:val="18"/>
                <w:szCs w:val="18"/>
              </w:rPr>
            </w:pPr>
            <w:r w:rsidRPr="00702FD4">
              <w:rPr>
                <w:sz w:val="18"/>
                <w:szCs w:val="18"/>
              </w:rPr>
              <w:t xml:space="preserve">   Текущи нелихвени разходи</w:t>
            </w:r>
          </w:p>
        </w:tc>
        <w:tc>
          <w:tcPr>
            <w:tcW w:w="90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3,6</w:t>
            </w:r>
          </w:p>
        </w:tc>
        <w:tc>
          <w:tcPr>
            <w:tcW w:w="72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3,6</w:t>
            </w:r>
          </w:p>
        </w:tc>
        <w:tc>
          <w:tcPr>
            <w:tcW w:w="824"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620" w:type="dxa"/>
            <w:tcBorders>
              <w:top w:val="nil"/>
              <w:left w:val="single" w:sz="4" w:space="0" w:color="800000"/>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16"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00" w:type="dxa"/>
            <w:tcBorders>
              <w:top w:val="nil"/>
              <w:left w:val="single" w:sz="4" w:space="0" w:color="800000"/>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23"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15"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2" w:type="dxa"/>
            <w:tcBorders>
              <w:top w:val="nil"/>
              <w:left w:val="nil"/>
              <w:bottom w:val="nil"/>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688" w:type="dxa"/>
            <w:tcBorders>
              <w:top w:val="nil"/>
              <w:left w:val="nil"/>
              <w:bottom w:val="nil"/>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864" w:type="dxa"/>
            <w:tcBorders>
              <w:top w:val="nil"/>
              <w:left w:val="single" w:sz="4" w:space="0" w:color="800000"/>
              <w:bottom w:val="nil"/>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r w:rsidR="000938C1" w:rsidRPr="00702FD4" w:rsidTr="009E1415">
        <w:trPr>
          <w:gridAfter w:val="1"/>
          <w:wAfter w:w="26" w:type="dxa"/>
          <w:trHeight w:val="270"/>
        </w:trPr>
        <w:tc>
          <w:tcPr>
            <w:tcW w:w="2472" w:type="dxa"/>
            <w:tcBorders>
              <w:top w:val="nil"/>
              <w:left w:val="double" w:sz="6" w:space="0" w:color="800000"/>
              <w:bottom w:val="double" w:sz="6" w:space="0" w:color="800000"/>
              <w:right w:val="single" w:sz="4" w:space="0" w:color="800000"/>
            </w:tcBorders>
            <w:shd w:val="clear" w:color="auto" w:fill="FFFFCC"/>
            <w:noWrap/>
            <w:vAlign w:val="bottom"/>
          </w:tcPr>
          <w:p w:rsidR="000938C1" w:rsidRPr="00702FD4" w:rsidRDefault="000938C1" w:rsidP="009E1415">
            <w:pPr>
              <w:rPr>
                <w:sz w:val="18"/>
                <w:szCs w:val="18"/>
              </w:rPr>
            </w:pPr>
            <w:r w:rsidRPr="00702FD4">
              <w:rPr>
                <w:sz w:val="18"/>
                <w:szCs w:val="18"/>
              </w:rPr>
              <w:t xml:space="preserve">   Капиталови разходи</w:t>
            </w:r>
          </w:p>
        </w:tc>
        <w:tc>
          <w:tcPr>
            <w:tcW w:w="900"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824" w:type="dxa"/>
            <w:tcBorders>
              <w:top w:val="nil"/>
              <w:left w:val="nil"/>
              <w:bottom w:val="double" w:sz="6" w:space="0" w:color="800000"/>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620" w:type="dxa"/>
            <w:tcBorders>
              <w:top w:val="nil"/>
              <w:left w:val="single" w:sz="4" w:space="0" w:color="800000"/>
              <w:bottom w:val="double" w:sz="6" w:space="0" w:color="800000"/>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single" w:sz="4" w:space="0" w:color="800000"/>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40"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16" w:type="dxa"/>
            <w:tcBorders>
              <w:top w:val="nil"/>
              <w:left w:val="nil"/>
              <w:bottom w:val="double" w:sz="6" w:space="0" w:color="800000"/>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500" w:type="dxa"/>
            <w:tcBorders>
              <w:top w:val="nil"/>
              <w:left w:val="single" w:sz="4" w:space="0" w:color="800000"/>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23"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515"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702" w:type="dxa"/>
            <w:tcBorders>
              <w:top w:val="nil"/>
              <w:left w:val="nil"/>
              <w:bottom w:val="double" w:sz="6" w:space="0" w:color="800000"/>
              <w:right w:val="single" w:sz="4"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c>
          <w:tcPr>
            <w:tcW w:w="688" w:type="dxa"/>
            <w:tcBorders>
              <w:top w:val="nil"/>
              <w:left w:val="nil"/>
              <w:bottom w:val="double" w:sz="6" w:space="0" w:color="800000"/>
              <w:right w:val="single" w:sz="4" w:space="0" w:color="800000"/>
            </w:tcBorders>
            <w:shd w:val="clear" w:color="auto" w:fill="FFFFCC"/>
            <w:vAlign w:val="bottom"/>
          </w:tcPr>
          <w:p w:rsidR="000938C1" w:rsidRDefault="000938C1" w:rsidP="009E1415">
            <w:pPr>
              <w:jc w:val="right"/>
              <w:rPr>
                <w:color w:val="000000"/>
                <w:sz w:val="18"/>
                <w:szCs w:val="18"/>
              </w:rPr>
            </w:pPr>
            <w:r>
              <w:rPr>
                <w:color w:val="000000"/>
                <w:sz w:val="18"/>
                <w:szCs w:val="18"/>
              </w:rPr>
              <w:t> </w:t>
            </w:r>
          </w:p>
        </w:tc>
        <w:tc>
          <w:tcPr>
            <w:tcW w:w="864" w:type="dxa"/>
            <w:tcBorders>
              <w:top w:val="nil"/>
              <w:left w:val="single" w:sz="4" w:space="0" w:color="800000"/>
              <w:bottom w:val="double" w:sz="6" w:space="0" w:color="800000"/>
              <w:right w:val="double" w:sz="6" w:space="0" w:color="800000"/>
            </w:tcBorders>
            <w:shd w:val="clear" w:color="auto" w:fill="FFFFCC"/>
            <w:noWrap/>
            <w:vAlign w:val="bottom"/>
          </w:tcPr>
          <w:p w:rsidR="000938C1" w:rsidRDefault="000938C1" w:rsidP="009E1415">
            <w:pPr>
              <w:jc w:val="right"/>
              <w:rPr>
                <w:color w:val="000000"/>
                <w:sz w:val="18"/>
                <w:szCs w:val="18"/>
              </w:rPr>
            </w:pPr>
            <w:r>
              <w:rPr>
                <w:color w:val="000000"/>
                <w:sz w:val="18"/>
                <w:szCs w:val="18"/>
              </w:rPr>
              <w:t> </w:t>
            </w:r>
          </w:p>
        </w:tc>
      </w:tr>
    </w:tbl>
    <w:p w:rsidR="000938C1" w:rsidRPr="00CF1A14" w:rsidRDefault="000938C1" w:rsidP="00F85C67">
      <w:pPr>
        <w:jc w:val="both"/>
        <w:rPr>
          <w:color w:val="0070C0"/>
        </w:rPr>
      </w:pPr>
    </w:p>
    <w:p w:rsidR="000938C1" w:rsidRPr="00CF1A14" w:rsidRDefault="000938C1" w:rsidP="00F85C67">
      <w:pPr>
        <w:ind w:firstLine="720"/>
        <w:rPr>
          <w:b/>
          <w:color w:val="0070C0"/>
          <w:lang w:val="en-US"/>
        </w:rPr>
      </w:pPr>
    </w:p>
    <w:p w:rsidR="000938C1" w:rsidRPr="005A4B43" w:rsidRDefault="000938C1" w:rsidP="00F85C67">
      <w:pPr>
        <w:ind w:firstLine="720"/>
        <w:rPr>
          <w:b/>
          <w:i/>
        </w:rPr>
      </w:pPr>
      <w:r w:rsidRPr="005A4B43">
        <w:rPr>
          <w:b/>
        </w:rPr>
        <w:t xml:space="preserve">Група А: </w:t>
      </w:r>
      <w:r w:rsidRPr="005A4B43">
        <w:rPr>
          <w:b/>
          <w:i/>
        </w:rPr>
        <w:t>„Почивно дело”</w:t>
      </w:r>
    </w:p>
    <w:p w:rsidR="000938C1" w:rsidRPr="00CF1A14" w:rsidRDefault="000938C1" w:rsidP="00F85C67">
      <w:pPr>
        <w:rPr>
          <w:b/>
          <w:color w:val="0070C0"/>
          <w:sz w:val="12"/>
          <w:szCs w:val="12"/>
        </w:rPr>
      </w:pPr>
    </w:p>
    <w:p w:rsidR="000938C1" w:rsidRPr="005A4B43" w:rsidRDefault="000938C1" w:rsidP="00F85C67">
      <w:pPr>
        <w:ind w:firstLine="709"/>
        <w:jc w:val="both"/>
      </w:pPr>
      <w:r w:rsidRPr="005A4B43">
        <w:t>Основната цел на публичните разходи и през 2013 г. за група „Почивно дело” е подобряване условията за отдих на работещите. Предвидените със ЗДБРБ за 2013 г. разходи по републиканския бюджет за тази група са в размер на 8,8 млн. лв. и са за финансово обезпечаване на материално техническата база на почивните станции към министерствата и ведомствата.</w:t>
      </w:r>
    </w:p>
    <w:p w:rsidR="000938C1" w:rsidRDefault="000938C1" w:rsidP="00F85C67">
      <w:pPr>
        <w:spacing w:after="120"/>
        <w:ind w:firstLine="539"/>
        <w:jc w:val="both"/>
      </w:pPr>
      <w:r w:rsidRPr="005A4B43">
        <w:t xml:space="preserve">По отчет разходите за почивно дело по републиканския бюджет са в размер на 10,1 млн. лв., в т.ч. 9,1 млн. лв. текущи разходи. По </w:t>
      </w:r>
      <w:r w:rsidRPr="005A4B43">
        <w:rPr>
          <w:b/>
        </w:rPr>
        <w:t>общинските бюджети</w:t>
      </w:r>
      <w:r w:rsidRPr="005A4B43">
        <w:t xml:space="preserve"> за дейностите в </w:t>
      </w:r>
      <w:r w:rsidRPr="00A835F9">
        <w:t>групата са усвоени 2,4 млн. лв., само за местни дейности.</w:t>
      </w:r>
    </w:p>
    <w:p w:rsidR="000938C1" w:rsidRPr="00CF1A14" w:rsidRDefault="000938C1" w:rsidP="00F85C67">
      <w:pPr>
        <w:ind w:firstLine="540"/>
        <w:rPr>
          <w:b/>
          <w:color w:val="0070C0"/>
          <w:sz w:val="12"/>
          <w:szCs w:val="12"/>
        </w:rPr>
      </w:pPr>
    </w:p>
    <w:p w:rsidR="000938C1" w:rsidRPr="00FF337B" w:rsidRDefault="000938C1" w:rsidP="00F85C67">
      <w:pPr>
        <w:ind w:firstLine="540"/>
        <w:rPr>
          <w:b/>
        </w:rPr>
      </w:pPr>
      <w:r w:rsidRPr="00FF337B">
        <w:rPr>
          <w:b/>
        </w:rPr>
        <w:t xml:space="preserve">Група Б: </w:t>
      </w:r>
      <w:r w:rsidRPr="00FF337B">
        <w:rPr>
          <w:b/>
          <w:i/>
        </w:rPr>
        <w:t>„Физическа култура и спорт”</w:t>
      </w:r>
    </w:p>
    <w:p w:rsidR="000938C1" w:rsidRPr="00CF1A14" w:rsidRDefault="000938C1" w:rsidP="00F85C67">
      <w:pPr>
        <w:ind w:firstLine="540"/>
        <w:rPr>
          <w:b/>
          <w:color w:val="0070C0"/>
          <w:sz w:val="12"/>
          <w:szCs w:val="12"/>
        </w:rPr>
      </w:pPr>
    </w:p>
    <w:p w:rsidR="000938C1" w:rsidRPr="00D70926" w:rsidRDefault="000938C1" w:rsidP="00F85C67">
      <w:pPr>
        <w:ind w:firstLine="540"/>
        <w:jc w:val="both"/>
      </w:pPr>
      <w:r w:rsidRPr="00D70926">
        <w:t>Разходите за група „Физическа култура и спорт” по бюджетите на министерствата и ведомствата</w:t>
      </w:r>
      <w:r w:rsidRPr="00D70926">
        <w:rPr>
          <w:lang w:val="ru-RU"/>
        </w:rPr>
        <w:t xml:space="preserve"> (</w:t>
      </w:r>
      <w:r w:rsidRPr="00D70926">
        <w:t>ММС</w:t>
      </w:r>
      <w:r w:rsidRPr="00D70926">
        <w:rPr>
          <w:lang w:val="ru-RU"/>
        </w:rPr>
        <w:t>)</w:t>
      </w:r>
      <w:r w:rsidRPr="00D70926">
        <w:t xml:space="preserve"> за 2013 г. са в размер на 25,0 млн. лв. Средствата са усвоени за подпомагане развитието на физическото възпитание и спорта в страната, за реализиране на дейности по програми за олимпийска подготовка и за развитие на спорта за високи постижения, за финансиране на спортни проекти и дейности по целеви програми за развитие на спорта за учащи и спорта в свободното време. Спрямо отчетените разходи за 2012 г. усвоените средства по републиканския бюджет за дейности по група „Физическа култура и спорт” са по-малко със 7,2 млн. </w:t>
      </w:r>
      <w:r>
        <w:t>лева</w:t>
      </w:r>
      <w:r w:rsidRPr="00D70926">
        <w:t xml:space="preserve">. </w:t>
      </w:r>
    </w:p>
    <w:p w:rsidR="000938C1" w:rsidRPr="000624CA" w:rsidRDefault="000938C1" w:rsidP="00F85C67">
      <w:pPr>
        <w:ind w:firstLine="540"/>
        <w:jc w:val="both"/>
      </w:pPr>
      <w:r w:rsidRPr="000624CA">
        <w:t>Отчетените разходи по републиканския бюджет в групата са по бюджета на ММС.  През годината разходите за дейности по група „Физическа култура и спорт” са нараснали с 3,0 млн. лв. в сравнение със заложените по ЗДБРБ за 2013 г., в резултат на извършени корекции по реда на чл. 34, ал. 1 и 2 от ЗУДБ, във връзка с осигуряване на средства, както следва:</w:t>
      </w:r>
    </w:p>
    <w:p w:rsidR="000938C1" w:rsidRPr="000624CA" w:rsidRDefault="000938C1" w:rsidP="00F30F79">
      <w:pPr>
        <w:numPr>
          <w:ilvl w:val="0"/>
          <w:numId w:val="26"/>
        </w:numPr>
        <w:tabs>
          <w:tab w:val="clear" w:pos="360"/>
          <w:tab w:val="num" w:pos="0"/>
        </w:tabs>
        <w:ind w:left="0" w:firstLine="540"/>
        <w:jc w:val="both"/>
      </w:pPr>
      <w:r w:rsidRPr="000624CA">
        <w:t>за подпомагане дейността на български спортни федерации по организирането и провеждането на европейски, световни и други международни първенства на територията на Република България – 3,0 млн. лв.;</w:t>
      </w:r>
    </w:p>
    <w:p w:rsidR="000938C1" w:rsidRPr="000624CA" w:rsidRDefault="000938C1" w:rsidP="00F30F79">
      <w:pPr>
        <w:numPr>
          <w:ilvl w:val="0"/>
          <w:numId w:val="26"/>
        </w:numPr>
        <w:tabs>
          <w:tab w:val="clear" w:pos="360"/>
          <w:tab w:val="num" w:pos="0"/>
        </w:tabs>
        <w:spacing w:after="120"/>
        <w:ind w:left="0" w:firstLine="539"/>
        <w:jc w:val="both"/>
      </w:pPr>
      <w:r w:rsidRPr="000624CA">
        <w:t>в изпълнение на ПМС № 129 от 2000 г. и др.  – 0,008 млн. лв.</w:t>
      </w:r>
    </w:p>
    <w:p w:rsidR="000938C1" w:rsidRPr="00525F2E" w:rsidRDefault="000938C1" w:rsidP="00F85C67">
      <w:pPr>
        <w:spacing w:after="120"/>
        <w:ind w:firstLine="539"/>
        <w:jc w:val="both"/>
      </w:pPr>
      <w:r w:rsidRPr="00525F2E">
        <w:t xml:space="preserve">От отчетените разходи в група „Физическа култура и спорт” по бюджета на ММС, най-голям дял заемат средствата за подпомагане дейности на спортни организации </w:t>
      </w:r>
      <w:r w:rsidRPr="00525F2E">
        <w:rPr>
          <w:lang w:val="ru-RU"/>
        </w:rPr>
        <w:t>(</w:t>
      </w:r>
      <w:r w:rsidRPr="00525F2E">
        <w:t>субсидии за юридически лица с нестопанска цел</w:t>
      </w:r>
      <w:r w:rsidRPr="00525F2E">
        <w:rPr>
          <w:lang w:val="ru-RU"/>
        </w:rPr>
        <w:t>)</w:t>
      </w:r>
      <w:r w:rsidRPr="00525F2E">
        <w:t xml:space="preserve"> за развитието на физическото възпитание и спорта в страната – 24,8 млн.</w:t>
      </w:r>
      <w:r>
        <w:t xml:space="preserve"> </w:t>
      </w:r>
      <w:r w:rsidRPr="00525F2E">
        <w:t>лв. Средствата са изразходвани за реализиране на спортни дейности и проекти по утвърдените програми на ММС, както следва:</w:t>
      </w:r>
    </w:p>
    <w:p w:rsidR="000938C1" w:rsidRPr="00525F2E" w:rsidRDefault="000938C1" w:rsidP="00F30F79">
      <w:pPr>
        <w:numPr>
          <w:ilvl w:val="0"/>
          <w:numId w:val="22"/>
        </w:numPr>
        <w:tabs>
          <w:tab w:val="clear" w:pos="1260"/>
          <w:tab w:val="num" w:pos="0"/>
          <w:tab w:val="num" w:pos="1080"/>
          <w:tab w:val="num" w:pos="1155"/>
          <w:tab w:val="num" w:pos="1210"/>
        </w:tabs>
        <w:ind w:left="360"/>
        <w:jc w:val="both"/>
      </w:pPr>
      <w:r w:rsidRPr="00525F2E">
        <w:t>Програма „Олимпийска подготовка” – 14,</w:t>
      </w:r>
      <w:r>
        <w:t>8</w:t>
      </w:r>
      <w:r w:rsidRPr="00525F2E">
        <w:t xml:space="preserve"> млн. лв., в т.ч.: 13,6 млн. лв. предоставени средства на спортни федерации и клубове по договори за олимпийска подготовка; 0,8 млн. лв. за участие на българските делегации в Зимните олимпийски игри Сочи 2014 г. и 0,392 млн. лв. за др. дейности по програма за олимпийска подготовка. /възстановени средства – 0,049 млн. лв./;</w:t>
      </w:r>
    </w:p>
    <w:p w:rsidR="000938C1" w:rsidRPr="00525F2E" w:rsidRDefault="000938C1" w:rsidP="00F30F79">
      <w:pPr>
        <w:numPr>
          <w:ilvl w:val="0"/>
          <w:numId w:val="22"/>
        </w:numPr>
        <w:tabs>
          <w:tab w:val="clear" w:pos="1260"/>
          <w:tab w:val="num" w:pos="0"/>
          <w:tab w:val="num" w:pos="1080"/>
          <w:tab w:val="num" w:pos="1155"/>
          <w:tab w:val="num" w:pos="1210"/>
        </w:tabs>
        <w:ind w:left="360"/>
        <w:jc w:val="both"/>
      </w:pPr>
      <w:r w:rsidRPr="00525F2E">
        <w:t>Програма „Спорт за високи постижения” – 7,8 млн. лв., в т.ч.: 6,97 млн. лв. за подпомагане организирането и провеждането на световни и европейски първенства на територията на Република България, включени в международния спортен календар; 0,6 млн. лв. за участие в Европейски младежки фестивали по олимпийски спортове; 0,2 млн. лв. за подпомагане и лечение на спортисти и др. дейности по програма за развитие на  спорта за високи постижения;</w:t>
      </w:r>
    </w:p>
    <w:p w:rsidR="000938C1" w:rsidRPr="00525F2E" w:rsidRDefault="000938C1" w:rsidP="00F30F79">
      <w:pPr>
        <w:numPr>
          <w:ilvl w:val="0"/>
          <w:numId w:val="22"/>
        </w:numPr>
        <w:tabs>
          <w:tab w:val="clear" w:pos="1260"/>
          <w:tab w:val="num" w:pos="0"/>
          <w:tab w:val="num" w:pos="1080"/>
          <w:tab w:val="num" w:pos="1155"/>
          <w:tab w:val="num" w:pos="1210"/>
        </w:tabs>
        <w:ind w:left="360"/>
        <w:jc w:val="both"/>
      </w:pPr>
      <w:r w:rsidRPr="00525F2E">
        <w:t xml:space="preserve">Програма „Спорт за учащи” – 0,7 млн. лв. за осигуряване на възможности за физическа активност, спортно-състезателна дейност, изява и постигане на спортни резултати за учащи по: програми ученически игри за общообразователни и специални училища (0,5 млн. лв.); програма „Спорт за хора с увреждания и деца в риск” и програми за физическа дееспособност и развитие на спорта за учащи (0,2 млн. лв.); </w:t>
      </w:r>
    </w:p>
    <w:p w:rsidR="000938C1" w:rsidRDefault="000938C1" w:rsidP="00F30F79">
      <w:pPr>
        <w:numPr>
          <w:ilvl w:val="0"/>
          <w:numId w:val="22"/>
        </w:numPr>
        <w:tabs>
          <w:tab w:val="clear" w:pos="1260"/>
          <w:tab w:val="num" w:pos="0"/>
          <w:tab w:val="num" w:pos="1080"/>
          <w:tab w:val="num" w:pos="1155"/>
          <w:tab w:val="num" w:pos="1210"/>
        </w:tabs>
        <w:ind w:left="360"/>
        <w:jc w:val="both"/>
      </w:pPr>
      <w:r w:rsidRPr="00525F2E">
        <w:t>Програма „Спорт в свободното време” – 1,</w:t>
      </w:r>
      <w:r>
        <w:t>6</w:t>
      </w:r>
      <w:r w:rsidRPr="00525F2E">
        <w:t xml:space="preserve"> млн. лв. за реализиране на спортни дейности и проекти по: програма спорт за децата в свободното време (0,9 млн. лв.), програма „Научи се да плуваш” (0,3 млн. лв.), програми за развитието на детския футбол (0,3млн. лв.); програми и проекти за развитие на спорта за всички (0,05 млн. лв.). </w:t>
      </w:r>
      <w:r>
        <w:rPr>
          <w:lang w:val="en-US"/>
        </w:rPr>
        <w:t>(</w:t>
      </w:r>
      <w:r w:rsidRPr="00525F2E">
        <w:t>възстановени средства – 0,003 млн. лв.</w:t>
      </w:r>
      <w:r>
        <w:rPr>
          <w:lang w:val="en-US"/>
        </w:rPr>
        <w:t>)</w:t>
      </w:r>
      <w:r>
        <w:t>.</w:t>
      </w:r>
    </w:p>
    <w:p w:rsidR="000938C1" w:rsidRPr="00525F2E" w:rsidRDefault="000938C1" w:rsidP="00F85C67">
      <w:pPr>
        <w:tabs>
          <w:tab w:val="num" w:pos="1080"/>
          <w:tab w:val="num" w:pos="1155"/>
          <w:tab w:val="num" w:pos="1210"/>
        </w:tabs>
        <w:jc w:val="both"/>
      </w:pPr>
      <w:r w:rsidRPr="00A12E53">
        <w:t>С реализираните дейности по горните програми са постигнати основните цели по провежданите от ММС политики в областта на спорта за високи постижения, издигане на спортния престиж на нацията и за развитието на спорта за учащи и спорта в свободното време.</w:t>
      </w:r>
    </w:p>
    <w:p w:rsidR="000938C1" w:rsidRPr="00CF1A14" w:rsidRDefault="000938C1" w:rsidP="00F85C67">
      <w:pPr>
        <w:spacing w:after="120"/>
        <w:ind w:firstLine="539"/>
        <w:jc w:val="both"/>
        <w:rPr>
          <w:color w:val="0070C0"/>
          <w:sz w:val="4"/>
          <w:szCs w:val="4"/>
        </w:rPr>
      </w:pPr>
    </w:p>
    <w:p w:rsidR="000938C1" w:rsidRPr="008C2D0B" w:rsidRDefault="000938C1" w:rsidP="00F85C67">
      <w:pPr>
        <w:spacing w:after="120"/>
        <w:ind w:firstLine="539"/>
        <w:jc w:val="both"/>
      </w:pPr>
      <w:r w:rsidRPr="00497F1B">
        <w:t>С най-голям относителен дял в разходите за група “Физическа култура и спорт” са усвоените средства</w:t>
      </w:r>
      <w:r w:rsidRPr="00497F1B">
        <w:rPr>
          <w:b/>
        </w:rPr>
        <w:t xml:space="preserve"> по бюджетите на общините </w:t>
      </w:r>
      <w:r w:rsidRPr="00497F1B">
        <w:t>в размер на</w:t>
      </w:r>
      <w:r>
        <w:t xml:space="preserve"> </w:t>
      </w:r>
      <w:r w:rsidRPr="00497F1B">
        <w:t xml:space="preserve">72,6 млн. лв., при планирани </w:t>
      </w:r>
      <w:r w:rsidRPr="00123885">
        <w:t xml:space="preserve">38,1 млн. лв. В групата за </w:t>
      </w:r>
      <w:r w:rsidRPr="00123885">
        <w:rPr>
          <w:i/>
        </w:rPr>
        <w:t>делегираните от държавата дейности</w:t>
      </w:r>
      <w:r w:rsidRPr="00123885">
        <w:t xml:space="preserve"> са отчетени текущи разходи в размер на 2,</w:t>
      </w:r>
      <w:r>
        <w:t>6</w:t>
      </w:r>
      <w:r w:rsidRPr="00123885">
        <w:t xml:space="preserve"> млн. лв., които представляват предоставени целевите средства от централния бюджет на общините за подпомагане на физкултурата и спорта в общинските детски градини и училища, в изпълнение на ПМС № 129/2000 г. за определяне на минимални </w:t>
      </w:r>
      <w:r w:rsidRPr="00E15EC4">
        <w:t xml:space="preserve">диференцирани размери на паричните средства за физическо възпитание и спорт. По отчетни данни за 2013 г. общините са дофинансирали държавните дейности със собствени приходи общо в размер на 0,2 млн. лв. В </w:t>
      </w:r>
      <w:r w:rsidRPr="00E15EC4">
        <w:rPr>
          <w:i/>
        </w:rPr>
        <w:t>местните дейности</w:t>
      </w:r>
      <w:r w:rsidRPr="00E15EC4">
        <w:t xml:space="preserve"> по групата са отчетени текущи разходи в размер на 39,3 млн. лв., което е с 86,2 % повече от разчетените със закона (18,2 млн. лв. преизпълнение на закона), а спрямо отчетените за </w:t>
      </w:r>
      <w:r w:rsidRPr="008C2D0B">
        <w:t>2012 г. имат увеличение с 5,0 млн. лв. Тук се включват разходите за детски и специализирани спортни школи, спортни бази за спорт за всички. Отчетените капиталови разходи по групата са в размер на 31,0 млн. лв., които са основно за  местни дейности. Съпоставени с</w:t>
      </w:r>
      <w:r>
        <w:t xml:space="preserve"> </w:t>
      </w:r>
      <w:r w:rsidRPr="008C2D0B">
        <w:t>отчета за 2012 г., капиталовите разходи имат увеличение с 9,1 млн.</w:t>
      </w:r>
      <w:r>
        <w:t xml:space="preserve"> лева</w:t>
      </w:r>
      <w:r w:rsidRPr="008C2D0B">
        <w:t>.</w:t>
      </w:r>
    </w:p>
    <w:p w:rsidR="000938C1" w:rsidRPr="00934BEE" w:rsidRDefault="000938C1" w:rsidP="00073030">
      <w:pPr>
        <w:spacing w:after="360"/>
        <w:ind w:firstLine="539"/>
        <w:jc w:val="both"/>
      </w:pPr>
      <w:r w:rsidRPr="008C2D0B">
        <w:rPr>
          <w:b/>
        </w:rPr>
        <w:t>Европейски средства</w:t>
      </w:r>
      <w:r w:rsidRPr="008C2D0B">
        <w:t xml:space="preserve"> – в групата са изразходвани 16,9 млн. лв.</w:t>
      </w:r>
      <w:r w:rsidRPr="008C2D0B">
        <w:rPr>
          <w:b/>
          <w:i/>
        </w:rPr>
        <w:t xml:space="preserve">, </w:t>
      </w:r>
      <w:r w:rsidRPr="008C2D0B">
        <w:t xml:space="preserve">като това са основно </w:t>
      </w:r>
      <w:r w:rsidRPr="00934BEE">
        <w:t>средства</w:t>
      </w:r>
      <w:r w:rsidRPr="00934BEE">
        <w:rPr>
          <w:b/>
          <w:i/>
        </w:rPr>
        <w:t xml:space="preserve">, </w:t>
      </w:r>
      <w:r w:rsidRPr="00934BEE">
        <w:t>предоставени от Разплащателната агенция към ДФЗ на общините</w:t>
      </w:r>
      <w:r>
        <w:t xml:space="preserve"> </w:t>
      </w:r>
      <w:r w:rsidRPr="00934BEE">
        <w:t>като бенефициенти по проекти - мерки по Програмата за развитие на селските райони, включващи изграждане на спортни площадки и др. спортни съоръжения.</w:t>
      </w:r>
    </w:p>
    <w:p w:rsidR="000938C1" w:rsidRPr="006A0C6B" w:rsidRDefault="000938C1" w:rsidP="00073030">
      <w:pPr>
        <w:spacing w:after="120"/>
        <w:ind w:firstLine="539"/>
        <w:rPr>
          <w:b/>
        </w:rPr>
      </w:pPr>
      <w:r w:rsidRPr="006A0C6B">
        <w:rPr>
          <w:b/>
        </w:rPr>
        <w:t xml:space="preserve">Група В: </w:t>
      </w:r>
      <w:r w:rsidRPr="006A0C6B">
        <w:rPr>
          <w:b/>
          <w:i/>
        </w:rPr>
        <w:t>„Култура”</w:t>
      </w:r>
    </w:p>
    <w:p w:rsidR="000938C1" w:rsidRPr="006A0C6B" w:rsidRDefault="000938C1" w:rsidP="00073030">
      <w:pPr>
        <w:autoSpaceDE w:val="0"/>
        <w:autoSpaceDN w:val="0"/>
        <w:adjustRightInd w:val="0"/>
        <w:spacing w:before="120" w:after="120"/>
        <w:ind w:firstLine="540"/>
        <w:jc w:val="both"/>
      </w:pPr>
      <w:r w:rsidRPr="006A0C6B">
        <w:t>Разходите по група „Култура” по КФП са 508,8 млн. лв., като основните бюджетни системи, в които те са отчетени са</w:t>
      </w:r>
      <w:r>
        <w:t>:</w:t>
      </w:r>
      <w:r w:rsidRPr="006A0C6B">
        <w:t xml:space="preserve"> републиканския бюджет, бюджетите на БНТ, БНР и бюджетите на общините. Основните цели на публичните разходи в областта на културата са насочени към създаване условия за устойчиво развитие на българската култура и изкуство, опазване на културно-историческото наследство, популяризиране достиженията на българските творци и повишаване конкурентоспособността на културния продукт. </w:t>
      </w:r>
    </w:p>
    <w:p w:rsidR="000938C1" w:rsidRPr="00C33823" w:rsidRDefault="000938C1" w:rsidP="00F85C67">
      <w:pPr>
        <w:ind w:firstLine="540"/>
        <w:jc w:val="both"/>
      </w:pPr>
      <w:r w:rsidRPr="009215C3">
        <w:t xml:space="preserve">Общо предвидените със ЗДБРБ за 2013 г. разходи за група “Култура” по бюджетите на </w:t>
      </w:r>
      <w:r w:rsidRPr="0052476D">
        <w:rPr>
          <w:b/>
        </w:rPr>
        <w:t xml:space="preserve">министерствата и ведомствата </w:t>
      </w:r>
      <w:r w:rsidRPr="009215C3">
        <w:t xml:space="preserve">са в размер на </w:t>
      </w:r>
      <w:r>
        <w:t>104,1</w:t>
      </w:r>
      <w:r w:rsidRPr="009215C3">
        <w:t xml:space="preserve"> млн. лв., в т.ч. капиталови разходи – </w:t>
      </w:r>
      <w:r>
        <w:t>6,5</w:t>
      </w:r>
      <w:r w:rsidRPr="00C33823">
        <w:t xml:space="preserve"> млн. лв. Средствата са предназначени за финансиране на част от дейностите за култура на МК, на Държавна агенция „Архиви” към МС, на МВнР, МО и МОН. Отчетените разходи са </w:t>
      </w:r>
      <w:r>
        <w:t>110,0</w:t>
      </w:r>
      <w:r w:rsidRPr="00C33823">
        <w:t xml:space="preserve"> млн. лв., в т.ч. капиталови разходи – </w:t>
      </w:r>
      <w:r>
        <w:t>3,9</w:t>
      </w:r>
      <w:r w:rsidRPr="00C33823">
        <w:t xml:space="preserve"> млн. </w:t>
      </w:r>
      <w:r>
        <w:t>лева</w:t>
      </w:r>
      <w:r w:rsidRPr="00C33823">
        <w:t>.</w:t>
      </w:r>
    </w:p>
    <w:p w:rsidR="000938C1" w:rsidRPr="00CF1A14" w:rsidRDefault="000938C1" w:rsidP="00F85C67">
      <w:pPr>
        <w:ind w:firstLine="540"/>
        <w:jc w:val="both"/>
        <w:rPr>
          <w:color w:val="0070C0"/>
          <w:sz w:val="12"/>
          <w:szCs w:val="12"/>
        </w:rPr>
      </w:pPr>
    </w:p>
    <w:p w:rsidR="000938C1" w:rsidRPr="003916DE" w:rsidRDefault="000938C1" w:rsidP="00F85C67">
      <w:pPr>
        <w:ind w:firstLine="540"/>
        <w:jc w:val="both"/>
      </w:pPr>
      <w:r w:rsidRPr="003916DE">
        <w:t xml:space="preserve">Чрез бюджета на Министерството на културата се финансират основните системи в областта на културата, като отчетените разходи са в размер на 99,1 млн. лв. и са за управление, контрол и регулиране на дейностите по културата, които обхващат дейността на Националния институт за недвижимо културно наследство и Изпълнителна агенция ”Национален филмов център”, дейности в областта на развитие на културата - „Национален фонд Култура”, дейности в областта на международното културно сътрудничество, осъществявани от българските културни институти в чужбина, дейности в областта на театрално изкуство, осъществявани от драматичните и куклени театри, дейности в областта на музикалното и танцовото изкуство, осъществявани от оперно-филхармонични дружества, опери и оркестри и ансамбли, дейности в областта на музейното дело, осъществявани от музеи и галерии, дейности в областта на българския книжен сектор, дейности в областта на популяризиране на българската култура и участия в международни фестивали и конкурси. </w:t>
      </w:r>
    </w:p>
    <w:p w:rsidR="000938C1" w:rsidRPr="002A1B76" w:rsidRDefault="000938C1" w:rsidP="00F85C67">
      <w:pPr>
        <w:ind w:firstLine="720"/>
        <w:jc w:val="both"/>
      </w:pPr>
      <w:r w:rsidRPr="002A1B76">
        <w:t xml:space="preserve">Отчетените разходи за дейностите по съхраняване и обработка на архивни документи, осъществявани от Държавна агенция „Архиви” (второстепенен разпоредител с бюджетни кредити към МС)  са в размер на 6,8 млн. </w:t>
      </w:r>
      <w:r>
        <w:t>лева</w:t>
      </w:r>
      <w:r w:rsidRPr="002A1B76">
        <w:t>.</w:t>
      </w:r>
    </w:p>
    <w:p w:rsidR="000938C1" w:rsidRPr="002A1B76" w:rsidRDefault="000938C1" w:rsidP="00F85C67">
      <w:pPr>
        <w:ind w:firstLine="720"/>
        <w:jc w:val="both"/>
      </w:pPr>
      <w:r w:rsidRPr="002A1B76">
        <w:t xml:space="preserve">За популяризиране на българската култура, осъществявана от културния институт към Министерство на външните работи са разходвани 0,2 млн. </w:t>
      </w:r>
      <w:r>
        <w:t>лева</w:t>
      </w:r>
      <w:r w:rsidRPr="002A1B76">
        <w:t>.</w:t>
      </w:r>
    </w:p>
    <w:p w:rsidR="000938C1" w:rsidRDefault="000938C1" w:rsidP="00F85C67">
      <w:pPr>
        <w:ind w:firstLine="720"/>
        <w:jc w:val="both"/>
      </w:pPr>
      <w:r w:rsidRPr="006B59EE">
        <w:t xml:space="preserve">За дейностите по съхраняване на историята в областта на образованието чрез Министерство на образованието и науката през 2013 г. са изразходени средства в размер на 0,2 млн. </w:t>
      </w:r>
      <w:r>
        <w:t>лева</w:t>
      </w:r>
      <w:r w:rsidRPr="006B59EE">
        <w:t>.</w:t>
      </w:r>
    </w:p>
    <w:p w:rsidR="000938C1" w:rsidRPr="00681F40" w:rsidRDefault="000938C1" w:rsidP="008947D0">
      <w:pPr>
        <w:spacing w:after="120"/>
        <w:ind w:firstLine="567"/>
        <w:jc w:val="both"/>
        <w:rPr>
          <w:szCs w:val="20"/>
        </w:rPr>
      </w:pPr>
      <w:r w:rsidRPr="00681F40">
        <w:rPr>
          <w:szCs w:val="20"/>
        </w:rPr>
        <w:t>Отчетените разходи за реализиране на дейностите към Министерството на отбраната са в размер на 3,</w:t>
      </w:r>
      <w:r w:rsidRPr="002255D3">
        <w:rPr>
          <w:szCs w:val="20"/>
          <w:lang w:val="ru-RU"/>
        </w:rPr>
        <w:t>7</w:t>
      </w:r>
      <w:r w:rsidRPr="00681F40">
        <w:rPr>
          <w:szCs w:val="20"/>
        </w:rPr>
        <w:t xml:space="preserve"> млн. </w:t>
      </w:r>
      <w:r>
        <w:t>лева</w:t>
      </w:r>
      <w:r w:rsidRPr="00681F40">
        <w:rPr>
          <w:szCs w:val="20"/>
        </w:rPr>
        <w:t>.</w:t>
      </w:r>
    </w:p>
    <w:p w:rsidR="000938C1" w:rsidRDefault="000938C1" w:rsidP="008947D0">
      <w:pPr>
        <w:spacing w:after="120"/>
        <w:ind w:firstLine="540"/>
        <w:jc w:val="both"/>
        <w:rPr>
          <w:szCs w:val="20"/>
        </w:rPr>
      </w:pPr>
      <w:r w:rsidRPr="00C025DA">
        <w:rPr>
          <w:szCs w:val="20"/>
        </w:rPr>
        <w:t xml:space="preserve"> </w:t>
      </w:r>
      <w:r w:rsidRPr="003F7127">
        <w:rPr>
          <w:szCs w:val="20"/>
        </w:rPr>
        <w:t>Провеждането на държавната политика в областта на културата е в компетентността и отговорността на Министерството на културата.</w:t>
      </w:r>
    </w:p>
    <w:p w:rsidR="000938C1" w:rsidRPr="008363CC" w:rsidRDefault="000938C1" w:rsidP="008947D0">
      <w:pPr>
        <w:spacing w:after="120"/>
        <w:ind w:firstLine="540"/>
        <w:jc w:val="both"/>
      </w:pPr>
      <w:r w:rsidRPr="00ED29CF">
        <w:t xml:space="preserve">Отчетените разходи по </w:t>
      </w:r>
      <w:r w:rsidRPr="00ED29CF">
        <w:rPr>
          <w:b/>
        </w:rPr>
        <w:t>бюджета на БНТ</w:t>
      </w:r>
      <w:r w:rsidRPr="00ED29CF">
        <w:t xml:space="preserve"> за група „Култура” са в размер на 78,9 млн. лв. Средствата са усвоени за реализирането на основните цели и дейности на БНТ по подготовката, създаването и разпространението на телевизионна програма в изпълнение на </w:t>
      </w:r>
      <w:r w:rsidRPr="008363CC">
        <w:t xml:space="preserve">разпоредбите на Закона за радиото и телевизията. Общият обем на излъчената от БНТ програма е 35 040 часа, </w:t>
      </w:r>
      <w:r>
        <w:t>или 100% изпълнение на планирания обем телевизионна програма за 2013 г.</w:t>
      </w:r>
      <w:r w:rsidRPr="008363CC">
        <w:t xml:space="preserve"> Най-голям дял в структурата на общия обем излъчена програма по „БНТ 1” е собствената програма – 45,</w:t>
      </w:r>
      <w:r>
        <w:t xml:space="preserve">7 </w:t>
      </w:r>
      <w:r w:rsidRPr="008363CC">
        <w:t>%; повторения – 31,</w:t>
      </w:r>
      <w:r>
        <w:t xml:space="preserve">4 </w:t>
      </w:r>
      <w:r w:rsidRPr="008363CC">
        <w:t>%; чужда програма  – 14,0 % и външни продукции – 3,</w:t>
      </w:r>
      <w:r>
        <w:t xml:space="preserve">1 </w:t>
      </w:r>
      <w:r w:rsidRPr="008363CC">
        <w:t>%. Излъчените програми по „БНТ Свят“, „БНТ 2“ и регионалните телевизионни центрове отчитат 100</w:t>
      </w:r>
      <w:r>
        <w:t xml:space="preserve"> </w:t>
      </w:r>
      <w:r w:rsidRPr="008363CC">
        <w:t>% изпълнение на  годишния план.</w:t>
      </w:r>
    </w:p>
    <w:p w:rsidR="000938C1" w:rsidRPr="00CF1A14" w:rsidRDefault="000938C1" w:rsidP="00F85C67">
      <w:pPr>
        <w:tabs>
          <w:tab w:val="right" w:pos="7938"/>
        </w:tabs>
        <w:ind w:firstLine="540"/>
        <w:jc w:val="both"/>
        <w:rPr>
          <w:bCs/>
          <w:color w:val="0070C0"/>
          <w:szCs w:val="4"/>
        </w:rPr>
      </w:pPr>
      <w:r w:rsidRPr="007C387F">
        <w:rPr>
          <w:bCs/>
          <w:szCs w:val="4"/>
        </w:rPr>
        <w:t xml:space="preserve">Изпълнението на текущите разходи за осъществяването на основната дейност на БНТ в група „Култура” е в размер на 61,1 млн. лв. Отчетените разходи за издръжка в групата са в размер на 34,9 млн. лв. С най-голям относителен дял от разходите за издръжка са </w:t>
      </w:r>
      <w:r w:rsidRPr="0042030A">
        <w:rPr>
          <w:bCs/>
          <w:szCs w:val="4"/>
        </w:rPr>
        <w:t xml:space="preserve">разходите за външни услуги </w:t>
      </w:r>
      <w:r w:rsidRPr="0042030A">
        <w:rPr>
          <w:bCs/>
          <w:szCs w:val="4"/>
          <w:lang w:val="ru-RU"/>
        </w:rPr>
        <w:t>(</w:t>
      </w:r>
      <w:r w:rsidRPr="0042030A">
        <w:rPr>
          <w:bCs/>
          <w:szCs w:val="4"/>
        </w:rPr>
        <w:t>64,7 %</w:t>
      </w:r>
      <w:r w:rsidRPr="0042030A">
        <w:rPr>
          <w:bCs/>
          <w:szCs w:val="4"/>
          <w:lang w:val="ru-RU"/>
        </w:rPr>
        <w:t xml:space="preserve">), като това са основно </w:t>
      </w:r>
      <w:r w:rsidRPr="0042030A">
        <w:rPr>
          <w:bCs/>
          <w:szCs w:val="4"/>
        </w:rPr>
        <w:t>разходите за такси за разпространение на програмите на БНТ, в размер на 9,3 млн. лв</w:t>
      </w:r>
      <w:r w:rsidRPr="0042030A">
        <w:rPr>
          <w:bCs/>
          <w:szCs w:val="4"/>
          <w:lang w:val="ru-RU"/>
        </w:rPr>
        <w:t>.</w:t>
      </w:r>
      <w:r w:rsidRPr="0042030A">
        <w:rPr>
          <w:bCs/>
          <w:szCs w:val="4"/>
        </w:rPr>
        <w:t xml:space="preserve"> Голяма част от разходите </w:t>
      </w:r>
      <w:r w:rsidRPr="000C00DD">
        <w:rPr>
          <w:bCs/>
          <w:szCs w:val="4"/>
        </w:rPr>
        <w:t>за издръжка са и отчетените за периода разходи за: възнаграждения за авторски и сродни права на колективни сдружения – 6,8 млн. лв.; външни продукции – 4,0 млн. лв.; отстъпени права за закупуване на програми и спортни събития с лицензионен срок до 1 г. – 2,1 млн. лв. и др.</w:t>
      </w:r>
    </w:p>
    <w:p w:rsidR="000938C1" w:rsidRPr="000D6D91" w:rsidRDefault="000938C1" w:rsidP="00F85C67">
      <w:pPr>
        <w:tabs>
          <w:tab w:val="right" w:pos="7938"/>
        </w:tabs>
        <w:ind w:firstLine="540"/>
        <w:jc w:val="both"/>
      </w:pPr>
      <w:r w:rsidRPr="000D6D91">
        <w:t xml:space="preserve">Отчетените капиталови разходи са в размер на 17,7 млн. лв., от които: </w:t>
      </w:r>
    </w:p>
    <w:p w:rsidR="000938C1" w:rsidRPr="005C1E57" w:rsidRDefault="000938C1" w:rsidP="00F30F79">
      <w:pPr>
        <w:numPr>
          <w:ilvl w:val="0"/>
          <w:numId w:val="17"/>
        </w:numPr>
        <w:tabs>
          <w:tab w:val="clear" w:pos="1260"/>
          <w:tab w:val="num" w:pos="720"/>
          <w:tab w:val="right" w:pos="7938"/>
        </w:tabs>
        <w:ind w:left="720"/>
        <w:jc w:val="both"/>
      </w:pPr>
      <w:r w:rsidRPr="005C1E57">
        <w:t xml:space="preserve">за основен ремонт и  придобиване на дълготрайни материални активи – </w:t>
      </w:r>
      <w:r w:rsidRPr="005C1E57">
        <w:rPr>
          <w:lang w:val="ru-RU"/>
        </w:rPr>
        <w:t>4,5</w:t>
      </w:r>
      <w:r w:rsidRPr="005C1E57">
        <w:t xml:space="preserve"> млн. лв. </w:t>
      </w:r>
    </w:p>
    <w:p w:rsidR="000938C1" w:rsidRPr="000D6D91" w:rsidRDefault="000938C1" w:rsidP="00F30F79">
      <w:pPr>
        <w:numPr>
          <w:ilvl w:val="0"/>
          <w:numId w:val="17"/>
        </w:numPr>
        <w:tabs>
          <w:tab w:val="clear" w:pos="1260"/>
          <w:tab w:val="num" w:pos="720"/>
          <w:tab w:val="right" w:pos="7938"/>
        </w:tabs>
        <w:spacing w:after="120"/>
        <w:ind w:left="720"/>
        <w:jc w:val="both"/>
        <w:rPr>
          <w:bCs/>
          <w:szCs w:val="4"/>
        </w:rPr>
      </w:pPr>
      <w:r w:rsidRPr="005C1E57">
        <w:t xml:space="preserve">за придобиване на нематериални дълготрайни активи – </w:t>
      </w:r>
      <w:r w:rsidRPr="005C1E57">
        <w:rPr>
          <w:lang w:val="ru-RU"/>
        </w:rPr>
        <w:t>13,2</w:t>
      </w:r>
      <w:r w:rsidRPr="005C1E57">
        <w:t xml:space="preserve"> млн. лв. Средствата са  </w:t>
      </w:r>
      <w:r w:rsidRPr="000D6D91">
        <w:t>усвоени основно за: създаване на българско филмово телевизионно творчество, съгласно чл. 71, т. 2 от ЗРТ (</w:t>
      </w:r>
      <w:r w:rsidRPr="000D6D91">
        <w:rPr>
          <w:lang w:val="ru-RU"/>
        </w:rPr>
        <w:t>5,68</w:t>
      </w:r>
      <w:r w:rsidRPr="000D6D91">
        <w:t xml:space="preserve"> млн. лв.); придобиване правата за излъчване на европейски и световни първенства (</w:t>
      </w:r>
      <w:r w:rsidRPr="000D6D91">
        <w:rPr>
          <w:lang w:val="ru-RU"/>
        </w:rPr>
        <w:t>3,96</w:t>
      </w:r>
      <w:r w:rsidRPr="000D6D91">
        <w:t xml:space="preserve"> млн. лв.); закупуване правата за излъчване на чужди и български програми (</w:t>
      </w:r>
      <w:r w:rsidRPr="000D6D91">
        <w:rPr>
          <w:lang w:val="ru-RU"/>
        </w:rPr>
        <w:t>3,12</w:t>
      </w:r>
      <w:r w:rsidRPr="000D6D91">
        <w:t xml:space="preserve"> млн. лв.). </w:t>
      </w:r>
    </w:p>
    <w:p w:rsidR="000938C1" w:rsidRPr="00AF1DCE" w:rsidRDefault="000938C1" w:rsidP="00F85C67">
      <w:pPr>
        <w:tabs>
          <w:tab w:val="right" w:pos="7938"/>
        </w:tabs>
        <w:spacing w:after="120"/>
        <w:ind w:firstLine="540"/>
        <w:jc w:val="both"/>
        <w:rPr>
          <w:bCs/>
        </w:rPr>
      </w:pPr>
      <w:r w:rsidRPr="00A02453">
        <w:t>И</w:t>
      </w:r>
      <w:r w:rsidRPr="00A02453">
        <w:rPr>
          <w:bCs/>
        </w:rPr>
        <w:t xml:space="preserve">зпълнението на разходите </w:t>
      </w:r>
      <w:r w:rsidRPr="00A02453">
        <w:rPr>
          <w:b/>
          <w:bCs/>
        </w:rPr>
        <w:t>по бюджета на БНР</w:t>
      </w:r>
      <w:r w:rsidRPr="00A02453">
        <w:rPr>
          <w:bCs/>
        </w:rPr>
        <w:t xml:space="preserve"> за дейности по група „Култура” за 201</w:t>
      </w:r>
      <w:r w:rsidRPr="00A02453">
        <w:rPr>
          <w:bCs/>
          <w:lang w:val="ru-RU"/>
        </w:rPr>
        <w:t>3</w:t>
      </w:r>
      <w:r w:rsidRPr="00A02453">
        <w:rPr>
          <w:bCs/>
        </w:rPr>
        <w:t xml:space="preserve"> г. е в размер на </w:t>
      </w:r>
      <w:r w:rsidRPr="00A02453">
        <w:rPr>
          <w:bCs/>
          <w:lang w:val="ru-RU"/>
        </w:rPr>
        <w:t>44,4</w:t>
      </w:r>
      <w:r w:rsidRPr="00A02453">
        <w:rPr>
          <w:bCs/>
        </w:rPr>
        <w:t xml:space="preserve"> млн. лв. Средствата са усвоени за реализирането на основните цели и дейности на БНР по подготовката, създаването и разпространението на национални и регионални радиопрограми в изпълнение на разпоредбите на Закона за радиото и телевизията. Общият обем на излъчената от БНР програма е </w:t>
      </w:r>
      <w:r w:rsidRPr="00A02453">
        <w:rPr>
          <w:bCs/>
          <w:lang w:val="ru-RU"/>
        </w:rPr>
        <w:t>89 656</w:t>
      </w:r>
      <w:r w:rsidRPr="00A02453">
        <w:rPr>
          <w:bCs/>
        </w:rPr>
        <w:t xml:space="preserve"> часа или 100 % изпълнение на планирания обем радиопрограма за 2013 г. Обемът  радиопрограма е излъчен по националните програми „Хоризонт” и „Христо Ботев”, международна програма „Радио България”</w:t>
      </w:r>
      <w:r>
        <w:rPr>
          <w:bCs/>
        </w:rPr>
        <w:t xml:space="preserve">, </w:t>
      </w:r>
      <w:r w:rsidRPr="00A02453">
        <w:rPr>
          <w:bCs/>
        </w:rPr>
        <w:t>регионалните програми –</w:t>
      </w:r>
      <w:r>
        <w:rPr>
          <w:bCs/>
        </w:rPr>
        <w:t xml:space="preserve">8 </w:t>
      </w:r>
      <w:r w:rsidRPr="00A02453">
        <w:rPr>
          <w:bCs/>
        </w:rPr>
        <w:t xml:space="preserve">регионални радиоцентрове </w:t>
      </w:r>
      <w:r w:rsidRPr="00A02453">
        <w:rPr>
          <w:bCs/>
          <w:lang w:val="ru-RU"/>
        </w:rPr>
        <w:t>(</w:t>
      </w:r>
      <w:r w:rsidRPr="00A02453">
        <w:rPr>
          <w:bCs/>
        </w:rPr>
        <w:t>Радио София,</w:t>
      </w:r>
      <w:r>
        <w:rPr>
          <w:bCs/>
        </w:rPr>
        <w:t xml:space="preserve"> </w:t>
      </w:r>
      <w:r w:rsidRPr="00A02453">
        <w:rPr>
          <w:bCs/>
        </w:rPr>
        <w:t>Варна, Пловдив, Стара Загора, Шумен, Благоевград, Видин и Бургас</w:t>
      </w:r>
      <w:r w:rsidRPr="00A02453">
        <w:rPr>
          <w:bCs/>
          <w:lang w:val="ru-RU"/>
        </w:rPr>
        <w:t>)</w:t>
      </w:r>
      <w:r>
        <w:rPr>
          <w:bCs/>
        </w:rPr>
        <w:t xml:space="preserve">и </w:t>
      </w:r>
      <w:r w:rsidRPr="00AF1DCE">
        <w:rPr>
          <w:bCs/>
          <w:szCs w:val="22"/>
        </w:rPr>
        <w:t>Радио Бина</w:t>
      </w:r>
      <w:r w:rsidRPr="002255D3">
        <w:rPr>
          <w:bCs/>
          <w:szCs w:val="22"/>
          <w:lang w:val="ru-RU"/>
        </w:rPr>
        <w:t>@</w:t>
      </w:r>
      <w:r w:rsidRPr="00AF1DCE">
        <w:rPr>
          <w:bCs/>
          <w:szCs w:val="22"/>
        </w:rPr>
        <w:t xml:space="preserve">р </w:t>
      </w:r>
      <w:r w:rsidRPr="00AF1DCE">
        <w:rPr>
          <w:bCs/>
          <w:lang w:val="ru-RU"/>
        </w:rPr>
        <w:t>(</w:t>
      </w:r>
      <w:r w:rsidRPr="00AF1DCE">
        <w:rPr>
          <w:bCs/>
          <w:szCs w:val="22"/>
        </w:rPr>
        <w:t>интернет радио</w:t>
      </w:r>
      <w:r w:rsidRPr="00AF1DCE">
        <w:rPr>
          <w:bCs/>
          <w:lang w:val="ru-RU"/>
        </w:rPr>
        <w:t>)</w:t>
      </w:r>
      <w:r w:rsidRPr="00AF1DCE">
        <w:rPr>
          <w:bCs/>
          <w:sz w:val="28"/>
        </w:rPr>
        <w:t xml:space="preserve">. </w:t>
      </w:r>
      <w:r w:rsidRPr="00AF1DCE">
        <w:rPr>
          <w:bCs/>
        </w:rPr>
        <w:t>Дейността на БНР през отчетния период е съобразена с основните цели на медията: разширяване и задълбочаване на многопрограмното развитие на БНР, създаване на нови проекти за интегрирани предавания между националните и регионалните програми и тяхното ребрандиране, по-нататъшно развитие на предавателната мрежа, налагане на общественото радио като програмен, технически и технологичен лидер.</w:t>
      </w:r>
    </w:p>
    <w:p w:rsidR="000938C1" w:rsidRPr="001B55BB" w:rsidRDefault="000938C1" w:rsidP="00F85C67">
      <w:pPr>
        <w:tabs>
          <w:tab w:val="right" w:pos="7938"/>
        </w:tabs>
        <w:ind w:firstLine="540"/>
        <w:jc w:val="both"/>
        <w:rPr>
          <w:bCs/>
          <w:szCs w:val="4"/>
        </w:rPr>
      </w:pPr>
      <w:r w:rsidRPr="00997898">
        <w:rPr>
          <w:bCs/>
        </w:rPr>
        <w:t xml:space="preserve">Изпълнението на текущите разходи </w:t>
      </w:r>
      <w:r>
        <w:rPr>
          <w:bCs/>
        </w:rPr>
        <w:t xml:space="preserve">по </w:t>
      </w:r>
      <w:r w:rsidRPr="00997898">
        <w:rPr>
          <w:bCs/>
        </w:rPr>
        <w:t>група „Култура” за осъществяването на основната дейност на националното радио е в размер на 40,1 млн. лв. Отчетените разходи за издръжка на БНР са в размер на 16,5 млн. лв.</w:t>
      </w:r>
      <w:r>
        <w:rPr>
          <w:bCs/>
        </w:rPr>
        <w:t xml:space="preserve"> </w:t>
      </w:r>
      <w:r w:rsidRPr="00997898">
        <w:rPr>
          <w:bCs/>
        </w:rPr>
        <w:t xml:space="preserve">С най-голям относителен дял в разходите за издръжка са отчетените разходи за външни услуги </w:t>
      </w:r>
      <w:r w:rsidRPr="00997898">
        <w:rPr>
          <w:bCs/>
          <w:lang w:val="ru-RU"/>
        </w:rPr>
        <w:t>(</w:t>
      </w:r>
      <w:r w:rsidRPr="00997898">
        <w:rPr>
          <w:bCs/>
        </w:rPr>
        <w:t>68,6</w:t>
      </w:r>
      <w:r>
        <w:rPr>
          <w:bCs/>
        </w:rPr>
        <w:t xml:space="preserve"> </w:t>
      </w:r>
      <w:r w:rsidRPr="00997898">
        <w:rPr>
          <w:bCs/>
        </w:rPr>
        <w:t>%</w:t>
      </w:r>
      <w:r w:rsidRPr="00997898">
        <w:rPr>
          <w:bCs/>
          <w:lang w:val="ru-RU"/>
        </w:rPr>
        <w:t>).</w:t>
      </w:r>
      <w:r w:rsidRPr="00997898">
        <w:rPr>
          <w:bCs/>
        </w:rPr>
        <w:t xml:space="preserve"> От разходите за външни услуги</w:t>
      </w:r>
      <w:r w:rsidRPr="00997898">
        <w:rPr>
          <w:bCs/>
          <w:lang w:val="ru-RU"/>
        </w:rPr>
        <w:t xml:space="preserve"> (11,4 </w:t>
      </w:r>
      <w:r w:rsidRPr="00997898">
        <w:rPr>
          <w:bCs/>
        </w:rPr>
        <w:t>млн. лв.</w:t>
      </w:r>
      <w:r w:rsidRPr="00997898">
        <w:rPr>
          <w:bCs/>
          <w:lang w:val="ru-RU"/>
        </w:rPr>
        <w:t>)</w:t>
      </w:r>
      <w:r w:rsidRPr="00997898">
        <w:rPr>
          <w:bCs/>
        </w:rPr>
        <w:t xml:space="preserve"> най-голям дял имат разходите за такси за разпространение на програмите на БНР, в размер на 7,6 млн.</w:t>
      </w:r>
      <w:r>
        <w:rPr>
          <w:bCs/>
        </w:rPr>
        <w:t xml:space="preserve"> </w:t>
      </w:r>
      <w:r w:rsidRPr="00997898">
        <w:rPr>
          <w:bCs/>
        </w:rPr>
        <w:t xml:space="preserve">лв. </w:t>
      </w:r>
      <w:r>
        <w:rPr>
          <w:bCs/>
        </w:rPr>
        <w:t>Към</w:t>
      </w:r>
      <w:r w:rsidRPr="00997898">
        <w:rPr>
          <w:bCs/>
        </w:rPr>
        <w:t xml:space="preserve"> разходите за издръжка са и отчетените за периода разходи за: възнаграждения за авторски права за излъчване на лицензирани звукозаписи в програмите на БНР – 1,114 млн. лв.; вода, горива и енергия – 1,4</w:t>
      </w:r>
      <w:r>
        <w:rPr>
          <w:bCs/>
        </w:rPr>
        <w:t>64</w:t>
      </w:r>
      <w:r w:rsidRPr="00997898">
        <w:rPr>
          <w:bCs/>
        </w:rPr>
        <w:t xml:space="preserve"> млн. лв.; материали – 0,9</w:t>
      </w:r>
      <w:r>
        <w:rPr>
          <w:bCs/>
        </w:rPr>
        <w:t>74</w:t>
      </w:r>
      <w:r w:rsidRPr="001B55BB">
        <w:rPr>
          <w:bCs/>
        </w:rPr>
        <w:t xml:space="preserve"> млн. лв. и др. Отчетените капиталови разходи в групата са в размер на 4,3 млн. лв. Средствата са усвоени за основен ремонт и придобиване на дълготрайни материални и нематериални активи, като най-голям дял заемат разходите за техническо и технологично обновление на производствено-студийната база, прехода към цифровизация на цялостния работен процес на подготовка и излъчване на радиопрограмите, </w:t>
      </w:r>
      <w:r>
        <w:rPr>
          <w:bCs/>
        </w:rPr>
        <w:t xml:space="preserve">както </w:t>
      </w:r>
      <w:r w:rsidRPr="001B55BB">
        <w:rPr>
          <w:bCs/>
        </w:rPr>
        <w:t xml:space="preserve">и за подобряване покритието на страната с програмите на Българското национално радио. </w:t>
      </w:r>
    </w:p>
    <w:p w:rsidR="000938C1" w:rsidRPr="00CF1A14" w:rsidRDefault="000938C1" w:rsidP="00F85C67">
      <w:pPr>
        <w:ind w:firstLine="540"/>
        <w:jc w:val="both"/>
        <w:rPr>
          <w:color w:val="0070C0"/>
          <w:sz w:val="12"/>
          <w:szCs w:val="12"/>
        </w:rPr>
      </w:pPr>
    </w:p>
    <w:p w:rsidR="000938C1" w:rsidRPr="0005710A" w:rsidRDefault="000938C1" w:rsidP="00F85C67">
      <w:pPr>
        <w:ind w:firstLine="540"/>
        <w:jc w:val="both"/>
      </w:pPr>
      <w:r w:rsidRPr="0005710A">
        <w:t xml:space="preserve">В група „Култура” по </w:t>
      </w:r>
      <w:r w:rsidRPr="0005710A">
        <w:rPr>
          <w:b/>
        </w:rPr>
        <w:t>бюджетите на общините</w:t>
      </w:r>
      <w:r w:rsidRPr="0005710A">
        <w:t xml:space="preserve"> са отчетени разходи в размер на 183,1 млн. лв., от които текущи 165,5 млн. лв. и капиталови 17,6 млн. лв. Изпълнението на общо разходите в групата спрямо предвидените разчети към ЗДБРБ за 2013 г. е 109,2 %. Разходите в тази група за общините са с най-голям дял по КФП. </w:t>
      </w:r>
    </w:p>
    <w:p w:rsidR="000938C1" w:rsidRPr="0005710A" w:rsidRDefault="000938C1" w:rsidP="00F85C67">
      <w:pPr>
        <w:ind w:firstLine="540"/>
        <w:jc w:val="both"/>
      </w:pPr>
      <w:r w:rsidRPr="0005710A">
        <w:t xml:space="preserve">Отчетените текущи разходи за </w:t>
      </w:r>
      <w:r w:rsidRPr="0005710A">
        <w:rPr>
          <w:i/>
        </w:rPr>
        <w:t>делегираните от държавата дейности</w:t>
      </w:r>
      <w:r w:rsidRPr="0005710A">
        <w:t xml:space="preserve"> за годината са в общ размер на </w:t>
      </w:r>
      <w:r w:rsidRPr="0005710A">
        <w:rPr>
          <w:lang w:val="ru-RU"/>
        </w:rPr>
        <w:t>74,0</w:t>
      </w:r>
      <w:r w:rsidRPr="0005710A">
        <w:t xml:space="preserve"> млн. лв., което е с </w:t>
      </w:r>
      <w:r w:rsidRPr="0005710A">
        <w:rPr>
          <w:lang w:val="ru-RU"/>
        </w:rPr>
        <w:t>2,0</w:t>
      </w:r>
      <w:r w:rsidRPr="0005710A">
        <w:t xml:space="preserve"> млн. лв. над разчета за годината. В делегираните от държавата дейности се отчитат разходите за персонал и издръжка на библиотеките, музеите и художествените галерии с регионален характер и на читалищата. С най-голям относителен дял в групата са отчетените субсидии за читалищата 60,5 % (44,8 млн. лв.). </w:t>
      </w:r>
    </w:p>
    <w:p w:rsidR="000938C1" w:rsidRPr="0005710A" w:rsidRDefault="000938C1" w:rsidP="00F85C67">
      <w:pPr>
        <w:spacing w:after="120"/>
        <w:ind w:firstLine="539"/>
        <w:jc w:val="both"/>
      </w:pPr>
      <w:r w:rsidRPr="0005710A">
        <w:t xml:space="preserve">В </w:t>
      </w:r>
      <w:r w:rsidRPr="0005710A">
        <w:rPr>
          <w:i/>
        </w:rPr>
        <w:t xml:space="preserve">местните дейности </w:t>
      </w:r>
      <w:r w:rsidRPr="0005710A">
        <w:t xml:space="preserve">по група „Култура” са отчетени текущи разходи в размер на </w:t>
      </w:r>
      <w:r>
        <w:t xml:space="preserve">82,4 </w:t>
      </w:r>
      <w:r w:rsidRPr="0005710A">
        <w:t>млн. лв., което е с 8,8 % повече от разчетените със закона и с 6,2 % повече от  отчетените за 2012 г. Тук се включват разходите за общински театри, филхармонии, оркестри и ансамбли, музеи, художествени галерии с местен характер, градски библиотеки, обредни домове и зали, зоопаркове и други дейности по културата.</w:t>
      </w:r>
    </w:p>
    <w:p w:rsidR="000938C1" w:rsidRDefault="000938C1" w:rsidP="00F85C67">
      <w:pPr>
        <w:pStyle w:val="BodyText2"/>
        <w:spacing w:after="0" w:line="240" w:lineRule="auto"/>
        <w:ind w:firstLine="539"/>
        <w:jc w:val="both"/>
      </w:pPr>
      <w:r w:rsidRPr="009E62E5">
        <w:rPr>
          <w:b/>
        </w:rPr>
        <w:t xml:space="preserve">Европейски средства - </w:t>
      </w:r>
      <w:r w:rsidRPr="009E62E5">
        <w:t xml:space="preserve">изразходваните средства в група „Култура“ са 83,4 млн. лв. Разходите са извършени основно по </w:t>
      </w:r>
      <w:r w:rsidRPr="009E62E5">
        <w:rPr>
          <w:b/>
          <w:i/>
        </w:rPr>
        <w:t>Оперативна програма „Регионално развитие</w:t>
      </w:r>
      <w:r w:rsidRPr="009E62E5">
        <w:t xml:space="preserve">” (78,3 млн. лв.) Стратегия на програмата в това функционално направление е да се повиши конкурентоспособността и привлекателността на регионите и общините посредством подобряване на културната среда на градските райони и достъпността на селските райони по отношение на пътните, информационните и комуникационни, както и енергийните мрежи. Една от целите на програмата в областта на културата е подобряване състоянието на физическата среда и благоустройството в градовете и селата за подобряване на тяхното развитие. В тази функционална област се извършват дейности по благоустройството, свързани с поддръжката и опазването на културно-историческото наследство в населените места. Програмата спомага за превръщането на културно-историческото наследство от обект на опазване в инструмент за градско развитие. </w:t>
      </w:r>
    </w:p>
    <w:p w:rsidR="000938C1" w:rsidRDefault="000938C1" w:rsidP="00F85C67">
      <w:pPr>
        <w:pStyle w:val="BodyText2"/>
        <w:spacing w:after="0" w:line="240" w:lineRule="auto"/>
        <w:ind w:firstLine="539"/>
        <w:jc w:val="both"/>
      </w:pPr>
    </w:p>
    <w:p w:rsidR="000938C1" w:rsidRPr="00CF1A14" w:rsidRDefault="000938C1" w:rsidP="00F85C67">
      <w:pPr>
        <w:spacing w:after="120"/>
        <w:ind w:firstLine="539"/>
        <w:jc w:val="both"/>
        <w:rPr>
          <w:color w:val="0070C0"/>
        </w:rPr>
      </w:pPr>
    </w:p>
    <w:p w:rsidR="000938C1" w:rsidRPr="00336A64" w:rsidRDefault="000938C1" w:rsidP="00F85C67">
      <w:pPr>
        <w:spacing w:after="120"/>
        <w:ind w:firstLine="539"/>
        <w:rPr>
          <w:b/>
        </w:rPr>
      </w:pPr>
      <w:r w:rsidRPr="00336A64">
        <w:rPr>
          <w:b/>
        </w:rPr>
        <w:t xml:space="preserve">Група Г: </w:t>
      </w:r>
      <w:r w:rsidRPr="00336A64">
        <w:rPr>
          <w:b/>
          <w:i/>
        </w:rPr>
        <w:t>„Религиозно дело”</w:t>
      </w:r>
    </w:p>
    <w:p w:rsidR="000938C1" w:rsidRPr="00336A64" w:rsidRDefault="000938C1" w:rsidP="00F85C67">
      <w:pPr>
        <w:ind w:firstLine="540"/>
        <w:rPr>
          <w:b/>
          <w:sz w:val="12"/>
          <w:szCs w:val="12"/>
        </w:rPr>
      </w:pPr>
    </w:p>
    <w:p w:rsidR="000938C1" w:rsidRDefault="000938C1" w:rsidP="00F85C67">
      <w:pPr>
        <w:ind w:right="-288" w:firstLine="540"/>
        <w:jc w:val="both"/>
      </w:pPr>
      <w:r w:rsidRPr="00336A64">
        <w:t>Съгласно ч</w:t>
      </w:r>
      <w:r w:rsidRPr="00336A64">
        <w:rPr>
          <w:bCs/>
        </w:rPr>
        <w:t xml:space="preserve">л. 28 от </w:t>
      </w:r>
      <w:r w:rsidRPr="00336A64">
        <w:t>Закона за вероизповеданията р</w:t>
      </w:r>
      <w:r w:rsidRPr="00336A64">
        <w:rPr>
          <w:rStyle w:val="selection"/>
        </w:rPr>
        <w:t>азпределението</w:t>
      </w:r>
      <w:r w:rsidRPr="00336A64">
        <w:t xml:space="preserve"> на държавната субсидия за регистрираните вероизповедания се извършва с годишния закон за държавния бюджет. В тази връзка, със ЗДБРБ за 2013 г. е определена субсидия в размер на 3,0 млн. лв.</w:t>
      </w:r>
      <w:r>
        <w:t xml:space="preserve"> </w:t>
      </w:r>
      <w:r w:rsidRPr="00336A64">
        <w:t xml:space="preserve">Към </w:t>
      </w:r>
      <w:r>
        <w:t>тази субсидия</w:t>
      </w:r>
      <w:r w:rsidRPr="00336A64">
        <w:t xml:space="preserve"> се прибавят и средствата за издръжка на Дирекция „Вероизповедания” в размер на 0,1 млн. лв. През 2013 г., на основание чл. 34, ал. 1 и 2, субсидията за вероизповеданията беше намалена с 0,05 млн. лв.</w:t>
      </w:r>
      <w:r>
        <w:t xml:space="preserve"> </w:t>
      </w:r>
      <w:r w:rsidRPr="00336A64">
        <w:t xml:space="preserve">Усвоените средства по републиканския бюджет за групата са в размер на 3,6 млн. </w:t>
      </w:r>
      <w:r>
        <w:t>лева</w:t>
      </w:r>
      <w:r w:rsidRPr="00336A64">
        <w:t>.</w:t>
      </w:r>
    </w:p>
    <w:p w:rsidR="000938C1" w:rsidRDefault="000938C1" w:rsidP="00F85C67">
      <w:pPr>
        <w:ind w:right="-288" w:firstLine="540"/>
        <w:jc w:val="both"/>
      </w:pPr>
    </w:p>
    <w:p w:rsidR="000938C1" w:rsidRPr="00336A64" w:rsidRDefault="000938C1" w:rsidP="00F85C67">
      <w:pPr>
        <w:ind w:right="-288" w:firstLine="540"/>
        <w:jc w:val="both"/>
      </w:pPr>
    </w:p>
    <w:p w:rsidR="000938C1" w:rsidRPr="00E5403E" w:rsidRDefault="000938C1" w:rsidP="00F30F79">
      <w:pPr>
        <w:pStyle w:val="Heading3"/>
        <w:numPr>
          <w:ilvl w:val="2"/>
          <w:numId w:val="72"/>
        </w:numPr>
        <w:rPr>
          <w:rFonts w:ascii="Times New Roman" w:hAnsi="Times New Roman"/>
          <w:sz w:val="24"/>
          <w:lang w:val="bg-BG"/>
        </w:rPr>
      </w:pPr>
      <w:bookmarkStart w:id="232" w:name="_Toc261276593"/>
      <w:bookmarkStart w:id="233" w:name="_Toc324863429"/>
      <w:bookmarkStart w:id="234" w:name="_Toc326315921"/>
      <w:bookmarkStart w:id="235" w:name="_Toc393728080"/>
      <w:r w:rsidRPr="00E5403E">
        <w:rPr>
          <w:rFonts w:ascii="Times New Roman" w:hAnsi="Times New Roman"/>
          <w:sz w:val="24"/>
          <w:lang w:val="bg-BG"/>
        </w:rPr>
        <w:t>Икономически дейности и услуги</w:t>
      </w:r>
      <w:bookmarkEnd w:id="232"/>
      <w:bookmarkEnd w:id="233"/>
      <w:bookmarkEnd w:id="234"/>
      <w:bookmarkEnd w:id="235"/>
    </w:p>
    <w:p w:rsidR="000938C1" w:rsidRPr="00CF1A14" w:rsidRDefault="000938C1" w:rsidP="00F85C67">
      <w:pPr>
        <w:ind w:firstLine="540"/>
        <w:jc w:val="both"/>
        <w:rPr>
          <w:color w:val="0070C0"/>
          <w:sz w:val="8"/>
          <w:szCs w:val="8"/>
        </w:rPr>
      </w:pPr>
    </w:p>
    <w:p w:rsidR="000938C1" w:rsidRPr="00B13B69" w:rsidRDefault="000938C1" w:rsidP="00F85C67">
      <w:pPr>
        <w:ind w:firstLine="540"/>
        <w:jc w:val="both"/>
      </w:pPr>
      <w:r w:rsidRPr="00B13B69">
        <w:t>Тази функция отразява ангажименти по извършване на структурните реформи и взаимоотношенията на бюджета с реалния сектор. Основен механизъм на тези взаимоотношения са програмите по финансиране и субсидиране на отделните подотрасли, както и издръжката на администрациите, ангажирани в този процес.</w:t>
      </w:r>
    </w:p>
    <w:p w:rsidR="000938C1" w:rsidRDefault="000938C1" w:rsidP="00F85C67">
      <w:pPr>
        <w:ind w:firstLine="540"/>
        <w:jc w:val="both"/>
      </w:pPr>
    </w:p>
    <w:p w:rsidR="000938C1" w:rsidRDefault="000938C1" w:rsidP="00F85C67">
      <w:pPr>
        <w:ind w:firstLine="540"/>
        <w:jc w:val="both"/>
        <w:rPr>
          <w:color w:val="0070C0"/>
        </w:rPr>
      </w:pPr>
    </w:p>
    <w:p w:rsidR="000938C1" w:rsidRDefault="000938C1" w:rsidP="00F85C67">
      <w:pPr>
        <w:ind w:firstLine="540"/>
        <w:jc w:val="both"/>
        <w:rPr>
          <w:color w:val="0070C0"/>
        </w:rPr>
      </w:pPr>
    </w:p>
    <w:p w:rsidR="000938C1" w:rsidRDefault="000938C1" w:rsidP="00F85C67">
      <w:pPr>
        <w:ind w:firstLine="540"/>
        <w:jc w:val="both"/>
        <w:rPr>
          <w:color w:val="0070C0"/>
        </w:rPr>
      </w:pPr>
    </w:p>
    <w:p w:rsidR="000938C1" w:rsidRDefault="000938C1" w:rsidP="00F85C67">
      <w:pPr>
        <w:ind w:firstLine="540"/>
        <w:jc w:val="both"/>
        <w:rPr>
          <w:color w:val="0070C0"/>
        </w:rPr>
      </w:pPr>
    </w:p>
    <w:p w:rsidR="000938C1" w:rsidRPr="00CF1A14" w:rsidRDefault="000938C1" w:rsidP="00F85C67">
      <w:pPr>
        <w:ind w:firstLine="540"/>
        <w:jc w:val="both"/>
        <w:rPr>
          <w:color w:val="0070C0"/>
        </w:rPr>
      </w:pPr>
    </w:p>
    <w:p w:rsidR="000938C1" w:rsidRPr="00B13B69" w:rsidRDefault="000938C1" w:rsidP="00F85C67">
      <w:pPr>
        <w:ind w:firstLine="7740"/>
        <w:jc w:val="both"/>
        <w:rPr>
          <w:b/>
          <w:sz w:val="18"/>
          <w:szCs w:val="18"/>
        </w:rPr>
      </w:pPr>
      <w:r w:rsidRPr="00B13B69">
        <w:rPr>
          <w:b/>
          <w:sz w:val="18"/>
          <w:szCs w:val="18"/>
        </w:rPr>
        <w:t>(млн. лв.)</w:t>
      </w:r>
    </w:p>
    <w:tbl>
      <w:tblPr>
        <w:tblW w:w="10447" w:type="dxa"/>
        <w:jc w:val="center"/>
        <w:tblInd w:w="-254" w:type="dxa"/>
        <w:tblLayout w:type="fixed"/>
        <w:tblCellMar>
          <w:left w:w="70" w:type="dxa"/>
          <w:right w:w="70" w:type="dxa"/>
        </w:tblCellMar>
        <w:tblLook w:val="0000"/>
      </w:tblPr>
      <w:tblGrid>
        <w:gridCol w:w="4680"/>
        <w:gridCol w:w="720"/>
        <w:gridCol w:w="720"/>
        <w:gridCol w:w="417"/>
        <w:gridCol w:w="530"/>
        <w:gridCol w:w="853"/>
        <w:gridCol w:w="720"/>
        <w:gridCol w:w="936"/>
        <w:gridCol w:w="871"/>
      </w:tblGrid>
      <w:tr w:rsidR="000938C1" w:rsidRPr="00B13B69" w:rsidTr="009E1415">
        <w:trPr>
          <w:trHeight w:val="487"/>
          <w:jc w:val="center"/>
        </w:trPr>
        <w:tc>
          <w:tcPr>
            <w:tcW w:w="4680"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ОТЧЕТ 2013 г.</w:t>
            </w:r>
          </w:p>
        </w:tc>
        <w:tc>
          <w:tcPr>
            <w:tcW w:w="720"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КФП</w:t>
            </w:r>
          </w:p>
        </w:tc>
        <w:tc>
          <w:tcPr>
            <w:tcW w:w="720" w:type="dxa"/>
            <w:tcBorders>
              <w:top w:val="double" w:sz="6" w:space="0" w:color="800000"/>
              <w:left w:val="nil"/>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РБ</w:t>
            </w:r>
          </w:p>
        </w:tc>
        <w:tc>
          <w:tcPr>
            <w:tcW w:w="417" w:type="dxa"/>
            <w:tcBorders>
              <w:top w:val="double" w:sz="6" w:space="0" w:color="800000"/>
              <w:left w:val="nil"/>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НС</w:t>
            </w:r>
          </w:p>
        </w:tc>
        <w:tc>
          <w:tcPr>
            <w:tcW w:w="530"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БАН</w:t>
            </w:r>
          </w:p>
        </w:tc>
        <w:tc>
          <w:tcPr>
            <w:tcW w:w="853" w:type="dxa"/>
            <w:tcBorders>
              <w:top w:val="double" w:sz="6" w:space="0" w:color="800000"/>
              <w:left w:val="nil"/>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Общини</w:t>
            </w:r>
          </w:p>
        </w:tc>
        <w:tc>
          <w:tcPr>
            <w:tcW w:w="720"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ИБСФ</w:t>
            </w:r>
          </w:p>
        </w:tc>
        <w:tc>
          <w:tcPr>
            <w:tcW w:w="936" w:type="dxa"/>
            <w:tcBorders>
              <w:top w:val="double" w:sz="6" w:space="0" w:color="800000"/>
              <w:left w:val="nil"/>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 xml:space="preserve">Предпр. </w:t>
            </w:r>
          </w:p>
          <w:p w:rsidR="000938C1" w:rsidRPr="00F85C67" w:rsidRDefault="000938C1" w:rsidP="009E1415">
            <w:pPr>
              <w:jc w:val="center"/>
              <w:rPr>
                <w:b/>
                <w:bCs/>
                <w:color w:val="FFFFFF"/>
                <w:sz w:val="18"/>
                <w:szCs w:val="18"/>
              </w:rPr>
            </w:pPr>
            <w:r w:rsidRPr="00F85C67">
              <w:rPr>
                <w:b/>
                <w:bCs/>
                <w:color w:val="FFFFFF"/>
                <w:sz w:val="18"/>
                <w:szCs w:val="18"/>
              </w:rPr>
              <w:t>п-ми</w:t>
            </w:r>
          </w:p>
        </w:tc>
        <w:tc>
          <w:tcPr>
            <w:tcW w:w="871" w:type="dxa"/>
            <w:tcBorders>
              <w:top w:val="double" w:sz="6" w:space="0" w:color="800000"/>
              <w:left w:val="nil"/>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 xml:space="preserve">Европ. </w:t>
            </w:r>
          </w:p>
          <w:p w:rsidR="000938C1" w:rsidRPr="00F85C67" w:rsidRDefault="000938C1" w:rsidP="009E1415">
            <w:pPr>
              <w:jc w:val="center"/>
              <w:rPr>
                <w:b/>
                <w:bCs/>
                <w:color w:val="FFFFFF"/>
                <w:sz w:val="18"/>
                <w:szCs w:val="18"/>
              </w:rPr>
            </w:pPr>
            <w:r w:rsidRPr="00F85C67">
              <w:rPr>
                <w:b/>
                <w:bCs/>
                <w:color w:val="FFFFFF"/>
                <w:sz w:val="18"/>
                <w:szCs w:val="18"/>
              </w:rPr>
              <w:t>ср-ва</w:t>
            </w:r>
          </w:p>
        </w:tc>
      </w:tr>
      <w:tr w:rsidR="000938C1" w:rsidRPr="00B13B69" w:rsidTr="009E1415">
        <w:trPr>
          <w:trHeight w:val="175"/>
          <w:jc w:val="center"/>
        </w:trPr>
        <w:tc>
          <w:tcPr>
            <w:tcW w:w="4680" w:type="dxa"/>
            <w:tcBorders>
              <w:top w:val="double" w:sz="6" w:space="0" w:color="800000"/>
              <w:left w:val="double" w:sz="6" w:space="0" w:color="800000"/>
              <w:bottom w:val="nil"/>
              <w:right w:val="single" w:sz="4" w:space="0" w:color="800000"/>
            </w:tcBorders>
            <w:shd w:val="clear" w:color="auto" w:fill="FFFFCC"/>
            <w:noWrap/>
            <w:vAlign w:val="bottom"/>
          </w:tcPr>
          <w:p w:rsidR="000938C1" w:rsidRPr="00B13B69" w:rsidRDefault="000938C1" w:rsidP="009E1415">
            <w:pPr>
              <w:rPr>
                <w:b/>
                <w:bCs/>
                <w:sz w:val="18"/>
                <w:szCs w:val="18"/>
              </w:rPr>
            </w:pPr>
            <w:r w:rsidRPr="00B13B69">
              <w:rPr>
                <w:b/>
                <w:bCs/>
                <w:sz w:val="18"/>
                <w:szCs w:val="18"/>
              </w:rPr>
              <w:t>VIII. ИКОНОМИЧЕСКИ ДЕЙНОСТИ И УСЛУГИ</w:t>
            </w:r>
          </w:p>
        </w:tc>
        <w:tc>
          <w:tcPr>
            <w:tcW w:w="720"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3 667,9</w:t>
            </w:r>
          </w:p>
        </w:tc>
        <w:tc>
          <w:tcPr>
            <w:tcW w:w="720"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1 334,6</w:t>
            </w:r>
          </w:p>
        </w:tc>
        <w:tc>
          <w:tcPr>
            <w:tcW w:w="417"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1,9</w:t>
            </w:r>
          </w:p>
        </w:tc>
        <w:tc>
          <w:tcPr>
            <w:tcW w:w="530"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1,6</w:t>
            </w:r>
          </w:p>
        </w:tc>
        <w:tc>
          <w:tcPr>
            <w:tcW w:w="853"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312,4</w:t>
            </w:r>
          </w:p>
        </w:tc>
        <w:tc>
          <w:tcPr>
            <w:tcW w:w="720"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324,8</w:t>
            </w:r>
          </w:p>
        </w:tc>
        <w:tc>
          <w:tcPr>
            <w:tcW w:w="936" w:type="dxa"/>
            <w:tcBorders>
              <w:top w:val="double" w:sz="6" w:space="0" w:color="800000"/>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3,6</w:t>
            </w:r>
          </w:p>
        </w:tc>
        <w:tc>
          <w:tcPr>
            <w:tcW w:w="871" w:type="dxa"/>
            <w:tcBorders>
              <w:top w:val="double" w:sz="6" w:space="0" w:color="800000"/>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1 689,0</w:t>
            </w:r>
          </w:p>
        </w:tc>
      </w:tr>
      <w:tr w:rsidR="000938C1" w:rsidRPr="00B13B69" w:rsidTr="009E1415">
        <w:trPr>
          <w:trHeight w:val="163"/>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b/>
                <w:bCs/>
                <w:sz w:val="18"/>
                <w:szCs w:val="18"/>
              </w:rPr>
            </w:pPr>
            <w:r w:rsidRPr="00B13B69">
              <w:rPr>
                <w:b/>
                <w:bCs/>
                <w:sz w:val="18"/>
                <w:szCs w:val="18"/>
              </w:rPr>
              <w:t>А. МИННО ДЕЛО, ГОРИВА И ЕНЕРГИЯ</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31,2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30,6</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0,5</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0,0</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0,1</w:t>
            </w:r>
          </w:p>
        </w:tc>
      </w:tr>
      <w:tr w:rsidR="000938C1" w:rsidRPr="00B13B69" w:rsidTr="009E1415">
        <w:trPr>
          <w:trHeight w:val="132"/>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29,1</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28,6</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0,5</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r>
      <w:tr w:rsidR="000938C1" w:rsidRPr="00B13B69" w:rsidTr="009E1415">
        <w:trPr>
          <w:trHeight w:val="172"/>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2,1</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2,0</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r>
      <w:tr w:rsidR="000938C1" w:rsidRPr="00B13B69" w:rsidTr="009E1415">
        <w:trPr>
          <w:trHeight w:val="156"/>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b/>
                <w:bCs/>
                <w:sz w:val="18"/>
                <w:szCs w:val="18"/>
              </w:rPr>
            </w:pPr>
            <w:r w:rsidRPr="00B13B69">
              <w:rPr>
                <w:b/>
                <w:bCs/>
                <w:sz w:val="18"/>
                <w:szCs w:val="18"/>
              </w:rPr>
              <w:t>Б. СЕЛСКО С-ВО, ГОРСКО С-ВО, ЛОВ И РИБОЛОВ</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1 024,3</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151,2</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18,2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320,6</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-0,4</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534,7</w:t>
            </w:r>
          </w:p>
        </w:tc>
      </w:tr>
      <w:tr w:rsidR="000938C1" w:rsidRPr="00B13B69" w:rsidTr="009E1415">
        <w:trPr>
          <w:trHeight w:val="151"/>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648,9</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144,3</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17,4</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315,1</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172,2</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375,3</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6,9</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0,8</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5,5</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-0,4</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362,5</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b/>
                <w:bCs/>
                <w:sz w:val="18"/>
                <w:szCs w:val="18"/>
              </w:rPr>
            </w:pPr>
            <w:r w:rsidRPr="00B13B69">
              <w:rPr>
                <w:b/>
                <w:bCs/>
                <w:sz w:val="18"/>
                <w:szCs w:val="18"/>
              </w:rPr>
              <w:t>В. ТРАНСПОРТ И СЪОБЩЕНИЯ</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2 071,8</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1 095,0</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187,5</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1,3</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787,9</w:t>
            </w:r>
          </w:p>
        </w:tc>
      </w:tr>
      <w:tr w:rsidR="000938C1" w:rsidRPr="00B13B69" w:rsidTr="009E1415">
        <w:trPr>
          <w:trHeight w:val="100"/>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711,0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596,5</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82,7</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1,1</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30,7</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1 360,8</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498,5</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104,8</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0,2</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757,2</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b/>
                <w:bCs/>
                <w:sz w:val="18"/>
                <w:szCs w:val="18"/>
              </w:rPr>
            </w:pPr>
            <w:r w:rsidRPr="00B13B69">
              <w:rPr>
                <w:b/>
                <w:bCs/>
                <w:sz w:val="18"/>
                <w:szCs w:val="18"/>
              </w:rPr>
              <w:t>Г. ПРОМИШЛЕНОСТ И СТРОИТЕЛСТВО</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6,3</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0,2</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6,1</w:t>
            </w:r>
          </w:p>
        </w:tc>
      </w:tr>
      <w:tr w:rsidR="000938C1" w:rsidRPr="00B13B69" w:rsidTr="009E1415">
        <w:trPr>
          <w:trHeight w:val="162"/>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6,3</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0,2</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6,1</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b/>
                <w:bCs/>
                <w:sz w:val="18"/>
                <w:szCs w:val="18"/>
              </w:rPr>
            </w:pPr>
            <w:r w:rsidRPr="00B13B69">
              <w:rPr>
                <w:b/>
                <w:bCs/>
                <w:sz w:val="18"/>
                <w:szCs w:val="18"/>
              </w:rPr>
              <w:t>Д. ТУРИЗЪМ</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57,5</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5,6</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12,7</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39,2</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18,2</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5,2</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5,6</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7,4</w:t>
            </w:r>
          </w:p>
        </w:tc>
      </w:tr>
      <w:tr w:rsidR="000938C1" w:rsidRPr="00B13B69" w:rsidTr="009E1415">
        <w:trPr>
          <w:trHeight w:val="100"/>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Капиталови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39,3</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0,4</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7,0</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 </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31,8</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b/>
                <w:bCs/>
                <w:sz w:val="18"/>
                <w:szCs w:val="18"/>
              </w:rPr>
            </w:pPr>
            <w:r w:rsidRPr="00B13B69">
              <w:rPr>
                <w:b/>
                <w:bCs/>
                <w:sz w:val="18"/>
                <w:szCs w:val="18"/>
              </w:rPr>
              <w:t>Е. ДРУГИ ДЕЙНОСТИ ПО ИКОНОМИКАТА</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476,9</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51,9</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1,9</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1,6</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93,6</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3,0</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4,1</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b/>
                <w:bCs/>
                <w:color w:val="000000"/>
                <w:sz w:val="18"/>
                <w:szCs w:val="18"/>
              </w:rPr>
            </w:pPr>
            <w:r>
              <w:rPr>
                <w:b/>
                <w:bCs/>
                <w:color w:val="000000"/>
                <w:sz w:val="18"/>
                <w:szCs w:val="18"/>
              </w:rPr>
              <w:t>320,9</w:t>
            </w:r>
          </w:p>
        </w:tc>
      </w:tr>
      <w:tr w:rsidR="000938C1" w:rsidRPr="00B13B69" w:rsidTr="009E1415">
        <w:trPr>
          <w:trHeight w:val="255"/>
          <w:jc w:val="center"/>
        </w:trPr>
        <w:tc>
          <w:tcPr>
            <w:tcW w:w="4680" w:type="dxa"/>
            <w:tcBorders>
              <w:top w:val="nil"/>
              <w:left w:val="double" w:sz="6" w:space="0" w:color="800000"/>
              <w:bottom w:val="nil"/>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Текущи нелихвени разходи</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223,5</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51,2</w:t>
            </w:r>
          </w:p>
        </w:tc>
        <w:tc>
          <w:tcPr>
            <w:tcW w:w="417"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1,9</w:t>
            </w:r>
          </w:p>
        </w:tc>
        <w:tc>
          <w:tcPr>
            <w:tcW w:w="53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1,5</w:t>
            </w:r>
          </w:p>
        </w:tc>
        <w:tc>
          <w:tcPr>
            <w:tcW w:w="853"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80,7</w:t>
            </w:r>
          </w:p>
        </w:tc>
        <w:tc>
          <w:tcPr>
            <w:tcW w:w="720"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2,5</w:t>
            </w:r>
          </w:p>
        </w:tc>
        <w:tc>
          <w:tcPr>
            <w:tcW w:w="936" w:type="dxa"/>
            <w:tcBorders>
              <w:top w:val="nil"/>
              <w:left w:val="nil"/>
              <w:bottom w:val="nil"/>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3,2</w:t>
            </w:r>
          </w:p>
        </w:tc>
        <w:tc>
          <w:tcPr>
            <w:tcW w:w="871" w:type="dxa"/>
            <w:tcBorders>
              <w:top w:val="nil"/>
              <w:left w:val="nil"/>
              <w:bottom w:val="nil"/>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82,5</w:t>
            </w:r>
          </w:p>
        </w:tc>
      </w:tr>
      <w:tr w:rsidR="000938C1" w:rsidRPr="00B13B69" w:rsidTr="009E1415">
        <w:trPr>
          <w:trHeight w:val="80"/>
          <w:jc w:val="center"/>
        </w:trPr>
        <w:tc>
          <w:tcPr>
            <w:tcW w:w="4680" w:type="dxa"/>
            <w:tcBorders>
              <w:top w:val="nil"/>
              <w:left w:val="double" w:sz="6" w:space="0" w:color="800000"/>
              <w:bottom w:val="double" w:sz="6" w:space="0" w:color="800000"/>
              <w:right w:val="single" w:sz="4" w:space="0" w:color="800000"/>
            </w:tcBorders>
            <w:shd w:val="clear" w:color="auto" w:fill="FFFFCC"/>
            <w:noWrap/>
            <w:vAlign w:val="bottom"/>
          </w:tcPr>
          <w:p w:rsidR="000938C1" w:rsidRPr="00B13B69" w:rsidRDefault="000938C1" w:rsidP="009E1415">
            <w:pPr>
              <w:rPr>
                <w:sz w:val="18"/>
                <w:szCs w:val="18"/>
              </w:rPr>
            </w:pPr>
            <w:r w:rsidRPr="00B13B69">
              <w:rPr>
                <w:sz w:val="18"/>
                <w:szCs w:val="18"/>
              </w:rPr>
              <w:t xml:space="preserve">   Капиталови разходи</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253,4</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0,7</w:t>
            </w:r>
          </w:p>
        </w:tc>
        <w:tc>
          <w:tcPr>
            <w:tcW w:w="417"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0,0</w:t>
            </w:r>
          </w:p>
        </w:tc>
        <w:tc>
          <w:tcPr>
            <w:tcW w:w="53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0,1</w:t>
            </w:r>
          </w:p>
        </w:tc>
        <w:tc>
          <w:tcPr>
            <w:tcW w:w="853"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12,9</w:t>
            </w:r>
          </w:p>
        </w:tc>
        <w:tc>
          <w:tcPr>
            <w:tcW w:w="720"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0,5</w:t>
            </w:r>
          </w:p>
        </w:tc>
        <w:tc>
          <w:tcPr>
            <w:tcW w:w="936" w:type="dxa"/>
            <w:tcBorders>
              <w:top w:val="nil"/>
              <w:left w:val="nil"/>
              <w:bottom w:val="double" w:sz="6" w:space="0" w:color="800000"/>
              <w:right w:val="single" w:sz="4" w:space="0" w:color="800000"/>
            </w:tcBorders>
            <w:shd w:val="clear" w:color="auto" w:fill="FFFFCC"/>
            <w:noWrap/>
            <w:vAlign w:val="bottom"/>
          </w:tcPr>
          <w:p w:rsidR="000938C1" w:rsidRDefault="000938C1">
            <w:pPr>
              <w:jc w:val="right"/>
              <w:rPr>
                <w:color w:val="000000"/>
                <w:sz w:val="18"/>
                <w:szCs w:val="18"/>
              </w:rPr>
            </w:pPr>
            <w:r>
              <w:rPr>
                <w:color w:val="000000"/>
                <w:sz w:val="18"/>
                <w:szCs w:val="18"/>
              </w:rPr>
              <w:t>0,9</w:t>
            </w:r>
          </w:p>
        </w:tc>
        <w:tc>
          <w:tcPr>
            <w:tcW w:w="871" w:type="dxa"/>
            <w:tcBorders>
              <w:top w:val="nil"/>
              <w:left w:val="nil"/>
              <w:bottom w:val="double" w:sz="6" w:space="0" w:color="800000"/>
              <w:right w:val="double" w:sz="6" w:space="0" w:color="800000"/>
            </w:tcBorders>
            <w:shd w:val="clear" w:color="auto" w:fill="FFFFCC"/>
            <w:noWrap/>
            <w:vAlign w:val="bottom"/>
          </w:tcPr>
          <w:p w:rsidR="000938C1" w:rsidRDefault="000938C1">
            <w:pPr>
              <w:jc w:val="right"/>
              <w:rPr>
                <w:color w:val="000000"/>
                <w:sz w:val="18"/>
                <w:szCs w:val="18"/>
              </w:rPr>
            </w:pPr>
            <w:r>
              <w:rPr>
                <w:color w:val="000000"/>
                <w:sz w:val="18"/>
                <w:szCs w:val="18"/>
              </w:rPr>
              <w:t>238,4</w:t>
            </w:r>
          </w:p>
        </w:tc>
      </w:tr>
    </w:tbl>
    <w:p w:rsidR="000938C1" w:rsidRPr="00B13B69" w:rsidRDefault="000938C1" w:rsidP="00F85C67">
      <w:pPr>
        <w:rPr>
          <w:sz w:val="2"/>
          <w:szCs w:val="2"/>
        </w:rPr>
      </w:pPr>
    </w:p>
    <w:p w:rsidR="000938C1" w:rsidRPr="00CF1A14" w:rsidRDefault="000938C1" w:rsidP="00F85C67">
      <w:pPr>
        <w:ind w:firstLine="540"/>
        <w:rPr>
          <w:b/>
          <w:color w:val="0070C0"/>
        </w:rPr>
      </w:pPr>
    </w:p>
    <w:p w:rsidR="000938C1" w:rsidRPr="00774DA4" w:rsidRDefault="000938C1" w:rsidP="00F85C67">
      <w:pPr>
        <w:ind w:firstLine="540"/>
        <w:rPr>
          <w:b/>
        </w:rPr>
      </w:pPr>
      <w:r w:rsidRPr="00774DA4">
        <w:rPr>
          <w:b/>
        </w:rPr>
        <w:t xml:space="preserve">Група А: </w:t>
      </w:r>
      <w:r w:rsidRPr="00774DA4">
        <w:rPr>
          <w:b/>
          <w:i/>
        </w:rPr>
        <w:t>„Минно дело, горива и енергия”</w:t>
      </w:r>
    </w:p>
    <w:p w:rsidR="000938C1" w:rsidRPr="00774DA4" w:rsidRDefault="000938C1" w:rsidP="00F85C67">
      <w:pPr>
        <w:ind w:firstLine="540"/>
        <w:rPr>
          <w:b/>
          <w:sz w:val="12"/>
          <w:szCs w:val="12"/>
        </w:rPr>
      </w:pPr>
    </w:p>
    <w:p w:rsidR="000938C1" w:rsidRPr="00774DA4" w:rsidRDefault="000938C1" w:rsidP="00F85C67">
      <w:pPr>
        <w:ind w:firstLine="540"/>
        <w:jc w:val="both"/>
      </w:pPr>
      <w:r w:rsidRPr="00774DA4">
        <w:t xml:space="preserve">Със ЗДБРБ за 2013 г. в група „Минно дело, горива и енергия” по бюджетите на </w:t>
      </w:r>
      <w:r w:rsidRPr="00774DA4">
        <w:rPr>
          <w:b/>
        </w:rPr>
        <w:t>министерствата и ведомствата</w:t>
      </w:r>
      <w:r w:rsidRPr="00774DA4">
        <w:t xml:space="preserve"> са утвърдени средства в размер на 21,7 млн. лв. Одобрените средства са за реализиране на една от политиките на правителството, която е постигане на  устойчиво и конкурентоспособно енергийно развитие. </w:t>
      </w:r>
    </w:p>
    <w:p w:rsidR="000938C1" w:rsidRPr="00774DA4" w:rsidRDefault="000938C1" w:rsidP="00F85C67">
      <w:pPr>
        <w:ind w:firstLine="540"/>
        <w:jc w:val="both"/>
      </w:pPr>
      <w:r w:rsidRPr="00774DA4">
        <w:t xml:space="preserve">В хода на изпълнението на държавния бюджет, на основание чл. 34, ал. 1 - 3 и чл. 35, ал. 2 и 5 от Закона за устройството на държавния бюджет, по бюджета на Министерството на икономиката и енергетиката за група „Минно дело, горива и енергия” са осигурени допълнителни средства в размер на 9,8  млн. </w:t>
      </w:r>
      <w:r>
        <w:t>лева</w:t>
      </w:r>
      <w:r w:rsidRPr="00774DA4">
        <w:t xml:space="preserve">. </w:t>
      </w:r>
    </w:p>
    <w:p w:rsidR="000938C1" w:rsidRPr="00E54067" w:rsidRDefault="000938C1" w:rsidP="00F85C67">
      <w:pPr>
        <w:ind w:firstLine="540"/>
        <w:jc w:val="both"/>
      </w:pPr>
      <w:r w:rsidRPr="00774DA4">
        <w:t xml:space="preserve">За 2013 г. отчетените разходи в групата по бюджетите на министерствата са 30,6 млн. лв. </w:t>
      </w:r>
      <w:r w:rsidRPr="00E54067">
        <w:t>Изразходваните през годината средства са за реализиране на политиката в областта на енергетиката и са насочени към постигане на следните резултати</w:t>
      </w:r>
      <w:r w:rsidRPr="00E54067">
        <w:rPr>
          <w:lang w:val="ru-RU"/>
        </w:rPr>
        <w:t>:</w:t>
      </w:r>
    </w:p>
    <w:p w:rsidR="000938C1" w:rsidRPr="00E54067" w:rsidRDefault="000938C1" w:rsidP="00F30F79">
      <w:pPr>
        <w:numPr>
          <w:ilvl w:val="0"/>
          <w:numId w:val="48"/>
        </w:numPr>
        <w:tabs>
          <w:tab w:val="left" w:pos="720"/>
        </w:tabs>
        <w:spacing w:after="120"/>
        <w:jc w:val="both"/>
      </w:pPr>
      <w:r w:rsidRPr="00E54067">
        <w:t>насърчаване въвеждането на енергоефективни и екологосъобразни технологии в промишления и енергийния сектор;</w:t>
      </w:r>
    </w:p>
    <w:p w:rsidR="000938C1" w:rsidRPr="00E54067" w:rsidRDefault="000938C1" w:rsidP="00F30F79">
      <w:pPr>
        <w:numPr>
          <w:ilvl w:val="0"/>
          <w:numId w:val="48"/>
        </w:numPr>
        <w:tabs>
          <w:tab w:val="left" w:pos="720"/>
        </w:tabs>
        <w:spacing w:after="120"/>
        <w:jc w:val="both"/>
      </w:pPr>
      <w:r w:rsidRPr="00E54067">
        <w:t>подобряване на енергийния и екологичен мениджмънт и производството и потреблението на възобновяема енергия и биогорива;</w:t>
      </w:r>
    </w:p>
    <w:p w:rsidR="000938C1" w:rsidRPr="00E54067" w:rsidRDefault="000938C1" w:rsidP="00F30F79">
      <w:pPr>
        <w:numPr>
          <w:ilvl w:val="0"/>
          <w:numId w:val="48"/>
        </w:numPr>
        <w:tabs>
          <w:tab w:val="left" w:pos="720"/>
        </w:tabs>
        <w:spacing w:after="120"/>
        <w:jc w:val="both"/>
      </w:pPr>
      <w:r w:rsidRPr="00E54067">
        <w:t>насърчаване на местното устойчиво развитие чрез подкрепа на енергоспестяването;</w:t>
      </w:r>
    </w:p>
    <w:p w:rsidR="000938C1" w:rsidRDefault="000938C1" w:rsidP="00F30F79">
      <w:pPr>
        <w:numPr>
          <w:ilvl w:val="0"/>
          <w:numId w:val="48"/>
        </w:numPr>
        <w:tabs>
          <w:tab w:val="left" w:pos="720"/>
        </w:tabs>
        <w:spacing w:after="120"/>
        <w:jc w:val="both"/>
      </w:pPr>
      <w:r w:rsidRPr="00E54067">
        <w:t>качествено и сигурно задоволяване потребностите на обществото от енергия и енергийни ресурси, съобразено с изискванията за надеждност, безопасност и опазване на околната среда;</w:t>
      </w:r>
    </w:p>
    <w:p w:rsidR="000938C1" w:rsidRPr="00E54067" w:rsidRDefault="000938C1" w:rsidP="00F30F79">
      <w:pPr>
        <w:pStyle w:val="ListParagraph"/>
        <w:numPr>
          <w:ilvl w:val="0"/>
          <w:numId w:val="48"/>
        </w:numPr>
      </w:pPr>
      <w:r w:rsidRPr="00E54067">
        <w:t>дългосрочна енергийна сигурност на страната при ефективно използване на енергията и енергийните ресурси и устойчивост на енергийния сектор;</w:t>
      </w:r>
    </w:p>
    <w:p w:rsidR="000938C1" w:rsidRPr="00E54067" w:rsidRDefault="000938C1" w:rsidP="00F30F79">
      <w:pPr>
        <w:numPr>
          <w:ilvl w:val="0"/>
          <w:numId w:val="48"/>
        </w:numPr>
        <w:tabs>
          <w:tab w:val="left" w:pos="720"/>
        </w:tabs>
        <w:spacing w:after="120"/>
        <w:jc w:val="both"/>
      </w:pPr>
      <w:r w:rsidRPr="00E54067">
        <w:t>осигуряване на непрекъснат процес на снабдяването на стопанския сектор и населението с електрическа, топлинна енергия и природен газ;</w:t>
      </w:r>
    </w:p>
    <w:p w:rsidR="000938C1" w:rsidRPr="00E54067" w:rsidRDefault="000938C1" w:rsidP="00F30F79">
      <w:pPr>
        <w:numPr>
          <w:ilvl w:val="0"/>
          <w:numId w:val="48"/>
        </w:numPr>
        <w:tabs>
          <w:tab w:val="left" w:pos="720"/>
        </w:tabs>
        <w:spacing w:after="120"/>
        <w:jc w:val="both"/>
        <w:rPr>
          <w:lang w:val="ru-RU"/>
        </w:rPr>
      </w:pPr>
      <w:r w:rsidRPr="00E54067">
        <w:t>управление и осигуряване на надеждно и безопасно електропроизводство на АЕЦ „Козлодуй”;</w:t>
      </w:r>
    </w:p>
    <w:p w:rsidR="000938C1" w:rsidRPr="00E54067" w:rsidRDefault="000938C1" w:rsidP="00F30F79">
      <w:pPr>
        <w:numPr>
          <w:ilvl w:val="0"/>
          <w:numId w:val="48"/>
        </w:numPr>
        <w:tabs>
          <w:tab w:val="left" w:pos="720"/>
        </w:tabs>
        <w:spacing w:after="120"/>
        <w:jc w:val="both"/>
        <w:rPr>
          <w:lang w:val="ru-RU"/>
        </w:rPr>
      </w:pPr>
      <w:r w:rsidRPr="00E54067">
        <w:t>изпълнение на мерките и дейностите включени в Стратегията за управление на отработено ядрено гориво и радиоактивните отпадъци и др</w:t>
      </w:r>
      <w:r w:rsidRPr="00E54067">
        <w:rPr>
          <w:lang w:val="ru-RU"/>
        </w:rPr>
        <w:t>.</w:t>
      </w:r>
    </w:p>
    <w:p w:rsidR="000938C1" w:rsidRPr="00C4157E" w:rsidRDefault="000938C1" w:rsidP="00F85C67">
      <w:pPr>
        <w:ind w:firstLine="540"/>
        <w:jc w:val="both"/>
      </w:pPr>
      <w:r w:rsidRPr="00C4157E">
        <w:t>Отговорните министерства и ведомства, които са ангажирани с изпълнението на държавната политика в областта на минното дело, горивата и енергията през 201</w:t>
      </w:r>
      <w:r w:rsidRPr="00C4157E">
        <w:rPr>
          <w:lang w:val="ru-RU"/>
        </w:rPr>
        <w:t>3</w:t>
      </w:r>
      <w:r w:rsidRPr="00C4157E">
        <w:t xml:space="preserve"> г. са МИЕ</w:t>
      </w:r>
      <w:r>
        <w:t xml:space="preserve"> </w:t>
      </w:r>
      <w:r w:rsidRPr="00C4157E">
        <w:t>и определената като второстепенен разпоредител с бюджетни кредити към министъра на икономиката и енергетиката Агенция за устойчиво енергийно развитие (в т.ч. фондовете “Извеждане на ядрени съоръжения от експлоатация” и “Радиоактивни отпадъци”).</w:t>
      </w:r>
    </w:p>
    <w:p w:rsidR="000938C1" w:rsidRPr="00CF1A14" w:rsidRDefault="000938C1" w:rsidP="00F85C67">
      <w:pPr>
        <w:ind w:firstLine="540"/>
        <w:jc w:val="both"/>
        <w:rPr>
          <w:color w:val="0070C0"/>
          <w:sz w:val="12"/>
          <w:szCs w:val="12"/>
        </w:rPr>
      </w:pPr>
    </w:p>
    <w:p w:rsidR="000938C1" w:rsidRPr="00CF1A14" w:rsidRDefault="000938C1" w:rsidP="00F85C67">
      <w:pPr>
        <w:ind w:firstLine="540"/>
        <w:rPr>
          <w:color w:val="0070C0"/>
        </w:rPr>
      </w:pPr>
    </w:p>
    <w:p w:rsidR="000938C1" w:rsidRPr="002405AC" w:rsidRDefault="000938C1" w:rsidP="00F85C67">
      <w:pPr>
        <w:ind w:firstLine="540"/>
        <w:rPr>
          <w:b/>
        </w:rPr>
      </w:pPr>
      <w:r w:rsidRPr="002405AC">
        <w:rPr>
          <w:b/>
        </w:rPr>
        <w:t xml:space="preserve">Група Б: </w:t>
      </w:r>
      <w:r w:rsidRPr="002405AC">
        <w:rPr>
          <w:b/>
          <w:i/>
        </w:rPr>
        <w:t>„Селско стопанство, горско стопанство, лов и риболов”</w:t>
      </w:r>
    </w:p>
    <w:p w:rsidR="000938C1" w:rsidRPr="00877450" w:rsidRDefault="000938C1" w:rsidP="00F85C67">
      <w:pPr>
        <w:spacing w:before="120"/>
        <w:ind w:firstLine="540"/>
        <w:jc w:val="both"/>
        <w:rPr>
          <w:lang w:val="ru-RU"/>
        </w:rPr>
      </w:pPr>
      <w:r w:rsidRPr="00877450">
        <w:t>Със ЗДБРБ за 201</w:t>
      </w:r>
      <w:r w:rsidRPr="002255D3">
        <w:rPr>
          <w:lang w:val="ru-RU"/>
        </w:rPr>
        <w:t>3</w:t>
      </w:r>
      <w:r w:rsidRPr="00877450">
        <w:t xml:space="preserve"> г. за група “Селско стопанство, горско стопанство, лов и риболов” по бюджетите на </w:t>
      </w:r>
      <w:r w:rsidRPr="00877450">
        <w:rPr>
          <w:b/>
        </w:rPr>
        <w:t>министерствата и ведомствата</w:t>
      </w:r>
      <w:r w:rsidRPr="00877450">
        <w:t xml:space="preserve"> са утвърдени разходи в размер на </w:t>
      </w:r>
      <w:r w:rsidRPr="002255D3">
        <w:rPr>
          <w:lang w:val="ru-RU"/>
        </w:rPr>
        <w:t>139</w:t>
      </w:r>
      <w:r>
        <w:rPr>
          <w:lang w:val="ru-RU"/>
        </w:rPr>
        <w:t>,</w:t>
      </w:r>
      <w:r w:rsidRPr="002255D3">
        <w:rPr>
          <w:lang w:val="ru-RU"/>
        </w:rPr>
        <w:t>4</w:t>
      </w:r>
      <w:r w:rsidRPr="00877450">
        <w:t xml:space="preserve"> млн. лв. Одобрените средства са за реализиране на следните приоритетни политики</w:t>
      </w:r>
      <w:r>
        <w:t xml:space="preserve"> на правителството</w:t>
      </w:r>
      <w:r w:rsidRPr="00877450">
        <w:t>, изпълнявани чрез МЗХ</w:t>
      </w:r>
      <w:r w:rsidRPr="00877450">
        <w:rPr>
          <w:lang w:val="ru-RU"/>
        </w:rPr>
        <w:t>:</w:t>
      </w:r>
    </w:p>
    <w:p w:rsidR="000938C1" w:rsidRPr="00661357" w:rsidRDefault="000938C1" w:rsidP="00F30F79">
      <w:pPr>
        <w:numPr>
          <w:ilvl w:val="0"/>
          <w:numId w:val="49"/>
        </w:numPr>
        <w:tabs>
          <w:tab w:val="clear" w:pos="1260"/>
          <w:tab w:val="num" w:pos="900"/>
        </w:tabs>
        <w:spacing w:before="120"/>
        <w:ind w:left="900"/>
        <w:jc w:val="both"/>
        <w:rPr>
          <w:lang w:val="ru-RU"/>
        </w:rPr>
      </w:pPr>
      <w:r w:rsidRPr="00661357">
        <w:rPr>
          <w:lang w:val="ru-RU"/>
        </w:rPr>
        <w:t xml:space="preserve">борбата със заразни и паразитни болести; </w:t>
      </w:r>
    </w:p>
    <w:p w:rsidR="000938C1" w:rsidRPr="00661357" w:rsidRDefault="000938C1" w:rsidP="00F30F79">
      <w:pPr>
        <w:numPr>
          <w:ilvl w:val="0"/>
          <w:numId w:val="49"/>
        </w:numPr>
        <w:tabs>
          <w:tab w:val="clear" w:pos="1260"/>
          <w:tab w:val="num" w:pos="900"/>
        </w:tabs>
        <w:ind w:left="900"/>
        <w:jc w:val="both"/>
        <w:rPr>
          <w:lang w:val="ru-RU"/>
        </w:rPr>
      </w:pPr>
      <w:r w:rsidRPr="00661357">
        <w:rPr>
          <w:lang w:val="ru-RU"/>
        </w:rPr>
        <w:t>събиране и унищожаване на високо рискови отпадъци; закупуване на ваксини и диагностикуми; покупка на противоградови ракети за борба с градушките;</w:t>
      </w:r>
    </w:p>
    <w:p w:rsidR="000938C1" w:rsidRPr="00661357" w:rsidRDefault="000938C1" w:rsidP="00F30F79">
      <w:pPr>
        <w:numPr>
          <w:ilvl w:val="0"/>
          <w:numId w:val="49"/>
        </w:numPr>
        <w:tabs>
          <w:tab w:val="clear" w:pos="1260"/>
          <w:tab w:val="num" w:pos="900"/>
        </w:tabs>
        <w:ind w:left="900"/>
        <w:jc w:val="both"/>
        <w:rPr>
          <w:lang w:val="ru-RU"/>
        </w:rPr>
      </w:pPr>
      <w:r w:rsidRPr="00661357">
        <w:rPr>
          <w:lang w:val="ru-RU"/>
        </w:rPr>
        <w:t xml:space="preserve">охрана и възпроизводство на горите;  </w:t>
      </w:r>
    </w:p>
    <w:p w:rsidR="000938C1" w:rsidRPr="00661357" w:rsidRDefault="000938C1" w:rsidP="00F30F79">
      <w:pPr>
        <w:numPr>
          <w:ilvl w:val="0"/>
          <w:numId w:val="49"/>
        </w:numPr>
        <w:tabs>
          <w:tab w:val="clear" w:pos="1260"/>
          <w:tab w:val="num" w:pos="900"/>
        </w:tabs>
        <w:ind w:left="900"/>
        <w:jc w:val="both"/>
        <w:rPr>
          <w:lang w:val="ru-RU"/>
        </w:rPr>
      </w:pPr>
      <w:r w:rsidRPr="00661357">
        <w:rPr>
          <w:lang w:val="ru-RU"/>
        </w:rPr>
        <w:t xml:space="preserve">издръжка на горската и ловна стража с оглед опазване на горите и дивеча;  </w:t>
      </w:r>
    </w:p>
    <w:p w:rsidR="000938C1" w:rsidRPr="00661357" w:rsidRDefault="000938C1" w:rsidP="00F30F79">
      <w:pPr>
        <w:numPr>
          <w:ilvl w:val="0"/>
          <w:numId w:val="49"/>
        </w:numPr>
        <w:tabs>
          <w:tab w:val="clear" w:pos="1260"/>
          <w:tab w:val="num" w:pos="900"/>
        </w:tabs>
        <w:ind w:left="900"/>
        <w:jc w:val="both"/>
        <w:rPr>
          <w:lang w:val="ru-RU"/>
        </w:rPr>
      </w:pPr>
      <w:r w:rsidRPr="00661357">
        <w:rPr>
          <w:lang w:val="ru-RU"/>
        </w:rPr>
        <w:t xml:space="preserve">опазване, възстановяване и подобряване на почвеното плодородие и екологичните функции на почвената покривка; </w:t>
      </w:r>
    </w:p>
    <w:p w:rsidR="000938C1" w:rsidRPr="00661357" w:rsidRDefault="000938C1" w:rsidP="00F30F79">
      <w:pPr>
        <w:numPr>
          <w:ilvl w:val="0"/>
          <w:numId w:val="49"/>
        </w:numPr>
        <w:tabs>
          <w:tab w:val="clear" w:pos="1260"/>
          <w:tab w:val="num" w:pos="900"/>
        </w:tabs>
        <w:ind w:left="900"/>
        <w:jc w:val="both"/>
        <w:rPr>
          <w:lang w:val="ru-RU"/>
        </w:rPr>
      </w:pPr>
      <w:r w:rsidRPr="00661357">
        <w:rPr>
          <w:lang w:val="ru-RU"/>
        </w:rPr>
        <w:t>развитието на лозаровинарския сектор в страната, съгласно изискванията на ЕС; опазване селекцията в животновъдството с оглед подобряване породата им; контрол на зърното и фуража;</w:t>
      </w:r>
    </w:p>
    <w:p w:rsidR="000938C1" w:rsidRPr="00320977" w:rsidRDefault="000938C1" w:rsidP="00F30F79">
      <w:pPr>
        <w:numPr>
          <w:ilvl w:val="0"/>
          <w:numId w:val="49"/>
        </w:numPr>
        <w:tabs>
          <w:tab w:val="clear" w:pos="1260"/>
          <w:tab w:val="num" w:pos="900"/>
        </w:tabs>
        <w:ind w:left="900"/>
        <w:jc w:val="both"/>
        <w:rPr>
          <w:lang w:val="ru-RU"/>
        </w:rPr>
      </w:pPr>
      <w:r w:rsidRPr="00320977">
        <w:rPr>
          <w:lang w:val="ru-RU"/>
        </w:rPr>
        <w:t xml:space="preserve">опазване и възпроизводство на рибата и аквакултурите, опазване и обогатяване на рибните ресурси в страната; </w:t>
      </w:r>
    </w:p>
    <w:p w:rsidR="000938C1" w:rsidRPr="00320977" w:rsidRDefault="000938C1" w:rsidP="00F30F79">
      <w:pPr>
        <w:numPr>
          <w:ilvl w:val="0"/>
          <w:numId w:val="49"/>
        </w:numPr>
        <w:tabs>
          <w:tab w:val="clear" w:pos="1260"/>
          <w:tab w:val="num" w:pos="900"/>
        </w:tabs>
        <w:ind w:left="900"/>
        <w:jc w:val="both"/>
        <w:rPr>
          <w:lang w:val="ru-RU"/>
        </w:rPr>
      </w:pPr>
      <w:r w:rsidRPr="00320977">
        <w:rPr>
          <w:lang w:val="ru-RU"/>
        </w:rPr>
        <w:t>изпитване, изследване и сертифициране на земеделската и горска  техника;</w:t>
      </w:r>
    </w:p>
    <w:p w:rsidR="000938C1" w:rsidRPr="00084863" w:rsidRDefault="000938C1" w:rsidP="00F30F79">
      <w:pPr>
        <w:numPr>
          <w:ilvl w:val="0"/>
          <w:numId w:val="49"/>
        </w:numPr>
        <w:tabs>
          <w:tab w:val="clear" w:pos="1260"/>
          <w:tab w:val="num" w:pos="900"/>
        </w:tabs>
        <w:ind w:left="900"/>
        <w:jc w:val="both"/>
        <w:rPr>
          <w:lang w:val="ru-RU"/>
        </w:rPr>
      </w:pPr>
      <w:r w:rsidRPr="00084863">
        <w:rPr>
          <w:lang w:val="ru-RU"/>
        </w:rPr>
        <w:t>сортоизпитване, сертифициране и контрол на посевния и посадачен материал;</w:t>
      </w:r>
    </w:p>
    <w:p w:rsidR="000938C1" w:rsidRDefault="000938C1" w:rsidP="00F30F79">
      <w:pPr>
        <w:numPr>
          <w:ilvl w:val="0"/>
          <w:numId w:val="49"/>
        </w:numPr>
        <w:tabs>
          <w:tab w:val="clear" w:pos="1260"/>
          <w:tab w:val="num" w:pos="900"/>
        </w:tabs>
        <w:ind w:left="900"/>
        <w:jc w:val="both"/>
        <w:rPr>
          <w:lang w:val="ru-RU"/>
        </w:rPr>
      </w:pPr>
      <w:r w:rsidRPr="00084863">
        <w:rPr>
          <w:lang w:val="ru-RU"/>
        </w:rPr>
        <w:t xml:space="preserve">опазване на страната от проникването и разпространяването на вредители по растенията и растителните продукти; </w:t>
      </w:r>
    </w:p>
    <w:p w:rsidR="000938C1" w:rsidRPr="00084863" w:rsidRDefault="000938C1" w:rsidP="00F30F79">
      <w:pPr>
        <w:numPr>
          <w:ilvl w:val="0"/>
          <w:numId w:val="49"/>
        </w:numPr>
        <w:tabs>
          <w:tab w:val="clear" w:pos="1260"/>
          <w:tab w:val="num" w:pos="900"/>
        </w:tabs>
        <w:ind w:left="900"/>
        <w:jc w:val="both"/>
        <w:rPr>
          <w:lang w:val="ru-RU"/>
        </w:rPr>
      </w:pPr>
      <w:r w:rsidRPr="00084863">
        <w:rPr>
          <w:lang w:val="ru-RU"/>
        </w:rPr>
        <w:t>за субсидиране цената на водата за поливни нужди.</w:t>
      </w:r>
    </w:p>
    <w:p w:rsidR="000938C1" w:rsidRPr="00084863" w:rsidRDefault="000938C1" w:rsidP="00F85C67">
      <w:pPr>
        <w:ind w:left="540"/>
        <w:jc w:val="both"/>
        <w:rPr>
          <w:lang w:val="ru-RU"/>
        </w:rPr>
      </w:pPr>
    </w:p>
    <w:p w:rsidR="000938C1" w:rsidRPr="00C36824" w:rsidRDefault="000938C1" w:rsidP="00F85C67">
      <w:pPr>
        <w:spacing w:after="120"/>
        <w:ind w:firstLine="540"/>
        <w:jc w:val="both"/>
      </w:pPr>
      <w:r w:rsidRPr="00C36824">
        <w:t>В хода на изпълнението на  държавния бюджет , на основание чл. 34, ал.1 и 2 и чл. 35, ал. 2 и 5 от ЗУДБ в това функционално направление са осигурени допълнителни бюджетни средства в размер на 11,9 млн. лв. Нарастването на средствата по уточнен план е в изпълнение на :</w:t>
      </w:r>
    </w:p>
    <w:p w:rsidR="000938C1" w:rsidRPr="00646408" w:rsidRDefault="000938C1" w:rsidP="00F30F79">
      <w:pPr>
        <w:pStyle w:val="ListParagraph"/>
        <w:numPr>
          <w:ilvl w:val="0"/>
          <w:numId w:val="47"/>
        </w:numPr>
        <w:tabs>
          <w:tab w:val="left" w:pos="0"/>
        </w:tabs>
        <w:spacing w:after="120"/>
        <w:jc w:val="both"/>
      </w:pPr>
      <w:r w:rsidRPr="00646408">
        <w:t>ПМС № 162 от 09.08.2013 г. –</w:t>
      </w:r>
      <w:r>
        <w:t xml:space="preserve"> </w:t>
      </w:r>
      <w:r w:rsidRPr="00646408">
        <w:t>7,9 млн. лв. за осигуряване на средства за заплати на служителите в Българската агенция по храните.</w:t>
      </w:r>
    </w:p>
    <w:p w:rsidR="000938C1" w:rsidRPr="00646408" w:rsidRDefault="000938C1" w:rsidP="00F30F79">
      <w:pPr>
        <w:pStyle w:val="ListParagraph"/>
        <w:numPr>
          <w:ilvl w:val="0"/>
          <w:numId w:val="47"/>
        </w:numPr>
        <w:tabs>
          <w:tab w:val="left" w:pos="0"/>
        </w:tabs>
        <w:spacing w:after="120"/>
        <w:jc w:val="both"/>
      </w:pPr>
      <w:r w:rsidRPr="00646408">
        <w:t>ПМС № 75 от 29.03.2013 г. – 3,2 млн.</w:t>
      </w:r>
      <w:r>
        <w:t xml:space="preserve"> </w:t>
      </w:r>
      <w:r w:rsidRPr="00646408">
        <w:t>лв., от които  за закупуване на ваксини и диагностикуми, необходими на регистрираните ветеринарни лекари -  2,5 млн. лв. и 0,7 млн.</w:t>
      </w:r>
      <w:r>
        <w:t xml:space="preserve"> </w:t>
      </w:r>
      <w:r w:rsidRPr="00646408">
        <w:t>лв. за подобряване дейността на областните дирекции по земеделие.</w:t>
      </w:r>
    </w:p>
    <w:p w:rsidR="000938C1" w:rsidRPr="008A763D" w:rsidRDefault="000938C1" w:rsidP="00F85C67">
      <w:pPr>
        <w:spacing w:after="120"/>
        <w:ind w:firstLine="540"/>
        <w:jc w:val="both"/>
      </w:pPr>
      <w:r w:rsidRPr="00646408">
        <w:t>През 201</w:t>
      </w:r>
      <w:r w:rsidRPr="002255D3">
        <w:rPr>
          <w:lang w:val="ru-RU"/>
        </w:rPr>
        <w:t>3</w:t>
      </w:r>
      <w:r w:rsidRPr="00646408">
        <w:t xml:space="preserve"> г. по бюджетите на </w:t>
      </w:r>
      <w:r w:rsidRPr="0052476D">
        <w:rPr>
          <w:b/>
        </w:rPr>
        <w:t>министерствата и ведомствата</w:t>
      </w:r>
      <w:r w:rsidRPr="00646408">
        <w:t xml:space="preserve"> (МЗХ), за групата са отчетени общо </w:t>
      </w:r>
      <w:r w:rsidRPr="002255D3">
        <w:rPr>
          <w:lang w:val="ru-RU"/>
        </w:rPr>
        <w:t>151</w:t>
      </w:r>
      <w:r>
        <w:rPr>
          <w:lang w:val="ru-RU"/>
        </w:rPr>
        <w:t>,</w:t>
      </w:r>
      <w:r w:rsidRPr="002255D3">
        <w:rPr>
          <w:lang w:val="ru-RU"/>
        </w:rPr>
        <w:t>2</w:t>
      </w:r>
      <w:r w:rsidRPr="00646408">
        <w:t xml:space="preserve"> млн. лв. Капиталовите разходи са в размер на </w:t>
      </w:r>
      <w:r w:rsidRPr="00646408">
        <w:rPr>
          <w:lang w:val="ru-RU"/>
        </w:rPr>
        <w:t>6,9</w:t>
      </w:r>
      <w:r w:rsidRPr="00646408">
        <w:t xml:space="preserve"> млн. лв. и са изразходвани за строеж на горски пътища за добиване на дърва във високопланински масиви, за извършване на ремонт в дивечовъдните станции, оборудване на лаборатории за изследване на растителни продукти, животински продукти и лабораториите по лозата и виното, </w:t>
      </w:r>
      <w:r w:rsidRPr="008A763D">
        <w:t>за оборудване на полигони за борба с градушките и други.</w:t>
      </w:r>
    </w:p>
    <w:p w:rsidR="000938C1" w:rsidRPr="0026307B" w:rsidRDefault="000938C1" w:rsidP="00F85C67">
      <w:pPr>
        <w:spacing w:after="120"/>
        <w:ind w:firstLine="539"/>
        <w:jc w:val="both"/>
      </w:pPr>
      <w:r w:rsidRPr="008A763D">
        <w:t xml:space="preserve">Средствата изразходвани през 2013 г. за реализиране на </w:t>
      </w:r>
      <w:r w:rsidRPr="008A763D">
        <w:rPr>
          <w:b/>
        </w:rPr>
        <w:t xml:space="preserve">национални политики в </w:t>
      </w:r>
      <w:r w:rsidRPr="001D1E6D">
        <w:rPr>
          <w:b/>
        </w:rPr>
        <w:t>сектора чрез извънбюджетната сметка на Държавен фонд „Земеделие”</w:t>
      </w:r>
      <w:r w:rsidRPr="001D1E6D">
        <w:t>, са в размер на 320,6 млн. лв., в</w:t>
      </w:r>
      <w:r>
        <w:t xml:space="preserve"> </w:t>
      </w:r>
      <w:r w:rsidRPr="001D1E6D">
        <w:t>т.ч.</w:t>
      </w:r>
      <w:r w:rsidRPr="001D1E6D">
        <w:rPr>
          <w:lang w:val="ru-RU"/>
        </w:rPr>
        <w:t xml:space="preserve"> национални доплащания към преките плащания в размер на </w:t>
      </w:r>
      <w:r w:rsidRPr="005E12D6">
        <w:rPr>
          <w:lang w:val="ru-RU"/>
        </w:rPr>
        <w:t>257,4 млн. лв</w:t>
      </w:r>
      <w:r w:rsidRPr="005E12D6">
        <w:t xml:space="preserve">. </w:t>
      </w:r>
      <w:r w:rsidRPr="005E12D6">
        <w:rPr>
          <w:lang w:val="ru-RU"/>
        </w:rPr>
        <w:t>(</w:t>
      </w:r>
      <w:r>
        <w:rPr>
          <w:lang w:val="ru-RU"/>
        </w:rPr>
        <w:t xml:space="preserve">от които, </w:t>
      </w:r>
      <w:r w:rsidRPr="005E12D6">
        <w:rPr>
          <w:lang w:val="ru-RU"/>
        </w:rPr>
        <w:t xml:space="preserve">национални доплащания на площ </w:t>
      </w:r>
      <w:r>
        <w:rPr>
          <w:lang w:val="ru-RU"/>
        </w:rPr>
        <w:t xml:space="preserve">за предходни кампании </w:t>
      </w:r>
      <w:r w:rsidRPr="005E12D6">
        <w:rPr>
          <w:lang w:val="ru-RU"/>
        </w:rPr>
        <w:t>– 0,7</w:t>
      </w:r>
      <w:r>
        <w:rPr>
          <w:lang w:val="ru-RU"/>
        </w:rPr>
        <w:t>9</w:t>
      </w:r>
      <w:r w:rsidRPr="005E12D6">
        <w:rPr>
          <w:lang w:val="ru-RU"/>
        </w:rPr>
        <w:t xml:space="preserve"> млн. лв., </w:t>
      </w:r>
      <w:r w:rsidRPr="001D1E6D">
        <w:rPr>
          <w:lang w:val="ru-RU"/>
        </w:rPr>
        <w:t>национални доплащания за животни – 92,</w:t>
      </w:r>
      <w:r>
        <w:rPr>
          <w:lang w:val="ru-RU"/>
        </w:rPr>
        <w:t>8</w:t>
      </w:r>
      <w:r w:rsidRPr="001D1E6D">
        <w:rPr>
          <w:lang w:val="ru-RU"/>
        </w:rPr>
        <w:t xml:space="preserve"> млн. лв. </w:t>
      </w:r>
      <w:r w:rsidRPr="00E24EDC">
        <w:rPr>
          <w:lang w:val="ru-RU"/>
        </w:rPr>
        <w:t xml:space="preserve">и национални доплащания за </w:t>
      </w:r>
      <w:r w:rsidRPr="00451499">
        <w:rPr>
          <w:lang w:val="ru-RU"/>
        </w:rPr>
        <w:t>тютюн – 84,0 млн. лв.). Средствата за подпомагане на тютюнопроизводителите са по схемата за Национални доплащания за тютюн за 2012 г., необвързана с производството. По нея се подпомагат земеделски стопани, които през периода 2007-2009</w:t>
      </w:r>
      <w:r>
        <w:rPr>
          <w:lang w:val="ru-RU"/>
        </w:rPr>
        <w:t xml:space="preserve"> г.</w:t>
      </w:r>
      <w:r w:rsidRPr="00451499">
        <w:rPr>
          <w:lang w:val="ru-RU"/>
        </w:rPr>
        <w:t xml:space="preserve"> са били премирани за количества произведен тютюн и които продължават да извършват </w:t>
      </w:r>
      <w:r w:rsidRPr="0026307B">
        <w:rPr>
          <w:lang w:val="ru-RU"/>
        </w:rPr>
        <w:t xml:space="preserve">земеделска дейност. </w:t>
      </w:r>
      <w:r w:rsidRPr="0026307B">
        <w:t xml:space="preserve">Отпуснатата държавна помощ по одобрени за подпомагане финансови схеми е в размер на 79,8 млн. </w:t>
      </w:r>
      <w:r>
        <w:t>лева</w:t>
      </w:r>
      <w:r w:rsidRPr="0026307B">
        <w:t>.</w:t>
      </w:r>
    </w:p>
    <w:p w:rsidR="000938C1" w:rsidRPr="001C77A0" w:rsidRDefault="000938C1" w:rsidP="00F85C67">
      <w:pPr>
        <w:pStyle w:val="BodyText2"/>
        <w:spacing w:line="240" w:lineRule="auto"/>
        <w:ind w:firstLine="539"/>
        <w:jc w:val="both"/>
      </w:pPr>
      <w:r w:rsidRPr="002C51E6">
        <w:rPr>
          <w:b/>
        </w:rPr>
        <w:t xml:space="preserve">Европейски средства - </w:t>
      </w:r>
      <w:r w:rsidRPr="002C51E6">
        <w:t>изразходваните средства в група “Селско стопанство, горско стопанство, лов и риболов” са 534,7 млн. лв., включително разходите за национално</w:t>
      </w:r>
      <w:r w:rsidRPr="001C77A0">
        <w:t xml:space="preserve"> съфинансиране. Основната част от тези разходи са извършени чрез Разплащателната агенция към Държавен фонд „Земеделие” за финансиране на мерки и програми, финансирани чрез Европейски земеделски фонд за развитие на селските райони и Европейския фонд за рибарство.</w:t>
      </w:r>
    </w:p>
    <w:p w:rsidR="000938C1" w:rsidRPr="00227F4E" w:rsidRDefault="000938C1" w:rsidP="00073030">
      <w:pPr>
        <w:pStyle w:val="BodyText"/>
        <w:widowControl w:val="0"/>
        <w:spacing w:after="240"/>
        <w:ind w:firstLine="540"/>
        <w:jc w:val="both"/>
      </w:pPr>
      <w:r w:rsidRPr="00AA6EFB">
        <w:t xml:space="preserve">По </w:t>
      </w:r>
      <w:r w:rsidRPr="00AA6EFB">
        <w:rPr>
          <w:b/>
        </w:rPr>
        <w:t>общинските бюджети</w:t>
      </w:r>
      <w:r w:rsidRPr="00AA6EFB">
        <w:t xml:space="preserve"> в групата са изразходвани 18,2 млн. лв. Тези разходи са </w:t>
      </w:r>
      <w:r w:rsidRPr="00227F4E">
        <w:t xml:space="preserve">основно текущи и са за </w:t>
      </w:r>
      <w:r w:rsidRPr="00227F4E">
        <w:rPr>
          <w:i/>
        </w:rPr>
        <w:t>местни дейности</w:t>
      </w:r>
      <w:r w:rsidRPr="00227F4E">
        <w:t xml:space="preserve">, като с най-голям относителен дял са разходите за издръжка. Отчетените капиталови разходи са в размер на 0,8 млн. лв. В групата се отчитат разходите, определени по решение на общинския съвет, свързани с охрана на земеделски имоти и други дейности по селско и горско стопанство. </w:t>
      </w:r>
    </w:p>
    <w:p w:rsidR="000938C1" w:rsidRPr="00CF1A14" w:rsidRDefault="000938C1" w:rsidP="00073030">
      <w:pPr>
        <w:pStyle w:val="BodyText"/>
        <w:widowControl w:val="0"/>
        <w:spacing w:after="240"/>
        <w:ind w:firstLine="540"/>
        <w:jc w:val="both"/>
        <w:rPr>
          <w:color w:val="0070C0"/>
          <w:sz w:val="8"/>
          <w:szCs w:val="8"/>
        </w:rPr>
      </w:pPr>
    </w:p>
    <w:p w:rsidR="000938C1" w:rsidRPr="007F0F10" w:rsidRDefault="000938C1" w:rsidP="00073030">
      <w:pPr>
        <w:spacing w:after="240"/>
        <w:ind w:firstLine="539"/>
        <w:rPr>
          <w:b/>
        </w:rPr>
      </w:pPr>
      <w:r w:rsidRPr="007F0F10">
        <w:rPr>
          <w:b/>
        </w:rPr>
        <w:t xml:space="preserve">Група В: </w:t>
      </w:r>
      <w:r w:rsidRPr="007F0F10">
        <w:rPr>
          <w:b/>
          <w:i/>
        </w:rPr>
        <w:t>„Транспорт и съобщения”</w:t>
      </w:r>
    </w:p>
    <w:p w:rsidR="000938C1" w:rsidRPr="00582C7D" w:rsidRDefault="000938C1" w:rsidP="00F85C67">
      <w:pPr>
        <w:ind w:firstLine="540"/>
        <w:jc w:val="both"/>
        <w:rPr>
          <w:lang w:val="ru-RU"/>
        </w:rPr>
      </w:pPr>
      <w:r w:rsidRPr="007F0F10">
        <w:t xml:space="preserve">Със ЗДБРБ за 2013 г. по Група „Транспорт и съобщения” за </w:t>
      </w:r>
      <w:r w:rsidRPr="007F0F10">
        <w:rPr>
          <w:b/>
        </w:rPr>
        <w:t>министерства и ведомства</w:t>
      </w:r>
      <w:r w:rsidRPr="007F0F10">
        <w:t xml:space="preserve"> са утвърдени средства в размер на 294,6 млн. лв. (в т.ч. и предвидените </w:t>
      </w:r>
      <w:r w:rsidRPr="00582C7D">
        <w:t>средства за разходване от резерва за непредвидени и неотложни разходи). Одобрените средства са за реализиране на следните приоритетни политики:</w:t>
      </w:r>
    </w:p>
    <w:p w:rsidR="000938C1" w:rsidRPr="00582C7D" w:rsidRDefault="000938C1" w:rsidP="00F30F79">
      <w:pPr>
        <w:numPr>
          <w:ilvl w:val="0"/>
          <w:numId w:val="71"/>
        </w:numPr>
        <w:tabs>
          <w:tab w:val="num" w:pos="900"/>
        </w:tabs>
        <w:spacing w:before="120"/>
        <w:ind w:left="896" w:hanging="357"/>
        <w:jc w:val="both"/>
        <w:rPr>
          <w:szCs w:val="20"/>
        </w:rPr>
      </w:pPr>
      <w:r w:rsidRPr="00582C7D">
        <w:rPr>
          <w:szCs w:val="20"/>
        </w:rPr>
        <w:t>Развитие, поддържане, модернизация и изграждане на техническата и пътна инфраструктура, свързана с подобряване на транспортната достъпност;</w:t>
      </w:r>
    </w:p>
    <w:p w:rsidR="000938C1" w:rsidRPr="007F0F10" w:rsidRDefault="000938C1" w:rsidP="00F30F79">
      <w:pPr>
        <w:numPr>
          <w:ilvl w:val="0"/>
          <w:numId w:val="57"/>
        </w:numPr>
        <w:tabs>
          <w:tab w:val="clear" w:pos="1260"/>
          <w:tab w:val="num" w:pos="900"/>
        </w:tabs>
        <w:ind w:left="896" w:hanging="357"/>
        <w:jc w:val="both"/>
        <w:rPr>
          <w:lang w:val="ru-RU"/>
        </w:rPr>
      </w:pPr>
      <w:r w:rsidRPr="007F0F10">
        <w:rPr>
          <w:lang w:val="ru-RU"/>
        </w:rPr>
        <w:t>Организация и управление на транспорта, осигуряване на безопасност, сигурност и екологосъобразност;</w:t>
      </w:r>
    </w:p>
    <w:p w:rsidR="000938C1" w:rsidRPr="007F0F10" w:rsidRDefault="000938C1" w:rsidP="00F30F79">
      <w:pPr>
        <w:numPr>
          <w:ilvl w:val="0"/>
          <w:numId w:val="57"/>
        </w:numPr>
        <w:tabs>
          <w:tab w:val="clear" w:pos="1260"/>
          <w:tab w:val="num" w:pos="900"/>
        </w:tabs>
        <w:ind w:left="900"/>
        <w:jc w:val="both"/>
        <w:rPr>
          <w:lang w:val="ru-RU"/>
        </w:rPr>
      </w:pPr>
      <w:r w:rsidRPr="007F0F10">
        <w:rPr>
          <w:lang w:val="ru-RU"/>
        </w:rPr>
        <w:t>Развитие и поддържане на електронна и съобщителна инфраструктура за държавното управление;</w:t>
      </w:r>
    </w:p>
    <w:p w:rsidR="000938C1" w:rsidRPr="007F0F10" w:rsidRDefault="000938C1" w:rsidP="00F30F79">
      <w:pPr>
        <w:numPr>
          <w:ilvl w:val="0"/>
          <w:numId w:val="57"/>
        </w:numPr>
        <w:tabs>
          <w:tab w:val="clear" w:pos="1260"/>
          <w:tab w:val="num" w:pos="900"/>
        </w:tabs>
        <w:ind w:left="900"/>
        <w:jc w:val="both"/>
        <w:rPr>
          <w:lang w:val="ru-RU"/>
        </w:rPr>
      </w:pPr>
      <w:r w:rsidRPr="007F0F10">
        <w:rPr>
          <w:lang w:val="ru-RU"/>
        </w:rPr>
        <w:t>Развитие на съобщенията, електронното управление и информационното общество.</w:t>
      </w:r>
    </w:p>
    <w:p w:rsidR="000938C1" w:rsidRPr="002255D3" w:rsidRDefault="000938C1" w:rsidP="00F85C67">
      <w:pPr>
        <w:ind w:firstLine="540"/>
        <w:jc w:val="both"/>
        <w:rPr>
          <w:lang w:val="ru-RU"/>
        </w:rPr>
      </w:pPr>
      <w:r w:rsidRPr="005842EF">
        <w:rPr>
          <w:lang w:val="ru-RU"/>
        </w:rPr>
        <w:t>В хода на изпълнението на държавния бюджет, на основание чл. 34, ал. 1</w:t>
      </w:r>
      <w:r>
        <w:rPr>
          <w:lang w:val="ru-RU"/>
        </w:rPr>
        <w:t xml:space="preserve"> и</w:t>
      </w:r>
      <w:r w:rsidRPr="005842EF">
        <w:rPr>
          <w:lang w:val="ru-RU"/>
        </w:rPr>
        <w:t xml:space="preserve"> 2 и чл. 35 от З</w:t>
      </w:r>
      <w:r w:rsidRPr="005842EF">
        <w:t xml:space="preserve">УДБ, </w:t>
      </w:r>
      <w:r w:rsidRPr="005842EF">
        <w:rPr>
          <w:lang w:val="ru-RU"/>
        </w:rPr>
        <w:t xml:space="preserve">на министерствата и ведомствата по група „Транспорт и съобщения” са осигурени допълнителни средства в размер на 580,4 млн. лв., в т.ч. за разходи по държавни инвестиционни заеми 205,3 млн. лв. и субсидии за нефинансови предприятия в размер на 178,8 млн. лв. </w:t>
      </w:r>
      <w:r w:rsidRPr="002255D3">
        <w:rPr>
          <w:lang w:val="ru-RU"/>
        </w:rPr>
        <w:t>(</w:t>
      </w:r>
      <w:r w:rsidRPr="005842EF">
        <w:rPr>
          <w:lang w:val="ru-RU"/>
        </w:rPr>
        <w:t>за БДЖ „Пътнически превози” ЕООД – 169,3 млн. лв. и за „Български пощи” ЕАД – 9,5 млн. лв.</w:t>
      </w:r>
      <w:r w:rsidRPr="002255D3">
        <w:rPr>
          <w:lang w:val="ru-RU"/>
        </w:rPr>
        <w:t>).</w:t>
      </w:r>
    </w:p>
    <w:p w:rsidR="000938C1" w:rsidRPr="003A3150" w:rsidRDefault="000938C1" w:rsidP="00F85C67">
      <w:pPr>
        <w:spacing w:after="120"/>
        <w:ind w:firstLine="539"/>
        <w:jc w:val="both"/>
      </w:pPr>
      <w:r w:rsidRPr="003A3150">
        <w:t>Към 31.12.201</w:t>
      </w:r>
      <w:r w:rsidRPr="002255D3">
        <w:rPr>
          <w:lang w:val="ru-RU"/>
        </w:rPr>
        <w:t>3</w:t>
      </w:r>
      <w:r w:rsidRPr="003A3150">
        <w:t xml:space="preserve"> г. отчетените разходи по бюджетите на </w:t>
      </w:r>
      <w:r w:rsidRPr="003A3150">
        <w:rPr>
          <w:b/>
        </w:rPr>
        <w:t>министерства и ведомства</w:t>
      </w:r>
      <w:r w:rsidRPr="003A3150">
        <w:t xml:space="preserve"> в група „Транспорт и съобщения” са в размер на </w:t>
      </w:r>
      <w:r w:rsidRPr="002255D3">
        <w:rPr>
          <w:lang w:val="ru-RU"/>
        </w:rPr>
        <w:t>851</w:t>
      </w:r>
      <w:r>
        <w:rPr>
          <w:lang w:val="ru-RU"/>
        </w:rPr>
        <w:t>,</w:t>
      </w:r>
      <w:r w:rsidRPr="002255D3">
        <w:rPr>
          <w:lang w:val="ru-RU"/>
        </w:rPr>
        <w:t>6</w:t>
      </w:r>
      <w:r w:rsidRPr="003A3150">
        <w:t xml:space="preserve"> млн. лв. </w:t>
      </w:r>
    </w:p>
    <w:p w:rsidR="000938C1" w:rsidRPr="00792081" w:rsidRDefault="000938C1" w:rsidP="00F85C67">
      <w:pPr>
        <w:ind w:firstLine="539"/>
        <w:jc w:val="both"/>
      </w:pPr>
      <w:r w:rsidRPr="00792081">
        <w:t>През 201</w:t>
      </w:r>
      <w:r w:rsidRPr="002255D3">
        <w:rPr>
          <w:lang w:val="ru-RU"/>
        </w:rPr>
        <w:t>3</w:t>
      </w:r>
      <w:r w:rsidRPr="00792081">
        <w:t xml:space="preserve"> г. по бюджета на</w:t>
      </w:r>
      <w:r w:rsidRPr="00792081">
        <w:rPr>
          <w:b/>
        </w:rPr>
        <w:t xml:space="preserve"> МТИТС</w:t>
      </w:r>
      <w:r w:rsidRPr="00792081">
        <w:t xml:space="preserve"> в групата са усвоени средства в размер на 298,2 млн. лв., в т.ч. разходи по държавни инвестиционни заеми, изпълнявани от министерството – 58,4 млн. </w:t>
      </w:r>
      <w:r>
        <w:t>лева</w:t>
      </w:r>
      <w:r w:rsidRPr="00792081">
        <w:t xml:space="preserve">. </w:t>
      </w:r>
    </w:p>
    <w:p w:rsidR="000938C1" w:rsidRPr="00792081" w:rsidRDefault="000938C1" w:rsidP="00F85C67">
      <w:pPr>
        <w:ind w:firstLine="540"/>
        <w:jc w:val="both"/>
      </w:pPr>
      <w:r w:rsidRPr="00792081">
        <w:t>Основен приоритет на транспортната политика през 2013 г. е повишаване качеството на предлаганите транспортни услуги и устойчивото развитие на транспорта. Усилията на МТИТС бяха насочени към постигането на следните цели:</w:t>
      </w:r>
    </w:p>
    <w:p w:rsidR="000938C1" w:rsidRPr="00792081" w:rsidRDefault="000938C1" w:rsidP="00F30F79">
      <w:pPr>
        <w:numPr>
          <w:ilvl w:val="0"/>
          <w:numId w:val="58"/>
        </w:numPr>
        <w:tabs>
          <w:tab w:val="clear" w:pos="1440"/>
        </w:tabs>
        <w:ind w:left="900"/>
        <w:jc w:val="both"/>
      </w:pPr>
      <w:r w:rsidRPr="00792081">
        <w:t>Ефективно поддържане, модернизация и развитие на транспортната инфраструктура;</w:t>
      </w:r>
    </w:p>
    <w:p w:rsidR="000938C1" w:rsidRPr="00792081" w:rsidRDefault="000938C1" w:rsidP="00F30F79">
      <w:pPr>
        <w:numPr>
          <w:ilvl w:val="0"/>
          <w:numId w:val="58"/>
        </w:numPr>
        <w:tabs>
          <w:tab w:val="clear" w:pos="1440"/>
        </w:tabs>
        <w:ind w:left="900"/>
        <w:jc w:val="both"/>
      </w:pPr>
      <w:r w:rsidRPr="00792081">
        <w:t>Интегриране на българската транспортна система в европейската;</w:t>
      </w:r>
    </w:p>
    <w:p w:rsidR="000938C1" w:rsidRPr="00792081" w:rsidRDefault="000938C1" w:rsidP="00F30F79">
      <w:pPr>
        <w:numPr>
          <w:ilvl w:val="0"/>
          <w:numId w:val="58"/>
        </w:numPr>
        <w:tabs>
          <w:tab w:val="clear" w:pos="1440"/>
        </w:tabs>
        <w:ind w:left="900"/>
        <w:jc w:val="both"/>
      </w:pPr>
      <w:r w:rsidRPr="00792081">
        <w:t>Прозрачни и хармонизирани условия за конкуренция на транспортния пазар;</w:t>
      </w:r>
    </w:p>
    <w:p w:rsidR="000938C1" w:rsidRPr="00792081" w:rsidRDefault="000938C1" w:rsidP="00F30F79">
      <w:pPr>
        <w:numPr>
          <w:ilvl w:val="0"/>
          <w:numId w:val="58"/>
        </w:numPr>
        <w:tabs>
          <w:tab w:val="clear" w:pos="1440"/>
        </w:tabs>
        <w:ind w:left="900"/>
        <w:jc w:val="both"/>
      </w:pPr>
      <w:r w:rsidRPr="00792081">
        <w:t>Осигуряване на адекватно финансиране за функциониране и развитие на транспортния сектор. Ефективно усвояване на средствата от европейските фондове;</w:t>
      </w:r>
    </w:p>
    <w:p w:rsidR="000938C1" w:rsidRPr="00792081" w:rsidRDefault="000938C1" w:rsidP="00F30F79">
      <w:pPr>
        <w:numPr>
          <w:ilvl w:val="0"/>
          <w:numId w:val="58"/>
        </w:numPr>
        <w:tabs>
          <w:tab w:val="clear" w:pos="1440"/>
        </w:tabs>
        <w:ind w:left="900"/>
        <w:jc w:val="both"/>
      </w:pPr>
      <w:r w:rsidRPr="00792081">
        <w:t>Ограничаване на негативното влияние на транспортната дейност върху околната среда;</w:t>
      </w:r>
    </w:p>
    <w:p w:rsidR="000938C1" w:rsidRPr="00792081" w:rsidRDefault="000938C1" w:rsidP="00F30F79">
      <w:pPr>
        <w:numPr>
          <w:ilvl w:val="0"/>
          <w:numId w:val="58"/>
        </w:numPr>
        <w:tabs>
          <w:tab w:val="clear" w:pos="1440"/>
        </w:tabs>
        <w:ind w:left="900"/>
        <w:jc w:val="both"/>
      </w:pPr>
      <w:r w:rsidRPr="00792081">
        <w:t>Постигане на висока степен на безопасност и сигурност на транспорта;</w:t>
      </w:r>
    </w:p>
    <w:p w:rsidR="000938C1" w:rsidRPr="00792081" w:rsidRDefault="000938C1" w:rsidP="00F30F79">
      <w:pPr>
        <w:numPr>
          <w:ilvl w:val="0"/>
          <w:numId w:val="58"/>
        </w:numPr>
        <w:tabs>
          <w:tab w:val="clear" w:pos="1440"/>
        </w:tabs>
        <w:ind w:left="900"/>
        <w:jc w:val="both"/>
      </w:pPr>
      <w:r w:rsidRPr="00792081">
        <w:t>Осигуряване на качествен и лесно достъпен транспорт във всички райони на страната;</w:t>
      </w:r>
    </w:p>
    <w:p w:rsidR="000938C1" w:rsidRPr="00792081" w:rsidRDefault="000938C1" w:rsidP="00F30F79">
      <w:pPr>
        <w:numPr>
          <w:ilvl w:val="0"/>
          <w:numId w:val="58"/>
        </w:numPr>
        <w:tabs>
          <w:tab w:val="clear" w:pos="1440"/>
        </w:tabs>
        <w:ind w:left="900"/>
        <w:jc w:val="both"/>
      </w:pPr>
      <w:r w:rsidRPr="00792081">
        <w:t>Развитие на модерна електронна съобщителна структура, включително в слабо населени и отдалечени райони на страната;</w:t>
      </w:r>
    </w:p>
    <w:p w:rsidR="000938C1" w:rsidRPr="00792081" w:rsidRDefault="000938C1" w:rsidP="00F30F79">
      <w:pPr>
        <w:numPr>
          <w:ilvl w:val="0"/>
          <w:numId w:val="58"/>
        </w:numPr>
        <w:tabs>
          <w:tab w:val="clear" w:pos="1440"/>
        </w:tabs>
        <w:ind w:left="900"/>
        <w:jc w:val="both"/>
      </w:pPr>
      <w:r w:rsidRPr="00792081">
        <w:t>Осигуряване на високо ниво на защита на личните данни и неприкосновеността в областта на електронните съобщения;</w:t>
      </w:r>
    </w:p>
    <w:p w:rsidR="000938C1" w:rsidRPr="00792081" w:rsidRDefault="000938C1" w:rsidP="00F30F79">
      <w:pPr>
        <w:numPr>
          <w:ilvl w:val="0"/>
          <w:numId w:val="58"/>
        </w:numPr>
        <w:tabs>
          <w:tab w:val="clear" w:pos="1440"/>
        </w:tabs>
        <w:ind w:left="900"/>
        <w:jc w:val="both"/>
      </w:pPr>
      <w:r w:rsidRPr="00792081">
        <w:t>Популяризиране на е-услугите и информационно приобщаване на гражданите и бизнеса и др.</w:t>
      </w:r>
    </w:p>
    <w:p w:rsidR="000938C1" w:rsidRPr="00EF46B7" w:rsidRDefault="000938C1" w:rsidP="00F85C67">
      <w:pPr>
        <w:spacing w:after="120"/>
        <w:ind w:firstLine="540"/>
        <w:jc w:val="both"/>
      </w:pPr>
      <w:r w:rsidRPr="00EF46B7">
        <w:t>С изразходваните средства чрез бюджета на МТИТС през отчетната 2013 г. беше осъществен напредък в изпълнението на проект „Електрификация и реконструкция и на жп линията Пловдив – Свиленград по коридори ІV и ІХ”. Това е проект за подобрение на железопътната инфраструктура с оглед повишаване на скоростта по железопътната линия до 160 км/ч за пътнически влакове и 120 км/ч за товарни влакове, монтиране на оборудване за контактна мрежа и смяна на сигнализацията по цялата жп линия от Пловдив до Свиленград и съответно турска/гръцка граница. Общият физически напредък за целия проект към края на 2013 г. е 23 %.</w:t>
      </w:r>
    </w:p>
    <w:p w:rsidR="000938C1" w:rsidRPr="00EC75B3" w:rsidRDefault="000938C1" w:rsidP="00F85C67">
      <w:pPr>
        <w:tabs>
          <w:tab w:val="num" w:pos="426"/>
          <w:tab w:val="num" w:pos="962"/>
        </w:tabs>
        <w:ind w:firstLine="540"/>
        <w:jc w:val="both"/>
      </w:pPr>
      <w:r w:rsidRPr="00EC75B3">
        <w:t>През 2013 г. по бюджета на</w:t>
      </w:r>
      <w:r w:rsidRPr="00EC75B3">
        <w:rPr>
          <w:b/>
        </w:rPr>
        <w:t xml:space="preserve"> Агенция „Пътна инфраструктура” (АПИ)</w:t>
      </w:r>
      <w:r w:rsidRPr="00EC75B3">
        <w:t>, второстепенен разпоредител с бюджетни кредити към министъра на регионалното развитие, по група „Транспорт и съобщения” са усвоени средства в размер на 530,3 млн. лв., в т.ч. 146,9 млн. лв. разходи по държавни инвестиционни заеми, изпълнявани от агенцията. Изпълняваните дейности от АПИ бяха насочени към постигането на следните цели:</w:t>
      </w:r>
    </w:p>
    <w:p w:rsidR="000938C1" w:rsidRPr="00EC75B3" w:rsidRDefault="000938C1" w:rsidP="00F30F79">
      <w:pPr>
        <w:numPr>
          <w:ilvl w:val="0"/>
          <w:numId w:val="23"/>
        </w:numPr>
        <w:tabs>
          <w:tab w:val="clear" w:pos="1260"/>
          <w:tab w:val="num" w:pos="900"/>
        </w:tabs>
        <w:ind w:left="900"/>
        <w:jc w:val="both"/>
      </w:pPr>
      <w:r w:rsidRPr="00EC75B3">
        <w:rPr>
          <w:iCs/>
        </w:rPr>
        <w:t>осигуряване на съпоставимо с европейската практика високо ниво на автотранспортна достъпност и мобилност за територията на Република България</w:t>
      </w:r>
      <w:r w:rsidRPr="00EC75B3">
        <w:t>;</w:t>
      </w:r>
    </w:p>
    <w:p w:rsidR="000938C1" w:rsidRPr="00EC75B3" w:rsidRDefault="000938C1" w:rsidP="00F30F79">
      <w:pPr>
        <w:numPr>
          <w:ilvl w:val="0"/>
          <w:numId w:val="23"/>
        </w:numPr>
        <w:tabs>
          <w:tab w:val="clear" w:pos="1260"/>
          <w:tab w:val="num" w:pos="900"/>
        </w:tabs>
        <w:ind w:left="900"/>
        <w:jc w:val="both"/>
      </w:pPr>
      <w:r w:rsidRPr="00EC75B3">
        <w:t>поддържане и развитие на републиканската пътна инфраструктура в съответствие със съвременните изисквания на автомобилния транспорт;</w:t>
      </w:r>
    </w:p>
    <w:p w:rsidR="000938C1" w:rsidRPr="00EC75B3" w:rsidRDefault="000938C1" w:rsidP="00F30F79">
      <w:pPr>
        <w:numPr>
          <w:ilvl w:val="0"/>
          <w:numId w:val="23"/>
        </w:numPr>
        <w:tabs>
          <w:tab w:val="clear" w:pos="1260"/>
          <w:tab w:val="num" w:pos="900"/>
        </w:tabs>
        <w:ind w:left="900"/>
        <w:jc w:val="both"/>
      </w:pPr>
      <w:r w:rsidRPr="00EC75B3">
        <w:t>модернизация и обновяване на републиканската пътна мрежа.</w:t>
      </w:r>
    </w:p>
    <w:p w:rsidR="000938C1" w:rsidRPr="00CF1A14" w:rsidRDefault="000938C1" w:rsidP="00F85C67">
      <w:pPr>
        <w:jc w:val="both"/>
        <w:rPr>
          <w:color w:val="0070C0"/>
          <w:sz w:val="4"/>
          <w:szCs w:val="4"/>
        </w:rPr>
      </w:pPr>
    </w:p>
    <w:p w:rsidR="000938C1" w:rsidRPr="002255D3" w:rsidRDefault="000938C1" w:rsidP="00F85C67">
      <w:pPr>
        <w:tabs>
          <w:tab w:val="num" w:pos="426"/>
          <w:tab w:val="num" w:pos="962"/>
        </w:tabs>
        <w:ind w:firstLine="540"/>
        <w:jc w:val="both"/>
        <w:rPr>
          <w:color w:val="0070C0"/>
          <w:lang w:val="ru-RU"/>
        </w:rPr>
      </w:pPr>
      <w:r w:rsidRPr="00136102">
        <w:t>По-високият размер на разходите спрямо първоначално утвърдените разходи със ЗДБРБ за 2013 г., по бюджета на МРР, респективно АПИ, се дължи главно на предоставените допълнителни бюджетни кредити в изпълнение на</w:t>
      </w:r>
      <w:r w:rsidRPr="002255D3">
        <w:rPr>
          <w:color w:val="0070C0"/>
          <w:lang w:val="ru-RU"/>
        </w:rPr>
        <w:t>:</w:t>
      </w:r>
    </w:p>
    <w:p w:rsidR="000938C1" w:rsidRPr="00136102" w:rsidRDefault="000938C1" w:rsidP="00F85C67">
      <w:pPr>
        <w:tabs>
          <w:tab w:val="num" w:pos="426"/>
          <w:tab w:val="num" w:pos="962"/>
        </w:tabs>
        <w:ind w:firstLine="540"/>
        <w:jc w:val="both"/>
        <w:rPr>
          <w:iCs/>
        </w:rPr>
      </w:pPr>
      <w:r w:rsidRPr="00136102">
        <w:t xml:space="preserve">- </w:t>
      </w:r>
      <w:r w:rsidRPr="00136102">
        <w:rPr>
          <w:iCs/>
        </w:rPr>
        <w:t xml:space="preserve">ПМС № 27/2013 г. за предоставяне на допълнителни бюджетни кредити по бюджета на МРР за финансиране на приоритетни пътни проекти в размер на 131,5 млн. </w:t>
      </w:r>
      <w:r>
        <w:t>лева</w:t>
      </w:r>
      <w:r w:rsidRPr="00136102">
        <w:rPr>
          <w:iCs/>
        </w:rPr>
        <w:t>.;</w:t>
      </w:r>
    </w:p>
    <w:p w:rsidR="000938C1" w:rsidRPr="00136102" w:rsidRDefault="000938C1" w:rsidP="00F85C67">
      <w:pPr>
        <w:tabs>
          <w:tab w:val="num" w:pos="426"/>
          <w:tab w:val="num" w:pos="962"/>
        </w:tabs>
        <w:ind w:firstLine="540"/>
        <w:jc w:val="both"/>
        <w:rPr>
          <w:iCs/>
        </w:rPr>
      </w:pPr>
      <w:r>
        <w:rPr>
          <w:iCs/>
        </w:rPr>
        <w:t>-</w:t>
      </w:r>
      <w:r w:rsidRPr="00136102">
        <w:rPr>
          <w:iCs/>
        </w:rPr>
        <w:t xml:space="preserve">ПМС № 311/2013г. за предоставяне на допълнителни бюджетни кредити по бюджета на МРР за финансиране на пътни обекти за рехабилитация от проект „Транзитни пътища V” в размер на 32,3 млн. </w:t>
      </w:r>
      <w:r>
        <w:t>лева</w:t>
      </w:r>
      <w:r w:rsidRPr="00136102">
        <w:rPr>
          <w:iCs/>
        </w:rPr>
        <w:t>.</w:t>
      </w:r>
    </w:p>
    <w:p w:rsidR="000938C1" w:rsidRPr="008A547D" w:rsidRDefault="000938C1" w:rsidP="00F85C67">
      <w:pPr>
        <w:tabs>
          <w:tab w:val="num" w:pos="426"/>
          <w:tab w:val="num" w:pos="962"/>
        </w:tabs>
        <w:ind w:firstLine="540"/>
        <w:jc w:val="both"/>
      </w:pPr>
      <w:r w:rsidRPr="008A547D">
        <w:t>С изразходваните средства чрез бюджета на АПИ през 2013 г. е извършено ефективно и качествено зимно поддържане, основен ремонт, рехабилитация и модернизация на пътищата от републиканската пътна мрежа.</w:t>
      </w:r>
    </w:p>
    <w:p w:rsidR="000938C1" w:rsidRDefault="000938C1" w:rsidP="00F85C67">
      <w:pPr>
        <w:tabs>
          <w:tab w:val="num" w:pos="426"/>
          <w:tab w:val="num" w:pos="962"/>
        </w:tabs>
        <w:ind w:firstLine="540"/>
        <w:jc w:val="both"/>
      </w:pPr>
      <w:r w:rsidRPr="003140AD">
        <w:t xml:space="preserve">Преобладаващата част от разходите за основен ремонт са за изпълнение на проекти, </w:t>
      </w:r>
      <w:r w:rsidRPr="00507C09">
        <w:t>финансирани с държавни инвестиционни заеми – 146,9 млн. лв., в т.ч. 128,4 млн. лв. за</w:t>
      </w:r>
      <w:r w:rsidRPr="003140AD">
        <w:t xml:space="preserve"> проект „Транзитни пътища V” и 18,5 млн. лв. за „Проект за рехабилитация на пътната инфраструктура”. </w:t>
      </w:r>
    </w:p>
    <w:p w:rsidR="000938C1" w:rsidRPr="009865B8" w:rsidRDefault="000938C1" w:rsidP="00F85C67">
      <w:pPr>
        <w:tabs>
          <w:tab w:val="num" w:pos="426"/>
          <w:tab w:val="num" w:pos="962"/>
        </w:tabs>
        <w:ind w:firstLine="540"/>
        <w:jc w:val="both"/>
      </w:pPr>
      <w:r w:rsidRPr="009865B8">
        <w:t>Усвоените средствата за придобиване на ДМА са в размер на 54,3 млн. лв., като в т.ч. са разходвани основно за ново строителство средства в размер на 49 млн. лв. за следните инфраструктурни обекти:</w:t>
      </w:r>
    </w:p>
    <w:p w:rsidR="000938C1" w:rsidRPr="009865B8" w:rsidRDefault="000938C1" w:rsidP="00F85C67">
      <w:pPr>
        <w:tabs>
          <w:tab w:val="num" w:pos="426"/>
          <w:tab w:val="num" w:pos="962"/>
        </w:tabs>
        <w:ind w:firstLine="540"/>
        <w:jc w:val="both"/>
      </w:pPr>
      <w:r w:rsidRPr="009865B8">
        <w:t>-</w:t>
      </w:r>
      <w:r w:rsidRPr="009865B8">
        <w:tab/>
        <w:t>Автомагистрала „Хемус”, у-к от км. 342+200 до км. 350+000, осъществяващ връзката с път І-2 и път І-4, чрез пътна връзка с път І-7 за Силистра – 26,3 млн. лв.;</w:t>
      </w:r>
    </w:p>
    <w:p w:rsidR="000938C1" w:rsidRPr="009865B8" w:rsidRDefault="000938C1" w:rsidP="00F85C67">
      <w:pPr>
        <w:tabs>
          <w:tab w:val="num" w:pos="426"/>
          <w:tab w:val="num" w:pos="962"/>
        </w:tabs>
        <w:ind w:firstLine="540"/>
        <w:jc w:val="both"/>
      </w:pPr>
      <w:r w:rsidRPr="009865B8">
        <w:t>-</w:t>
      </w:r>
      <w:r w:rsidRPr="009865B8">
        <w:tab/>
        <w:t>Автомагистрала „Хемус”, участък от км. 337+302 до км. 342+200 – 6,6 млн. лв.;</w:t>
      </w:r>
    </w:p>
    <w:p w:rsidR="000938C1" w:rsidRPr="009865B8" w:rsidRDefault="000938C1" w:rsidP="00F85C67">
      <w:pPr>
        <w:tabs>
          <w:tab w:val="num" w:pos="426"/>
          <w:tab w:val="num" w:pos="962"/>
        </w:tabs>
        <w:ind w:firstLine="540"/>
        <w:jc w:val="both"/>
      </w:pPr>
      <w:r w:rsidRPr="009865B8">
        <w:t>-</w:t>
      </w:r>
      <w:r w:rsidRPr="009865B8">
        <w:tab/>
        <w:t>Автомагистрала „Марица”, участък от км. 99+820 до км.108+510 – 10,0 млн. лв.;</w:t>
      </w:r>
    </w:p>
    <w:p w:rsidR="000938C1" w:rsidRPr="009865B8" w:rsidRDefault="000938C1" w:rsidP="00F85C67">
      <w:pPr>
        <w:tabs>
          <w:tab w:val="num" w:pos="426"/>
          <w:tab w:val="num" w:pos="962"/>
        </w:tabs>
        <w:ind w:firstLine="540"/>
        <w:jc w:val="both"/>
      </w:pPr>
      <w:r w:rsidRPr="009865B8">
        <w:t>-</w:t>
      </w:r>
      <w:r w:rsidRPr="009865B8">
        <w:tab/>
        <w:t>Път І-9, участъка (край обход Поморие) – квартал Сарафово, от км. 222+849 до км.225+522 – 3,8 млн. лв.;</w:t>
      </w:r>
    </w:p>
    <w:p w:rsidR="000938C1" w:rsidRPr="009865B8" w:rsidRDefault="000938C1" w:rsidP="00F85C67">
      <w:pPr>
        <w:tabs>
          <w:tab w:val="num" w:pos="426"/>
          <w:tab w:val="num" w:pos="962"/>
        </w:tabs>
        <w:spacing w:after="120"/>
        <w:ind w:firstLine="540"/>
        <w:jc w:val="both"/>
      </w:pPr>
      <w:r w:rsidRPr="009865B8">
        <w:t>-</w:t>
      </w:r>
      <w:r w:rsidRPr="009865B8">
        <w:tab/>
        <w:t>Пътна варианта и мост над р. Стряма на път ІІ-56 Раковски-Пловдив при км. 84+540 – 2,3 млн. лв.</w:t>
      </w:r>
    </w:p>
    <w:p w:rsidR="000938C1" w:rsidRPr="005C4E02" w:rsidRDefault="000938C1" w:rsidP="00F85C67">
      <w:pPr>
        <w:tabs>
          <w:tab w:val="num" w:pos="426"/>
          <w:tab w:val="num" w:pos="962"/>
        </w:tabs>
        <w:spacing w:after="120"/>
        <w:ind w:firstLine="539"/>
        <w:jc w:val="both"/>
      </w:pPr>
      <w:r w:rsidRPr="005C4E02">
        <w:t xml:space="preserve">Чрез бюджета на </w:t>
      </w:r>
      <w:r w:rsidRPr="005C4E02">
        <w:rPr>
          <w:b/>
        </w:rPr>
        <w:t>Комисията за регулиране на съобщенията</w:t>
      </w:r>
      <w:r w:rsidRPr="005C4E02">
        <w:t xml:space="preserve"> през 2013 г. са усвоени средства в размер на 7,5 млн. лв. за изпълнение на секторната политика в областта на далекосъобщенията чрез финансиране на дейности, свързани с регулирането и контролирането на далекосъобщителния, радиочестотния спектър и услуги на информационното общество.</w:t>
      </w:r>
    </w:p>
    <w:p w:rsidR="000938C1" w:rsidRPr="00C1167E" w:rsidRDefault="000938C1" w:rsidP="00F85C67">
      <w:pPr>
        <w:tabs>
          <w:tab w:val="num" w:pos="426"/>
          <w:tab w:val="num" w:pos="962"/>
        </w:tabs>
        <w:spacing w:after="120"/>
        <w:ind w:firstLine="540"/>
        <w:jc w:val="both"/>
      </w:pPr>
      <w:r w:rsidRPr="00C1167E">
        <w:t xml:space="preserve">Отчетените от </w:t>
      </w:r>
      <w:r w:rsidRPr="00C1167E">
        <w:rPr>
          <w:b/>
        </w:rPr>
        <w:t>Авиоотряд 28</w:t>
      </w:r>
      <w:r w:rsidRPr="00C1167E">
        <w:t xml:space="preserve"> средства през 2013 г. в размер на 11,4 млн. лв. са за изпълнение на възложените му функции, свързани с изпълнението на полетите със специално предназначение.</w:t>
      </w:r>
    </w:p>
    <w:p w:rsidR="000938C1" w:rsidRPr="00561944" w:rsidRDefault="000938C1" w:rsidP="00F85C67">
      <w:pPr>
        <w:tabs>
          <w:tab w:val="num" w:pos="426"/>
          <w:tab w:val="num" w:pos="962"/>
        </w:tabs>
        <w:spacing w:after="120"/>
        <w:ind w:firstLine="540"/>
        <w:jc w:val="both"/>
      </w:pPr>
      <w:r w:rsidRPr="00561944">
        <w:t xml:space="preserve">През </w:t>
      </w:r>
      <w:r>
        <w:t>2013 г.</w:t>
      </w:r>
      <w:r w:rsidRPr="00561944">
        <w:t xml:space="preserve"> чрез бюджета на </w:t>
      </w:r>
      <w:r w:rsidRPr="00561944">
        <w:rPr>
          <w:b/>
        </w:rPr>
        <w:t>Министерството на вътрешните работи</w:t>
      </w:r>
      <w:r w:rsidRPr="00561944">
        <w:t xml:space="preserve"> в това функционално направление за финансово обезпечаване дейността на Специалната куриерска служба са изразходвани средства в размер на 4,2 млн. лв.</w:t>
      </w:r>
    </w:p>
    <w:p w:rsidR="000938C1" w:rsidRPr="00E0707A" w:rsidRDefault="000938C1" w:rsidP="00F85C67">
      <w:pPr>
        <w:tabs>
          <w:tab w:val="num" w:pos="426"/>
          <w:tab w:val="num" w:pos="962"/>
        </w:tabs>
        <w:spacing w:after="120"/>
        <w:ind w:firstLine="540"/>
        <w:jc w:val="both"/>
      </w:pPr>
      <w:r w:rsidRPr="00E0707A">
        <w:t xml:space="preserve">През 2013 г. </w:t>
      </w:r>
      <w:r w:rsidRPr="00E0707A">
        <w:rPr>
          <w:b/>
        </w:rPr>
        <w:t>Национална компания „Стратегически инфраструктурни проекти”</w:t>
      </w:r>
      <w:r w:rsidRPr="00E0707A">
        <w:t xml:space="preserve"> е усвоила средства в размер на 1,2 млн. лв. (предоставени като трансфер чрез бюджета на МРР) за финансиране дейността на компанията, във връзка с функциите й по проектиране, изграждане, поддържане и ремонт на автомагистрала "Струма", автомагистрала "Хемус" и автомагистрала "Черно море".</w:t>
      </w:r>
    </w:p>
    <w:p w:rsidR="000938C1" w:rsidRPr="00CF1A14" w:rsidRDefault="000938C1" w:rsidP="00F85C67">
      <w:pPr>
        <w:pStyle w:val="BodyText"/>
        <w:widowControl w:val="0"/>
        <w:ind w:firstLine="540"/>
        <w:jc w:val="both"/>
        <w:rPr>
          <w:color w:val="0070C0"/>
        </w:rPr>
      </w:pPr>
      <w:r w:rsidRPr="00547B8F">
        <w:t xml:space="preserve">Отчетените разходи </w:t>
      </w:r>
      <w:r w:rsidRPr="00547B8F">
        <w:rPr>
          <w:b/>
        </w:rPr>
        <w:t>по общинските бюджети</w:t>
      </w:r>
      <w:r w:rsidRPr="00547B8F">
        <w:t xml:space="preserve"> за група “Транспорт и съобщения” възлизат на 187,</w:t>
      </w:r>
      <w:r>
        <w:t>5</w:t>
      </w:r>
      <w:r w:rsidRPr="00547B8F">
        <w:t xml:space="preserve"> млн. лв., от които 82,7 млн. лв. текущи и 104,8 млн. лв. капиталови разходи. Отчетените текущи разходи за </w:t>
      </w:r>
      <w:r w:rsidRPr="00547B8F">
        <w:rPr>
          <w:i/>
        </w:rPr>
        <w:t>делегираните от държавата дейности</w:t>
      </w:r>
      <w:r w:rsidRPr="00547B8F">
        <w:t xml:space="preserve"> са в размер на 22,7 млн. лв., от които 1,3 млн. лв. за издръжка на фериботен комплекс – Белослав</w:t>
      </w:r>
      <w:r>
        <w:t xml:space="preserve"> </w:t>
      </w:r>
      <w:r w:rsidRPr="00547B8F">
        <w:t xml:space="preserve">и </w:t>
      </w:r>
      <w:r w:rsidRPr="00547B8F">
        <w:rPr>
          <w:lang w:val="ru-RU"/>
        </w:rPr>
        <w:t>21,3</w:t>
      </w:r>
      <w:r w:rsidRPr="00547B8F">
        <w:t xml:space="preserve"> млн. лв. предоставени субсидии от централния бюджет на общините за </w:t>
      </w:r>
      <w:r w:rsidRPr="00F939CE">
        <w:t>вътрешноградски и междуселищни превози. По отчетни данни за 201</w:t>
      </w:r>
      <w:r>
        <w:t>3</w:t>
      </w:r>
      <w:r w:rsidRPr="00F939CE">
        <w:t xml:space="preserve"> г. общините са дофинансирали държавните дейности със собствени приходи общо в размер на 0,02 млн.</w:t>
      </w:r>
      <w:r>
        <w:t xml:space="preserve"> </w:t>
      </w:r>
      <w:r w:rsidRPr="00F939CE">
        <w:t xml:space="preserve">лв. В </w:t>
      </w:r>
      <w:r w:rsidRPr="00F939CE">
        <w:rPr>
          <w:i/>
        </w:rPr>
        <w:t>местните дейности</w:t>
      </w:r>
      <w:r w:rsidRPr="00F939CE">
        <w:t xml:space="preserve"> за група „Транспорт и съобщения” са отчетени текущи разходи в размер на </w:t>
      </w:r>
      <w:r w:rsidRPr="00F939CE">
        <w:rPr>
          <w:lang w:val="ru-RU"/>
        </w:rPr>
        <w:t>59,2</w:t>
      </w:r>
      <w:r w:rsidRPr="00F939CE">
        <w:t xml:space="preserve"> млн. лв., което е с </w:t>
      </w:r>
      <w:r w:rsidRPr="00F939CE">
        <w:rPr>
          <w:lang w:val="ru-RU"/>
        </w:rPr>
        <w:t>34,3</w:t>
      </w:r>
      <w:r w:rsidRPr="00F939CE">
        <w:t xml:space="preserve"> млн. лв. по-малко спрямо разчетените по закон</w:t>
      </w:r>
      <w:r w:rsidRPr="00F939CE">
        <w:rPr>
          <w:lang w:val="ru-RU"/>
        </w:rPr>
        <w:t xml:space="preserve"> (63,3 %).</w:t>
      </w:r>
      <w:r w:rsidRPr="00F939CE">
        <w:t xml:space="preserve"> Съпоставени с отчета за 201</w:t>
      </w:r>
      <w:r>
        <w:t>3</w:t>
      </w:r>
      <w:r w:rsidRPr="00F939CE">
        <w:t xml:space="preserve"> г. тези разходи са с 3,2 млн. лв. повече (105,7</w:t>
      </w:r>
      <w:r>
        <w:t xml:space="preserve"> </w:t>
      </w:r>
      <w:r w:rsidRPr="00F939CE">
        <w:t xml:space="preserve">%). </w:t>
      </w:r>
    </w:p>
    <w:p w:rsidR="000938C1" w:rsidRPr="003319C9" w:rsidRDefault="000938C1" w:rsidP="00F85C67">
      <w:pPr>
        <w:pStyle w:val="BodyTextIndent2"/>
        <w:spacing w:line="240" w:lineRule="auto"/>
        <w:ind w:left="0" w:firstLine="540"/>
        <w:jc w:val="both"/>
      </w:pPr>
      <w:r w:rsidRPr="003319C9">
        <w:rPr>
          <w:b/>
        </w:rPr>
        <w:t>Европейски средства</w:t>
      </w:r>
      <w:r w:rsidRPr="003319C9">
        <w:t xml:space="preserve"> – в група “Транспорт и съобщения” изразходваните средства са в размер на 787,9 млн. лв. (в т.ч. капиталови разходи 757,2 млн. лв.),  основно по </w:t>
      </w:r>
      <w:r>
        <w:t>следните оперативни програми</w:t>
      </w:r>
      <w:r w:rsidRPr="003319C9">
        <w:t xml:space="preserve">: </w:t>
      </w:r>
    </w:p>
    <w:p w:rsidR="000938C1" w:rsidRPr="0078509E" w:rsidRDefault="000938C1" w:rsidP="00F85C67">
      <w:pPr>
        <w:autoSpaceDE w:val="0"/>
        <w:autoSpaceDN w:val="0"/>
        <w:adjustRightInd w:val="0"/>
        <w:spacing w:after="120"/>
        <w:jc w:val="both"/>
      </w:pPr>
      <w:r w:rsidRPr="003319C9">
        <w:rPr>
          <w:b/>
          <w:i/>
        </w:rPr>
        <w:t>Оперативна програма „Транспорт</w:t>
      </w:r>
      <w:r w:rsidRPr="003319C9">
        <w:t>” (511,9 млн. лв.)</w:t>
      </w:r>
      <w:r>
        <w:t xml:space="preserve"> </w:t>
      </w:r>
      <w:r w:rsidRPr="003319C9">
        <w:t>-</w:t>
      </w:r>
      <w:r>
        <w:t xml:space="preserve"> </w:t>
      </w:r>
      <w:r w:rsidRPr="003319C9">
        <w:t xml:space="preserve">програмата финансира мащабни инфраструктурни проекти с общ бюджет в седемгодишната рамка 2007 – 2013 г. Основна цел на програмата е да се постигне балансирано и устойчиво развитие на националната транспортна система чрез развитието и модернизацията на основните транспортни инфраструктурни връзки от европейско, национално и трансгранично значение. Други важни цели на програмата са развитието на европейските транспортни коридори на територията на страната и баланс между отделните видове транспорт. Постигането на тези цели е необходимо условие за устойчивия и балансиран дългосрочен икономически </w:t>
      </w:r>
      <w:r w:rsidRPr="0078509E">
        <w:t>растеж.</w:t>
      </w:r>
      <w:r>
        <w:t xml:space="preserve"> </w:t>
      </w:r>
      <w:r w:rsidRPr="0078509E">
        <w:t>Бенефициенти на тази програма са: Национална компания “Железопътна инфраструктура”, Агенция ”Пътна инфраструктура”, Изпълнителна агенция за проучване и поддържане на р. Дунав; Държавно предприятие „Пристанищна инфраструктура”, „Метрополитен” ЕАД и общини.</w:t>
      </w:r>
    </w:p>
    <w:p w:rsidR="000938C1" w:rsidRPr="00A10164" w:rsidRDefault="000938C1" w:rsidP="00F85C67">
      <w:pPr>
        <w:spacing w:after="120"/>
        <w:ind w:firstLine="539"/>
        <w:jc w:val="both"/>
      </w:pPr>
      <w:r w:rsidRPr="00A10164">
        <w:rPr>
          <w:b/>
          <w:i/>
        </w:rPr>
        <w:t>Оперативна програма „Регионално развитие”</w:t>
      </w:r>
      <w:r w:rsidRPr="00A10164">
        <w:t xml:space="preserve"> (144,9 млн. лв.)</w:t>
      </w:r>
      <w:r w:rsidRPr="00A10164">
        <w:rPr>
          <w:b/>
          <w:i/>
        </w:rPr>
        <w:t xml:space="preserve"> – </w:t>
      </w:r>
      <w:r w:rsidRPr="00A10164">
        <w:t xml:space="preserve">програмата финансира инфраструктурни проекти за интегрирано развитие на градовете,  регионалната и местна инфраструктура, устойчиво развитие на туризма, регионални и местни мрежи за сътрудничество. Основна цел на програмата е подобряване на качеството на живот и работната среда, с по-добър достъп до основните услуги и нови възможности за повишена регионална конкурентоспособност и устойчиво развитие. Други важни цели на програмата в това функционално направление са: изграждане на устойчиви и динамични градски центрове, свързани с техните по-слабо урбанизирани периферни територии; осигуряване на по-добър достъп до пътни, информационни, комуникационни и енергийни мрежи за изостаналите райони; възстановяване на баланса между различните видове транспорт; развитие на интермодален транспорт; системи за регулиране на автомобилния поток; мерки за безопасност и качество на услугите; подобряване на връзките между града и селото и др. Бенефициенти на програмата са общини, общински фирми, сдружения на общини, неправителствени организации с местно представителство. </w:t>
      </w:r>
    </w:p>
    <w:p w:rsidR="000938C1" w:rsidRDefault="000938C1" w:rsidP="00F85C67">
      <w:pPr>
        <w:spacing w:after="120"/>
        <w:ind w:firstLine="539"/>
        <w:jc w:val="both"/>
        <w:rPr>
          <w:color w:val="0070C0"/>
        </w:rPr>
      </w:pPr>
      <w:r w:rsidRPr="00EC1BB4">
        <w:rPr>
          <w:b/>
          <w:i/>
        </w:rPr>
        <w:t>Оперативна програма „Околна среда”</w:t>
      </w:r>
      <w:r w:rsidRPr="00EC1BB4">
        <w:t xml:space="preserve"> (91,</w:t>
      </w:r>
      <w:r>
        <w:t>1</w:t>
      </w:r>
      <w:r w:rsidRPr="00EC1BB4">
        <w:t xml:space="preserve"> млн. лв.) </w:t>
      </w:r>
      <w:r>
        <w:t xml:space="preserve">– в това функционално направление </w:t>
      </w:r>
      <w:r w:rsidRPr="00EC1BB4">
        <w:t xml:space="preserve">програмата финансира </w:t>
      </w:r>
      <w:r>
        <w:t>дейности, свързани с</w:t>
      </w:r>
      <w:r w:rsidRPr="00EC1BB4">
        <w:t xml:space="preserve"> подобряване качеството на атмосферния въздух</w:t>
      </w:r>
      <w:r>
        <w:t xml:space="preserve">. Една от основните цели в това направление е </w:t>
      </w:r>
      <w:r w:rsidRPr="00EC1BB4">
        <w:t xml:space="preserve"> осигуряване на</w:t>
      </w:r>
      <w:r>
        <w:t xml:space="preserve"> </w:t>
      </w:r>
      <w:r w:rsidRPr="00EC1BB4">
        <w:t>съвременен екологичен подвижен състав на градския транспорт, като тролейбуси,трамваи, метровлакове и автобуси, което ще доведе до намаляване на вредните емисии</w:t>
      </w:r>
      <w:r>
        <w:t xml:space="preserve"> </w:t>
      </w:r>
      <w:r w:rsidRPr="00EC1BB4">
        <w:t>във въздуха, намаляване на шума и вибрациите, значително спестяване на енергия. В</w:t>
      </w:r>
      <w:r>
        <w:t xml:space="preserve"> </w:t>
      </w:r>
      <w:r w:rsidRPr="00EC1BB4">
        <w:t>допълнение, по-високата надеждност, удобство и скорост на новите превозни средства</w:t>
      </w:r>
      <w:r>
        <w:t xml:space="preserve"> </w:t>
      </w:r>
      <w:r w:rsidRPr="00EC1BB4">
        <w:t>ще направи градския транспорт по-привлекателен и ще доведе до намаляване на</w:t>
      </w:r>
      <w:r>
        <w:t xml:space="preserve"> </w:t>
      </w:r>
      <w:r w:rsidRPr="00EC1BB4">
        <w:t>движението с лични автомобили</w:t>
      </w:r>
      <w:r>
        <w:t>.</w:t>
      </w:r>
    </w:p>
    <w:p w:rsidR="000938C1" w:rsidRPr="00CF1A14" w:rsidRDefault="000938C1" w:rsidP="00F85C67">
      <w:pPr>
        <w:ind w:firstLine="540"/>
        <w:jc w:val="both"/>
        <w:rPr>
          <w:color w:val="0070C0"/>
        </w:rPr>
      </w:pPr>
    </w:p>
    <w:p w:rsidR="000938C1" w:rsidRPr="008C01DE" w:rsidRDefault="000938C1" w:rsidP="00F85C67">
      <w:pPr>
        <w:ind w:firstLine="540"/>
        <w:rPr>
          <w:b/>
        </w:rPr>
      </w:pPr>
      <w:r w:rsidRPr="008C01DE">
        <w:rPr>
          <w:b/>
        </w:rPr>
        <w:t xml:space="preserve">Група Г: </w:t>
      </w:r>
      <w:r w:rsidRPr="008C01DE">
        <w:rPr>
          <w:b/>
          <w:i/>
        </w:rPr>
        <w:t>„Промишленост и строителство”</w:t>
      </w:r>
    </w:p>
    <w:p w:rsidR="000938C1" w:rsidRPr="00CF1A14" w:rsidRDefault="000938C1" w:rsidP="00F85C67">
      <w:pPr>
        <w:ind w:firstLine="540"/>
        <w:rPr>
          <w:color w:val="0070C0"/>
          <w:sz w:val="8"/>
          <w:szCs w:val="8"/>
        </w:rPr>
      </w:pPr>
    </w:p>
    <w:p w:rsidR="000938C1" w:rsidRPr="00E9706E" w:rsidRDefault="000938C1" w:rsidP="00F85C67">
      <w:pPr>
        <w:ind w:firstLine="540"/>
        <w:jc w:val="both"/>
      </w:pPr>
      <w:r w:rsidRPr="00E9706E">
        <w:t>Със Закона за държавния бюджет на Република България за 2013 г. по група „Промишленост и строителство” са утвърдени средства в размер на 2,2</w:t>
      </w:r>
      <w:r w:rsidRPr="00E9706E">
        <w:rPr>
          <w:lang w:val="ru-RU"/>
        </w:rPr>
        <w:t xml:space="preserve"> млн. лв.</w:t>
      </w:r>
      <w:r w:rsidRPr="00E9706E">
        <w:t xml:space="preserve"> Одобрените средства са за реализиране на политиката на правителството, насочена към постигане на устойчиво икономическо развитие и конкурентоспособност на българската икономика.</w:t>
      </w:r>
    </w:p>
    <w:p w:rsidR="000938C1" w:rsidRPr="00F97824" w:rsidRDefault="000938C1" w:rsidP="00F85C67">
      <w:pPr>
        <w:ind w:firstLine="540"/>
        <w:jc w:val="both"/>
      </w:pPr>
      <w:r w:rsidRPr="00E9706E">
        <w:rPr>
          <w:lang w:val="ru-RU"/>
        </w:rPr>
        <w:t>В хода на изпълнението на държавния бюджет, на основание чл. 34, ал.1, 2 и 3 от ЗУДБ, разходите на министерствата и ведомствата по група „Промишленост и строителство” са намалени с 0,5 млн. лв.</w:t>
      </w:r>
      <w:r>
        <w:rPr>
          <w:lang w:val="en-US"/>
        </w:rPr>
        <w:t xml:space="preserve"> </w:t>
      </w:r>
      <w:r>
        <w:t>и стават 1,7 млн. лв.</w:t>
      </w:r>
    </w:p>
    <w:p w:rsidR="000938C1" w:rsidRPr="00351618" w:rsidRDefault="000938C1" w:rsidP="00F85C67">
      <w:pPr>
        <w:ind w:firstLine="540"/>
        <w:jc w:val="both"/>
      </w:pPr>
      <w:r w:rsidRPr="00351618">
        <w:t xml:space="preserve">По бюджетите на </w:t>
      </w:r>
      <w:r w:rsidRPr="0052476D">
        <w:rPr>
          <w:b/>
        </w:rPr>
        <w:t>министерствата и ведомствата</w:t>
      </w:r>
      <w:r w:rsidRPr="00351618">
        <w:t xml:space="preserve"> в групата са отчетени разходи в размер на 0,2 млн. лв.</w:t>
      </w:r>
      <w:r>
        <w:t xml:space="preserve"> </w:t>
      </w:r>
      <w:r w:rsidRPr="00351618">
        <w:t xml:space="preserve">Значително ниското изпълнение на разходите по тази група е резултативна величина. Действително извършените разходи по тази група през 2013 г. са 1,4 млн. лв. Същевременно през годината е отчетена възстановена от бенефициент по Националния иновационен фонд (НИФ) субсидия в размер на 0,2 млн. лв., както и </w:t>
      </w:r>
      <w:r w:rsidRPr="00017423">
        <w:t>верифицирана сума в размер на 1,0 млн. лв., която е за разходи извършени за сметка на</w:t>
      </w:r>
      <w:r w:rsidRPr="00351618">
        <w:t xml:space="preserve"> бюджета на </w:t>
      </w:r>
      <w:r>
        <w:t>МИЕ</w:t>
      </w:r>
      <w:r w:rsidRPr="00351618">
        <w:t xml:space="preserve"> през 2012 г. по ос 4 на ОП „Развитие на конкурентоспособността на българската икономика“. През годината не е обявена нова сесия за насърчаване на иновациите чрез Националния иновационен фонд (НИФ).</w:t>
      </w:r>
    </w:p>
    <w:p w:rsidR="000938C1" w:rsidRPr="00581F5F" w:rsidRDefault="000938C1" w:rsidP="00F85C67">
      <w:pPr>
        <w:ind w:firstLine="540"/>
        <w:jc w:val="both"/>
      </w:pPr>
      <w:r w:rsidRPr="00581F5F">
        <w:t xml:space="preserve">Изразходените през 2013 г. средства в група „Промишленост и строителство“ са насочени към насърчаване на малкия и средния бизнес. </w:t>
      </w:r>
    </w:p>
    <w:p w:rsidR="000938C1" w:rsidRPr="00DA3AA7" w:rsidRDefault="000938C1" w:rsidP="00F85C67">
      <w:pPr>
        <w:spacing w:after="240"/>
        <w:ind w:firstLine="539"/>
        <w:jc w:val="both"/>
        <w:rPr>
          <w:b/>
          <w:sz w:val="10"/>
          <w:szCs w:val="10"/>
        </w:rPr>
      </w:pPr>
      <w:r w:rsidRPr="00DA3AA7">
        <w:t>Ангажираните с изпълнението на държавната политика в областта на промишлеността и строителството през 2013 г. и отговорни за постигнатите резултати са Министерството на икономиката и енергетиката и определената като второстепенен разпоредител с бюджетни кредити към министъра на икономиката и енергетиката Изпълнителна агенция за насърчаване на малките и средните предприятия.</w:t>
      </w:r>
    </w:p>
    <w:p w:rsidR="000938C1" w:rsidRPr="00292A07" w:rsidRDefault="000938C1" w:rsidP="00073030">
      <w:pPr>
        <w:spacing w:after="120"/>
        <w:ind w:firstLine="539"/>
        <w:rPr>
          <w:b/>
        </w:rPr>
      </w:pPr>
      <w:r w:rsidRPr="00292A07">
        <w:rPr>
          <w:b/>
        </w:rPr>
        <w:t xml:space="preserve">Група Д: </w:t>
      </w:r>
      <w:r w:rsidRPr="00292A07">
        <w:rPr>
          <w:b/>
          <w:i/>
        </w:rPr>
        <w:t>„Туризъм”</w:t>
      </w:r>
    </w:p>
    <w:p w:rsidR="000938C1" w:rsidRPr="00292A07" w:rsidRDefault="000938C1" w:rsidP="00073030">
      <w:pPr>
        <w:spacing w:after="120"/>
        <w:ind w:firstLine="539"/>
        <w:jc w:val="both"/>
      </w:pPr>
      <w:r w:rsidRPr="00292A07">
        <w:t>Основната цел на публичните разходи и през 201</w:t>
      </w:r>
      <w:r w:rsidRPr="00292A07">
        <w:rPr>
          <w:lang w:val="ru-RU"/>
        </w:rPr>
        <w:t>3</w:t>
      </w:r>
      <w:r w:rsidRPr="00292A07">
        <w:t xml:space="preserve"> г. за група „Туризъм” е повишаване на конкурентоспособността на българския туризъм</w:t>
      </w:r>
      <w:r w:rsidRPr="00292A07">
        <w:rPr>
          <w:lang w:val="ru-RU"/>
        </w:rPr>
        <w:t xml:space="preserve"> и в резултат на това нарастването на приходите от международен туризъм в България.</w:t>
      </w:r>
      <w:r w:rsidRPr="00292A07">
        <w:t xml:space="preserve"> Изпълнението на държавната политика в областта на туризма е отговорност на МИЕ.</w:t>
      </w:r>
    </w:p>
    <w:p w:rsidR="000938C1" w:rsidRDefault="000938C1" w:rsidP="00F85C67">
      <w:pPr>
        <w:ind w:firstLine="539"/>
        <w:jc w:val="both"/>
      </w:pPr>
      <w:r w:rsidRPr="00542AA3">
        <w:t xml:space="preserve">Със ЗДБРБ за 2013 г. по група „Туризъм” за </w:t>
      </w:r>
      <w:r w:rsidRPr="0052476D">
        <w:rPr>
          <w:b/>
        </w:rPr>
        <w:t>министерствата и ведомствата</w:t>
      </w:r>
      <w:r w:rsidRPr="00542AA3">
        <w:t xml:space="preserve"> са утвърдени средства в размер на 4,0 млн. лв. Одобрените средства са за реализиране на устойчивост в развитието на туризма и ефективност на външноикономическо</w:t>
      </w:r>
      <w:r>
        <w:t>то</w:t>
      </w:r>
      <w:r w:rsidRPr="00542AA3">
        <w:t xml:space="preserve"> сътрудничество. </w:t>
      </w:r>
    </w:p>
    <w:p w:rsidR="000938C1" w:rsidRPr="00542AA3" w:rsidRDefault="000938C1" w:rsidP="00F85C67">
      <w:pPr>
        <w:ind w:firstLine="539"/>
        <w:jc w:val="both"/>
      </w:pPr>
      <w:r w:rsidRPr="007C6E22">
        <w:t>В хода на изпълнението на държавния бюджет, на основание чл. 34, алинеи 1-3 и чл. 35, ал</w:t>
      </w:r>
      <w:r>
        <w:t>.</w:t>
      </w:r>
      <w:r w:rsidRPr="007C6E22">
        <w:t xml:space="preserve"> 2 и 5 от </w:t>
      </w:r>
      <w:r>
        <w:t>ЗУДБ</w:t>
      </w:r>
      <w:r w:rsidRPr="007C6E22">
        <w:t xml:space="preserve"> на министерствата и ведомствата по група „Туризъм” са осигурени допълнителни средства в размер на 2,7 млн.</w:t>
      </w:r>
      <w:r>
        <w:t xml:space="preserve"> лева</w:t>
      </w:r>
      <w:r w:rsidRPr="007C6E22">
        <w:t>.</w:t>
      </w:r>
    </w:p>
    <w:p w:rsidR="000938C1" w:rsidRPr="00E142DA" w:rsidRDefault="000938C1" w:rsidP="00F85C67">
      <w:pPr>
        <w:ind w:firstLine="540"/>
        <w:jc w:val="both"/>
      </w:pPr>
      <w:r w:rsidRPr="00E142DA">
        <w:t xml:space="preserve">Извършените през 2013 г. разходи по тази група за </w:t>
      </w:r>
      <w:r w:rsidRPr="00E142DA">
        <w:rPr>
          <w:b/>
        </w:rPr>
        <w:t>министерствата и ведомствата</w:t>
      </w:r>
      <w:r w:rsidRPr="00E142DA">
        <w:t xml:space="preserve">  са в размер на 5,6 млн. лв., което е с 1,6 млн. лв. по-малко от планираните за 2013 г. </w:t>
      </w:r>
    </w:p>
    <w:p w:rsidR="000938C1" w:rsidRPr="00F36A23" w:rsidRDefault="000938C1" w:rsidP="00F85C67">
      <w:pPr>
        <w:spacing w:after="120"/>
        <w:ind w:firstLine="540"/>
        <w:jc w:val="both"/>
      </w:pPr>
      <w:r w:rsidRPr="00F36A23">
        <w:t>Изразходваните средства са насочени към постигане на следните резултати:</w:t>
      </w:r>
    </w:p>
    <w:p w:rsidR="000938C1" w:rsidRPr="00F36A23" w:rsidRDefault="000938C1" w:rsidP="00F30F79">
      <w:pPr>
        <w:numPr>
          <w:ilvl w:val="0"/>
          <w:numId w:val="59"/>
        </w:numPr>
        <w:ind w:left="714" w:hanging="357"/>
        <w:jc w:val="both"/>
      </w:pPr>
      <w:r w:rsidRPr="00F36A23">
        <w:t>финансиране изпълнението на маркетинговата стратегия за реклама на българския туризъм на международния туристически пазар;</w:t>
      </w:r>
    </w:p>
    <w:p w:rsidR="000938C1" w:rsidRPr="00F36A23" w:rsidRDefault="000938C1" w:rsidP="00F30F79">
      <w:pPr>
        <w:numPr>
          <w:ilvl w:val="0"/>
          <w:numId w:val="59"/>
        </w:numPr>
        <w:ind w:left="714" w:hanging="357"/>
        <w:jc w:val="both"/>
      </w:pPr>
      <w:r w:rsidRPr="00F36A23">
        <w:t>популяризирането и въвеждането на нови туристически продукти;</w:t>
      </w:r>
    </w:p>
    <w:p w:rsidR="000938C1" w:rsidRPr="00F36A23" w:rsidRDefault="000938C1" w:rsidP="00F30F79">
      <w:pPr>
        <w:numPr>
          <w:ilvl w:val="0"/>
          <w:numId w:val="59"/>
        </w:numPr>
        <w:jc w:val="both"/>
      </w:pPr>
      <w:r w:rsidRPr="00F36A23">
        <w:t>организиране на международни туристически борси, панаири и изложения;</w:t>
      </w:r>
    </w:p>
    <w:p w:rsidR="000938C1" w:rsidRPr="00F36A23" w:rsidRDefault="000938C1" w:rsidP="00F30F79">
      <w:pPr>
        <w:numPr>
          <w:ilvl w:val="0"/>
          <w:numId w:val="59"/>
        </w:numPr>
        <w:jc w:val="both"/>
      </w:pPr>
      <w:r w:rsidRPr="00F36A23">
        <w:t>подготовката и разпространението на рекламни материали и мултимедийни продукти и PR мероприятия;</w:t>
      </w:r>
    </w:p>
    <w:p w:rsidR="000938C1" w:rsidRPr="00F36A23" w:rsidRDefault="000938C1" w:rsidP="00F30F79">
      <w:pPr>
        <w:numPr>
          <w:ilvl w:val="0"/>
          <w:numId w:val="59"/>
        </w:numPr>
        <w:spacing w:after="120"/>
        <w:jc w:val="both"/>
      </w:pPr>
      <w:r w:rsidRPr="00F36A23">
        <w:t>реклама в чуждестранни медии, в т.ч. чрез организиране на журналистически турове в страната и в българските медии и др.</w:t>
      </w:r>
    </w:p>
    <w:p w:rsidR="000938C1" w:rsidRPr="00484F8E" w:rsidRDefault="000938C1" w:rsidP="00F85C67">
      <w:pPr>
        <w:spacing w:after="120"/>
        <w:ind w:firstLine="539"/>
        <w:jc w:val="both"/>
      </w:pPr>
      <w:r w:rsidRPr="008A3F5E">
        <w:t>За група</w:t>
      </w:r>
      <w:r w:rsidRPr="00484F8E">
        <w:t xml:space="preserve"> „Туризъм” по </w:t>
      </w:r>
      <w:r w:rsidRPr="00484F8E">
        <w:rPr>
          <w:b/>
        </w:rPr>
        <w:t>общинските бюджети</w:t>
      </w:r>
      <w:r w:rsidRPr="00484F8E">
        <w:t xml:space="preserve"> са отчетени разходи в размер на 12,7 млн. лв. (в т.ч. 5,6 млн. лв. текущи разходи). Значително увеличение бележат отчетените капиталови разходи в групата, съответно с 3,5 млн. лв., спрямо отчета за 2012 г. и с 4,4 млн. лв. спрямо разчетените по закона за 2013 г., което е показателно за развитието на туристическата инфраструктура на общините. В тази група се отчитат разходите за издръжка на туристическите бази, специализирани спортно-туристически школи, за развитието и популяризирането на туризма и др. </w:t>
      </w:r>
    </w:p>
    <w:p w:rsidR="000938C1" w:rsidRDefault="000938C1" w:rsidP="00F85C67">
      <w:pPr>
        <w:pStyle w:val="BodyTextIndent2"/>
        <w:spacing w:line="240" w:lineRule="auto"/>
        <w:ind w:left="0" w:firstLine="540"/>
        <w:jc w:val="both"/>
      </w:pPr>
      <w:r w:rsidRPr="003319C9">
        <w:rPr>
          <w:b/>
        </w:rPr>
        <w:t>Европейски средства</w:t>
      </w:r>
      <w:r w:rsidRPr="003319C9">
        <w:t xml:space="preserve"> – в група “</w:t>
      </w:r>
      <w:r>
        <w:t>Туризъм</w:t>
      </w:r>
      <w:r w:rsidRPr="003319C9">
        <w:t xml:space="preserve">” изразходваните средства са в размер на </w:t>
      </w:r>
      <w:r>
        <w:t>39,2</w:t>
      </w:r>
      <w:r w:rsidRPr="003319C9">
        <w:t xml:space="preserve"> млн. лв. (в т.ч. капиталови разходи </w:t>
      </w:r>
      <w:r>
        <w:t>31,8</w:t>
      </w:r>
      <w:r w:rsidRPr="003319C9">
        <w:t xml:space="preserve"> млн. лв.),  основно по </w:t>
      </w:r>
      <w:r>
        <w:t>оперативна програма „Регионално развитие“.</w:t>
      </w:r>
    </w:p>
    <w:p w:rsidR="000938C1" w:rsidRPr="00CF1A14" w:rsidRDefault="000938C1" w:rsidP="00F85C67">
      <w:pPr>
        <w:spacing w:after="120"/>
        <w:ind w:firstLine="539"/>
        <w:jc w:val="both"/>
        <w:rPr>
          <w:color w:val="0070C0"/>
        </w:rPr>
      </w:pPr>
    </w:p>
    <w:p w:rsidR="000938C1" w:rsidRPr="00D07166" w:rsidRDefault="000938C1" w:rsidP="00F85C67">
      <w:pPr>
        <w:ind w:firstLine="540"/>
        <w:rPr>
          <w:b/>
        </w:rPr>
      </w:pPr>
      <w:r w:rsidRPr="00D07166">
        <w:rPr>
          <w:b/>
        </w:rPr>
        <w:t xml:space="preserve">Група Е: </w:t>
      </w:r>
      <w:r w:rsidRPr="00D07166">
        <w:rPr>
          <w:b/>
          <w:i/>
        </w:rPr>
        <w:t>„Други дейности по икономиката”</w:t>
      </w:r>
    </w:p>
    <w:p w:rsidR="000938C1" w:rsidRPr="00CF1A14" w:rsidRDefault="000938C1" w:rsidP="00F85C67">
      <w:pPr>
        <w:ind w:firstLine="540"/>
        <w:jc w:val="both"/>
        <w:rPr>
          <w:b/>
          <w:color w:val="0070C0"/>
          <w:sz w:val="8"/>
          <w:szCs w:val="8"/>
        </w:rPr>
      </w:pPr>
    </w:p>
    <w:p w:rsidR="000938C1" w:rsidRPr="00196E6D" w:rsidRDefault="000938C1" w:rsidP="00F85C67">
      <w:pPr>
        <w:ind w:firstLine="540"/>
        <w:jc w:val="both"/>
      </w:pPr>
      <w:r w:rsidRPr="00196E6D">
        <w:t>Целта на публичните разходи в областта на другите дейности по икономиката е финансовото осигуряване на извършваната от министерствата и ведомствата издателска дейност, за издръжка на обекти, предназначени за представителни и социални нужди - почивни бази, оздравителни комплекси и др., осъществяването на дейностите в областта на метрологията и техническия надзор, на приватизацията и следприватизационния надзор, на патентната дейност, на дейностите по акредитиране на лаборатории и органи, на дейности, свързани с политиката в областта на обществените поръчки и др.</w:t>
      </w:r>
    </w:p>
    <w:p w:rsidR="000938C1" w:rsidRPr="00DB3AC5" w:rsidRDefault="000938C1" w:rsidP="00F85C67">
      <w:pPr>
        <w:ind w:firstLine="539"/>
        <w:jc w:val="both"/>
      </w:pPr>
      <w:r w:rsidRPr="00DB3AC5">
        <w:t xml:space="preserve">Разчетените със ЗДБРБ за 2013 г. разходи в група „Други дейности по икономиката” за </w:t>
      </w:r>
      <w:r w:rsidRPr="0052476D">
        <w:rPr>
          <w:b/>
        </w:rPr>
        <w:t>министерства и ведомства</w:t>
      </w:r>
      <w:r w:rsidRPr="00DB3AC5">
        <w:t xml:space="preserve"> са в размер на 24,2 млн. лв., от които 24,1 млн. лв. текущи разходи. В хода на изпълнението на държавния бюджет, на основание чл. 34 и чл. 35 от ЗУДБ, на министерствата и ведомствата по група „Други дейности по икономиката” са осигурени допълнителни средства в размер на </w:t>
      </w:r>
      <w:r>
        <w:t>2,6</w:t>
      </w:r>
      <w:r w:rsidRPr="00DB3AC5">
        <w:t xml:space="preserve"> млн. лв. </w:t>
      </w:r>
    </w:p>
    <w:p w:rsidR="000938C1" w:rsidRPr="002568D3" w:rsidRDefault="000938C1" w:rsidP="00F85C67">
      <w:pPr>
        <w:ind w:firstLine="539"/>
        <w:jc w:val="both"/>
      </w:pPr>
      <w:r w:rsidRPr="002568D3">
        <w:t>За отчетния период разходите за групата по републиканския бюджет са в размер на 51,9 млн. лв., от които по централния бюджет 25,9 млн. лв.</w:t>
      </w:r>
      <w:r w:rsidRPr="002568D3">
        <w:rPr>
          <w:lang w:val="ru-RU"/>
        </w:rPr>
        <w:t xml:space="preserve"> (</w:t>
      </w:r>
      <w:r w:rsidRPr="002568D3">
        <w:t>в т.ч. разходи за издръжка 16,2 млн. лв.</w:t>
      </w:r>
      <w:r w:rsidRPr="002568D3">
        <w:rPr>
          <w:lang w:val="ru-RU"/>
        </w:rPr>
        <w:t xml:space="preserve">) </w:t>
      </w:r>
      <w:r w:rsidRPr="002568D3">
        <w:t xml:space="preserve">и по бюджетите на министерствата – 26,0 млн. лв. </w:t>
      </w:r>
    </w:p>
    <w:p w:rsidR="000938C1" w:rsidRPr="00381125" w:rsidRDefault="000938C1" w:rsidP="00F85C67">
      <w:pPr>
        <w:ind w:firstLine="540"/>
        <w:jc w:val="both"/>
      </w:pPr>
      <w:r w:rsidRPr="00381125">
        <w:t>През 201</w:t>
      </w:r>
      <w:r w:rsidRPr="00381125">
        <w:rPr>
          <w:lang w:val="ru-RU"/>
        </w:rPr>
        <w:t>3</w:t>
      </w:r>
      <w:r w:rsidRPr="00381125">
        <w:t xml:space="preserve"> г. с изразходваните средства </w:t>
      </w:r>
      <w:r w:rsidRPr="00381125">
        <w:rPr>
          <w:lang w:val="ru-RU"/>
        </w:rPr>
        <w:t>(</w:t>
      </w:r>
      <w:r w:rsidRPr="00381125">
        <w:t>в размер на 26,0 млн. лв.</w:t>
      </w:r>
      <w:r w:rsidRPr="00381125">
        <w:rPr>
          <w:lang w:val="ru-RU"/>
        </w:rPr>
        <w:t xml:space="preserve">) </w:t>
      </w:r>
      <w:r w:rsidRPr="00381125">
        <w:t>по бюджетите на министерства и ведомства в групата са финансирани следните дейности:</w:t>
      </w:r>
    </w:p>
    <w:p w:rsidR="000938C1" w:rsidRPr="00381125" w:rsidRDefault="000938C1" w:rsidP="00F30F79">
      <w:pPr>
        <w:numPr>
          <w:ilvl w:val="0"/>
          <w:numId w:val="24"/>
        </w:numPr>
        <w:tabs>
          <w:tab w:val="clear" w:pos="1260"/>
        </w:tabs>
        <w:ind w:left="540" w:hanging="540"/>
        <w:jc w:val="both"/>
      </w:pPr>
      <w:r w:rsidRPr="00381125">
        <w:t>издръжка на обекти, предназначени за представителни и социални нужди - почивни бази, оздравителни комплекси и др.;</w:t>
      </w:r>
    </w:p>
    <w:p w:rsidR="000938C1" w:rsidRPr="00381125" w:rsidRDefault="000938C1" w:rsidP="00F30F79">
      <w:pPr>
        <w:numPr>
          <w:ilvl w:val="0"/>
          <w:numId w:val="24"/>
        </w:numPr>
        <w:tabs>
          <w:tab w:val="clear" w:pos="1260"/>
        </w:tabs>
        <w:ind w:left="540" w:hanging="540"/>
        <w:jc w:val="both"/>
      </w:pPr>
      <w:r w:rsidRPr="00381125">
        <w:t>издръжка на списание „Бюджет” и други дейности (в т.ч. отпечатване на ценни книжа) към МФ, на вестник „Българска армия” към МО и др.;</w:t>
      </w:r>
    </w:p>
    <w:p w:rsidR="000938C1" w:rsidRPr="00381125" w:rsidRDefault="000938C1" w:rsidP="00F30F79">
      <w:pPr>
        <w:numPr>
          <w:ilvl w:val="0"/>
          <w:numId w:val="24"/>
        </w:numPr>
        <w:tabs>
          <w:tab w:val="clear" w:pos="1260"/>
        </w:tabs>
        <w:ind w:left="540" w:hanging="540"/>
        <w:jc w:val="both"/>
      </w:pPr>
      <w:r w:rsidRPr="00381125">
        <w:t>издръжка на редакция „Педагогически издания” към МОН;</w:t>
      </w:r>
    </w:p>
    <w:p w:rsidR="000938C1" w:rsidRPr="009B3DF6" w:rsidRDefault="000938C1" w:rsidP="00F30F79">
      <w:pPr>
        <w:numPr>
          <w:ilvl w:val="0"/>
          <w:numId w:val="24"/>
        </w:numPr>
        <w:tabs>
          <w:tab w:val="clear" w:pos="1260"/>
        </w:tabs>
        <w:ind w:left="540" w:hanging="540"/>
        <w:jc w:val="both"/>
      </w:pPr>
      <w:r w:rsidRPr="009B3DF6">
        <w:t>подобряване на бизнес</w:t>
      </w:r>
      <w:r>
        <w:t xml:space="preserve"> </w:t>
      </w:r>
      <w:r w:rsidRPr="009B3DF6">
        <w:t>климата чрез ефективен контрол на регулативните режими (осъществяване на дейности в областта на метрологията и техническия надзор, в областта на акредитирането на лаборатории и органи, в областта на обществените поръчки и др.);</w:t>
      </w:r>
    </w:p>
    <w:p w:rsidR="000938C1" w:rsidRPr="009B3DF6" w:rsidRDefault="000938C1" w:rsidP="00F30F79">
      <w:pPr>
        <w:numPr>
          <w:ilvl w:val="0"/>
          <w:numId w:val="24"/>
        </w:numPr>
        <w:tabs>
          <w:tab w:val="clear" w:pos="1260"/>
        </w:tabs>
        <w:ind w:left="540" w:hanging="540"/>
        <w:jc w:val="both"/>
      </w:pPr>
      <w:r w:rsidRPr="009B3DF6">
        <w:t>осигуряване закрила на индустриалната собственост;</w:t>
      </w:r>
    </w:p>
    <w:p w:rsidR="000938C1" w:rsidRPr="009D13F0" w:rsidRDefault="000938C1" w:rsidP="00F30F79">
      <w:pPr>
        <w:numPr>
          <w:ilvl w:val="0"/>
          <w:numId w:val="24"/>
        </w:numPr>
        <w:tabs>
          <w:tab w:val="clear" w:pos="1260"/>
        </w:tabs>
        <w:spacing w:after="120"/>
        <w:ind w:left="540" w:hanging="540"/>
        <w:jc w:val="both"/>
      </w:pPr>
      <w:r w:rsidRPr="009B3DF6">
        <w:t xml:space="preserve">организиране и осъществяване процеса на приватизация в случаите, предвидени в Закона за приватизация и следприватизационен контрол, и на следприватизационния </w:t>
      </w:r>
      <w:r w:rsidRPr="009D13F0">
        <w:t>контрол по договорите за приватизация и др.</w:t>
      </w:r>
    </w:p>
    <w:p w:rsidR="000938C1" w:rsidRPr="009D13F0" w:rsidRDefault="000938C1" w:rsidP="00F85C67">
      <w:pPr>
        <w:spacing w:after="120"/>
        <w:ind w:firstLine="540"/>
        <w:jc w:val="both"/>
      </w:pPr>
      <w:r w:rsidRPr="009D13F0">
        <w:t>Отговорните институции (в т.ч. министерства и ведомства), които са ангажирани с изпълнението на държавн</w:t>
      </w:r>
      <w:r>
        <w:t>а</w:t>
      </w:r>
      <w:r w:rsidRPr="009D13F0">
        <w:t>т</w:t>
      </w:r>
      <w:r>
        <w:t>а</w:t>
      </w:r>
      <w:r w:rsidRPr="009D13F0">
        <w:t xml:space="preserve"> политика в областта на другите дейности по икономиката през 2013 г. са</w:t>
      </w:r>
      <w:r>
        <w:t xml:space="preserve"> </w:t>
      </w:r>
      <w:r w:rsidRPr="009D13F0">
        <w:t>МС, МФ, МО, МОН, МИЕ</w:t>
      </w:r>
      <w:r>
        <w:t xml:space="preserve">, бюджетни организации – второстепенни разпоредители с бюджет към министъра на икономиката и енергетиката </w:t>
      </w:r>
      <w:r>
        <w:rPr>
          <w:lang w:val="en-US"/>
        </w:rPr>
        <w:t>(</w:t>
      </w:r>
      <w:r w:rsidRPr="009D13F0">
        <w:t>Държавна агенция за метрологичен и технически надзор, Български институт по метрология, Агенция за приватизация и следприватизационен контрол, Патентно ведомство, Изпълнителна агенция “Българска служба за акредитация”, Агенция по обществени поръчки</w:t>
      </w:r>
      <w:r>
        <w:rPr>
          <w:lang w:val="en-US"/>
        </w:rPr>
        <w:t xml:space="preserve">) </w:t>
      </w:r>
      <w:r w:rsidRPr="009D13F0">
        <w:t>и др</w:t>
      </w:r>
      <w:r>
        <w:t>уги</w:t>
      </w:r>
      <w:r w:rsidRPr="009D13F0">
        <w:t>.</w:t>
      </w:r>
    </w:p>
    <w:p w:rsidR="000938C1" w:rsidRPr="005F573D" w:rsidRDefault="000938C1" w:rsidP="00F85C67">
      <w:pPr>
        <w:ind w:firstLine="539"/>
        <w:jc w:val="both"/>
      </w:pPr>
      <w:r w:rsidRPr="00D07166">
        <w:t xml:space="preserve">Разходите за група „Други дейности по икономиката”, отчетени </w:t>
      </w:r>
      <w:r w:rsidRPr="00D07166">
        <w:rPr>
          <w:b/>
        </w:rPr>
        <w:t>по общинските бюджети,</w:t>
      </w:r>
      <w:r w:rsidRPr="00D07166">
        <w:t xml:space="preserve"> са в</w:t>
      </w:r>
      <w:r w:rsidRPr="00460146">
        <w:t xml:space="preserve"> размер на 93,6 млн. лв., което е увеличение с 13,6 % спрямо предвидените. Отчетените текущи разходи са в размер на 80,7 млн. лв., което е с 2,9 млн. лв. повече от </w:t>
      </w:r>
      <w:r w:rsidRPr="005F573D">
        <w:t>разчетените със закона за 2013 г. Размерът на отчетените капиталови разходи е 12,9 млн. лв. и е с 8,4 млн. лв. повече от разчета по закон и с 3,0 млн. лв. по-малко от отчетените през 2012 г.</w:t>
      </w:r>
    </w:p>
    <w:p w:rsidR="000938C1" w:rsidRPr="00F82CEB" w:rsidRDefault="000938C1" w:rsidP="00F85C67">
      <w:pPr>
        <w:spacing w:after="120"/>
        <w:ind w:firstLine="539"/>
        <w:jc w:val="both"/>
        <w:rPr>
          <w:highlight w:val="yellow"/>
        </w:rPr>
      </w:pPr>
      <w:r w:rsidRPr="00F82CEB">
        <w:t>Превишението на средствата в групата спрямо разчетените по закон се дължи на увеличението на разходите за персонала и капиталовите разходи. В тази група се отчитат разходите за поддържането на общинските пазари и тържища, помощни стопанства, приюти за безстопанствени животни и други разходи по решение на общинския съвет.</w:t>
      </w:r>
    </w:p>
    <w:p w:rsidR="000938C1" w:rsidRDefault="000938C1" w:rsidP="00F85C67">
      <w:pPr>
        <w:spacing w:after="120"/>
        <w:ind w:firstLine="539"/>
        <w:jc w:val="both"/>
      </w:pPr>
      <w:r w:rsidRPr="00CA601F">
        <w:rPr>
          <w:b/>
        </w:rPr>
        <w:t>Европейски средства</w:t>
      </w:r>
      <w:r w:rsidRPr="00CA601F">
        <w:t xml:space="preserve"> – изразходваните средства в групата са в размер на 320,9      млн. лв. и са основно по </w:t>
      </w:r>
      <w:r w:rsidRPr="00CA601F">
        <w:rPr>
          <w:b/>
          <w:i/>
        </w:rPr>
        <w:t>оперативна програма „Конкурентоспособност</w:t>
      </w:r>
      <w:r w:rsidRPr="00CA601F">
        <w:rPr>
          <w:b/>
        </w:rPr>
        <w:t xml:space="preserve">” </w:t>
      </w:r>
      <w:r w:rsidRPr="00CA601F">
        <w:t xml:space="preserve">(305,2 млн. лв.). Главна цел на програмата е </w:t>
      </w:r>
      <w:r w:rsidRPr="00CA601F">
        <w:rPr>
          <w:bCs/>
        </w:rPr>
        <w:t>развитие на динамична икономика, конкурентоспособна на европейския и световен пазар.</w:t>
      </w:r>
      <w:r>
        <w:rPr>
          <w:bCs/>
        </w:rPr>
        <w:t xml:space="preserve"> </w:t>
      </w:r>
      <w:r w:rsidRPr="00CA601F">
        <w:rPr>
          <w:bCs/>
        </w:rPr>
        <w:t xml:space="preserve">За реализирането на основната цел, програмата финансира дейности, свързани с насърчаване на иновациите и повишаване на ефективността на предприятията, подобряване на бизнес средата </w:t>
      </w:r>
      <w:r w:rsidRPr="00CA601F">
        <w:t>и др.</w:t>
      </w:r>
    </w:p>
    <w:p w:rsidR="000938C1" w:rsidRPr="00CA601F" w:rsidRDefault="000938C1" w:rsidP="00F85C67">
      <w:pPr>
        <w:spacing w:after="120"/>
        <w:ind w:firstLine="539"/>
        <w:jc w:val="both"/>
        <w:rPr>
          <w:lang w:val="ru-RU"/>
        </w:rPr>
      </w:pPr>
    </w:p>
    <w:p w:rsidR="000938C1" w:rsidRPr="00B6537F" w:rsidRDefault="000938C1" w:rsidP="00F30F79">
      <w:pPr>
        <w:pStyle w:val="Heading3"/>
        <w:numPr>
          <w:ilvl w:val="2"/>
          <w:numId w:val="72"/>
        </w:numPr>
        <w:rPr>
          <w:rFonts w:ascii="Times New Roman" w:hAnsi="Times New Roman"/>
          <w:sz w:val="24"/>
          <w:lang w:val="bg-BG"/>
        </w:rPr>
      </w:pPr>
      <w:bookmarkStart w:id="236" w:name="_Toc261276594"/>
      <w:bookmarkStart w:id="237" w:name="_Toc324863430"/>
      <w:bookmarkStart w:id="238" w:name="_Toc326315922"/>
      <w:bookmarkStart w:id="239" w:name="_Toc393728081"/>
      <w:r w:rsidRPr="00B6537F">
        <w:rPr>
          <w:rFonts w:ascii="Times New Roman" w:hAnsi="Times New Roman"/>
          <w:sz w:val="24"/>
          <w:lang w:val="bg-BG"/>
        </w:rPr>
        <w:t>Разходи некласифицирани в другите функции</w:t>
      </w:r>
      <w:bookmarkEnd w:id="236"/>
      <w:bookmarkEnd w:id="237"/>
      <w:bookmarkEnd w:id="238"/>
      <w:bookmarkEnd w:id="239"/>
    </w:p>
    <w:p w:rsidR="000938C1" w:rsidRPr="00CF1A14" w:rsidRDefault="000938C1" w:rsidP="00F85C67">
      <w:pPr>
        <w:rPr>
          <w:color w:val="0070C0"/>
          <w:sz w:val="2"/>
          <w:szCs w:val="2"/>
        </w:rPr>
      </w:pPr>
    </w:p>
    <w:p w:rsidR="000938C1" w:rsidRPr="00A1216B" w:rsidRDefault="000938C1" w:rsidP="00F85C67">
      <w:pPr>
        <w:ind w:firstLine="7740"/>
        <w:jc w:val="both"/>
        <w:rPr>
          <w:b/>
          <w:sz w:val="18"/>
          <w:szCs w:val="18"/>
        </w:rPr>
      </w:pPr>
      <w:r w:rsidRPr="00A1216B">
        <w:rPr>
          <w:b/>
          <w:sz w:val="18"/>
          <w:szCs w:val="18"/>
        </w:rPr>
        <w:t xml:space="preserve"> (млн. лв.)</w:t>
      </w:r>
    </w:p>
    <w:tbl>
      <w:tblPr>
        <w:tblW w:w="10229" w:type="dxa"/>
        <w:tblInd w:w="47" w:type="dxa"/>
        <w:tblCellMar>
          <w:left w:w="70" w:type="dxa"/>
          <w:right w:w="70" w:type="dxa"/>
        </w:tblCellMar>
        <w:tblLook w:val="0000"/>
      </w:tblPr>
      <w:tblGrid>
        <w:gridCol w:w="2545"/>
        <w:gridCol w:w="641"/>
        <w:gridCol w:w="874"/>
        <w:gridCol w:w="1154"/>
        <w:gridCol w:w="956"/>
        <w:gridCol w:w="534"/>
        <w:gridCol w:w="520"/>
        <w:gridCol w:w="851"/>
        <w:gridCol w:w="702"/>
        <w:gridCol w:w="698"/>
        <w:gridCol w:w="754"/>
      </w:tblGrid>
      <w:tr w:rsidR="000938C1" w:rsidRPr="00B6537F" w:rsidTr="009E1415">
        <w:trPr>
          <w:trHeight w:val="795"/>
        </w:trPr>
        <w:tc>
          <w:tcPr>
            <w:tcW w:w="2544"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ОТЧЕТ 2013 г.</w:t>
            </w:r>
          </w:p>
        </w:tc>
        <w:tc>
          <w:tcPr>
            <w:tcW w:w="591"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КФП</w:t>
            </w:r>
          </w:p>
        </w:tc>
        <w:tc>
          <w:tcPr>
            <w:tcW w:w="874"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РБ</w:t>
            </w:r>
          </w:p>
        </w:tc>
        <w:tc>
          <w:tcPr>
            <w:tcW w:w="1154" w:type="dxa"/>
            <w:tcBorders>
              <w:top w:val="double" w:sz="6" w:space="0" w:color="800000"/>
              <w:left w:val="nil"/>
              <w:bottom w:val="double" w:sz="6" w:space="0" w:color="800000"/>
              <w:right w:val="single" w:sz="4" w:space="0" w:color="FFFFFF"/>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Соц. осигуряване</w:t>
            </w:r>
          </w:p>
        </w:tc>
        <w:tc>
          <w:tcPr>
            <w:tcW w:w="956" w:type="dxa"/>
            <w:tcBorders>
              <w:top w:val="double" w:sz="6" w:space="0" w:color="800000"/>
              <w:left w:val="nil"/>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ВУЗ</w:t>
            </w:r>
          </w:p>
        </w:tc>
        <w:tc>
          <w:tcPr>
            <w:tcW w:w="543" w:type="dxa"/>
            <w:tcBorders>
              <w:top w:val="double" w:sz="6" w:space="0" w:color="800000"/>
              <w:left w:val="nil"/>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БАН</w:t>
            </w:r>
          </w:p>
        </w:tc>
        <w:tc>
          <w:tcPr>
            <w:tcW w:w="520" w:type="dxa"/>
            <w:tcBorders>
              <w:top w:val="double" w:sz="6" w:space="0" w:color="800000"/>
              <w:left w:val="double" w:sz="6" w:space="0" w:color="800000"/>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БНТ</w:t>
            </w:r>
          </w:p>
        </w:tc>
        <w:tc>
          <w:tcPr>
            <w:tcW w:w="851" w:type="dxa"/>
            <w:tcBorders>
              <w:top w:val="double" w:sz="6" w:space="0" w:color="800000"/>
              <w:left w:val="double" w:sz="6" w:space="0" w:color="800000"/>
              <w:bottom w:val="double" w:sz="6" w:space="0" w:color="800000"/>
              <w:right w:val="single" w:sz="4" w:space="0" w:color="FFFFFF"/>
            </w:tcBorders>
            <w:shd w:val="clear" w:color="auto" w:fill="800000"/>
            <w:noWrap/>
            <w:vAlign w:val="center"/>
          </w:tcPr>
          <w:p w:rsidR="000938C1" w:rsidRPr="00F85C67" w:rsidRDefault="000938C1" w:rsidP="009E1415">
            <w:pPr>
              <w:jc w:val="center"/>
              <w:rPr>
                <w:b/>
                <w:bCs/>
                <w:color w:val="FFFFFF"/>
                <w:sz w:val="18"/>
                <w:szCs w:val="18"/>
              </w:rPr>
            </w:pPr>
            <w:r w:rsidRPr="00F85C67">
              <w:rPr>
                <w:b/>
                <w:bCs/>
                <w:color w:val="FFFFFF"/>
                <w:sz w:val="18"/>
                <w:szCs w:val="18"/>
              </w:rPr>
              <w:t>Общини</w:t>
            </w:r>
          </w:p>
        </w:tc>
        <w:tc>
          <w:tcPr>
            <w:tcW w:w="741" w:type="dxa"/>
            <w:tcBorders>
              <w:top w:val="double" w:sz="6" w:space="0" w:color="800000"/>
              <w:left w:val="double" w:sz="6" w:space="0" w:color="800000"/>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ИБСФ</w:t>
            </w:r>
          </w:p>
        </w:tc>
        <w:tc>
          <w:tcPr>
            <w:tcW w:w="701" w:type="dxa"/>
            <w:tcBorders>
              <w:top w:val="double" w:sz="6" w:space="0" w:color="800000"/>
              <w:left w:val="double" w:sz="6" w:space="0" w:color="800000"/>
              <w:bottom w:val="double" w:sz="6" w:space="0" w:color="800000"/>
              <w:right w:val="double" w:sz="6" w:space="0" w:color="800000"/>
            </w:tcBorders>
            <w:shd w:val="clear" w:color="auto" w:fill="800000"/>
            <w:vAlign w:val="center"/>
          </w:tcPr>
          <w:p w:rsidR="000938C1" w:rsidRPr="00F85C67" w:rsidRDefault="000938C1" w:rsidP="009E1415">
            <w:pPr>
              <w:jc w:val="center"/>
              <w:rPr>
                <w:b/>
                <w:bCs/>
                <w:color w:val="FFFFFF"/>
                <w:sz w:val="18"/>
                <w:szCs w:val="18"/>
              </w:rPr>
            </w:pPr>
            <w:r w:rsidRPr="00F85C67">
              <w:rPr>
                <w:b/>
                <w:bCs/>
                <w:color w:val="FFFFFF"/>
                <w:sz w:val="18"/>
                <w:szCs w:val="18"/>
              </w:rPr>
              <w:t xml:space="preserve">Европ. </w:t>
            </w:r>
          </w:p>
          <w:p w:rsidR="000938C1" w:rsidRPr="00F85C67" w:rsidRDefault="000938C1" w:rsidP="009E1415">
            <w:pPr>
              <w:jc w:val="center"/>
              <w:rPr>
                <w:b/>
                <w:bCs/>
                <w:color w:val="FFFFFF"/>
                <w:sz w:val="18"/>
                <w:szCs w:val="18"/>
              </w:rPr>
            </w:pPr>
            <w:r w:rsidRPr="00F85C67">
              <w:rPr>
                <w:b/>
                <w:bCs/>
                <w:color w:val="FFFFFF"/>
                <w:sz w:val="18"/>
                <w:szCs w:val="18"/>
              </w:rPr>
              <w:t>ср-ва</w:t>
            </w:r>
          </w:p>
        </w:tc>
        <w:tc>
          <w:tcPr>
            <w:tcW w:w="754" w:type="dxa"/>
            <w:tcBorders>
              <w:top w:val="double" w:sz="6" w:space="0" w:color="800000"/>
              <w:left w:val="double" w:sz="6" w:space="0" w:color="800000"/>
              <w:bottom w:val="double" w:sz="6" w:space="0" w:color="800000"/>
              <w:right w:val="double" w:sz="6" w:space="0" w:color="800000"/>
            </w:tcBorders>
            <w:shd w:val="clear" w:color="auto" w:fill="800000"/>
            <w:noWrap/>
            <w:vAlign w:val="center"/>
          </w:tcPr>
          <w:p w:rsidR="000938C1" w:rsidRPr="00F85C67" w:rsidRDefault="000938C1" w:rsidP="009E1415">
            <w:pPr>
              <w:jc w:val="center"/>
              <w:rPr>
                <w:b/>
                <w:bCs/>
                <w:color w:val="FFFFFF"/>
                <w:sz w:val="16"/>
                <w:szCs w:val="16"/>
              </w:rPr>
            </w:pPr>
            <w:r w:rsidRPr="00F85C67">
              <w:rPr>
                <w:b/>
                <w:bCs/>
                <w:color w:val="FFFFFF"/>
                <w:sz w:val="16"/>
                <w:szCs w:val="16"/>
              </w:rPr>
              <w:t>Други сметки</w:t>
            </w:r>
            <w:r w:rsidRPr="00F85C67">
              <w:rPr>
                <w:rFonts w:ascii="Times New Roman Bold" w:hAnsi="Times New Roman Bold"/>
                <w:b/>
                <w:bCs/>
                <w:color w:val="FFFFFF"/>
                <w:sz w:val="16"/>
                <w:szCs w:val="16"/>
                <w:vertAlign w:val="superscript"/>
              </w:rPr>
              <w:footnoteReference w:id="18"/>
            </w:r>
          </w:p>
          <w:p w:rsidR="000938C1" w:rsidRPr="00F85C67" w:rsidRDefault="000938C1" w:rsidP="009E1415">
            <w:pPr>
              <w:jc w:val="center"/>
              <w:rPr>
                <w:b/>
                <w:bCs/>
                <w:color w:val="FFFFFF"/>
                <w:sz w:val="16"/>
                <w:szCs w:val="16"/>
              </w:rPr>
            </w:pPr>
          </w:p>
        </w:tc>
      </w:tr>
      <w:tr w:rsidR="000938C1" w:rsidRPr="00A1216B" w:rsidTr="009E1415">
        <w:trPr>
          <w:trHeight w:val="330"/>
        </w:trPr>
        <w:tc>
          <w:tcPr>
            <w:tcW w:w="2544" w:type="dxa"/>
            <w:tcBorders>
              <w:top w:val="double" w:sz="6" w:space="0" w:color="800000"/>
              <w:left w:val="double" w:sz="6" w:space="0" w:color="800000"/>
              <w:right w:val="single" w:sz="4" w:space="0" w:color="800000"/>
            </w:tcBorders>
            <w:shd w:val="clear" w:color="auto" w:fill="FFFFCC"/>
            <w:noWrap/>
            <w:vAlign w:val="bottom"/>
          </w:tcPr>
          <w:p w:rsidR="000938C1" w:rsidRPr="00A1216B" w:rsidRDefault="000938C1" w:rsidP="009E1415">
            <w:pPr>
              <w:rPr>
                <w:b/>
                <w:bCs/>
                <w:sz w:val="18"/>
                <w:szCs w:val="18"/>
              </w:rPr>
            </w:pPr>
            <w:r w:rsidRPr="00A1216B">
              <w:rPr>
                <w:b/>
                <w:bCs/>
                <w:sz w:val="18"/>
                <w:szCs w:val="18"/>
              </w:rPr>
              <w:t>IХ. РАЗХОДИ, НЕКЛАСИФИЦИРАНИ В ДРУГИТЕ ФУНКЦИИ</w:t>
            </w:r>
          </w:p>
        </w:tc>
        <w:tc>
          <w:tcPr>
            <w:tcW w:w="591" w:type="dxa"/>
            <w:tcBorders>
              <w:top w:val="double" w:sz="6" w:space="0" w:color="800000"/>
              <w:left w:val="nil"/>
              <w:right w:val="single" w:sz="4" w:space="0" w:color="800000"/>
            </w:tcBorders>
            <w:shd w:val="clear" w:color="auto" w:fill="FFFFCC"/>
            <w:noWrap/>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688,8</w:t>
            </w:r>
          </w:p>
        </w:tc>
        <w:tc>
          <w:tcPr>
            <w:tcW w:w="874" w:type="dxa"/>
            <w:tcBorders>
              <w:top w:val="double" w:sz="6" w:space="0" w:color="800000"/>
              <w:left w:val="nil"/>
              <w:right w:val="single" w:sz="4" w:space="0" w:color="800000"/>
            </w:tcBorders>
            <w:shd w:val="clear" w:color="auto" w:fill="FFFFCC"/>
            <w:noWrap/>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652,0</w:t>
            </w:r>
          </w:p>
        </w:tc>
        <w:tc>
          <w:tcPr>
            <w:tcW w:w="1154" w:type="dxa"/>
            <w:tcBorders>
              <w:top w:val="double" w:sz="6" w:space="0" w:color="800000"/>
              <w:left w:val="nil"/>
              <w:right w:val="single" w:sz="4" w:space="0" w:color="800000"/>
            </w:tcBorders>
            <w:shd w:val="clear" w:color="auto" w:fill="FFFFCC"/>
            <w:noWrap/>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0,1</w:t>
            </w:r>
          </w:p>
        </w:tc>
        <w:tc>
          <w:tcPr>
            <w:tcW w:w="956" w:type="dxa"/>
            <w:tcBorders>
              <w:top w:val="double" w:sz="6" w:space="0" w:color="800000"/>
              <w:left w:val="nil"/>
              <w:right w:val="single" w:sz="4" w:space="0" w:color="800000"/>
            </w:tcBorders>
            <w:shd w:val="clear" w:color="auto" w:fill="FFFFCC"/>
            <w:noWrap/>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0,3</w:t>
            </w:r>
          </w:p>
        </w:tc>
        <w:tc>
          <w:tcPr>
            <w:tcW w:w="543" w:type="dxa"/>
            <w:tcBorders>
              <w:top w:val="double" w:sz="6" w:space="0" w:color="800000"/>
              <w:left w:val="nil"/>
              <w:right w:val="single" w:sz="4" w:space="0" w:color="800000"/>
            </w:tcBorders>
            <w:shd w:val="clear" w:color="auto" w:fill="FFFFCC"/>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0,0</w:t>
            </w:r>
          </w:p>
        </w:tc>
        <w:tc>
          <w:tcPr>
            <w:tcW w:w="520" w:type="dxa"/>
            <w:tcBorders>
              <w:top w:val="double" w:sz="6" w:space="0" w:color="800000"/>
              <w:left w:val="single" w:sz="4" w:space="0" w:color="800000"/>
              <w:right w:val="single" w:sz="4" w:space="0" w:color="800000"/>
            </w:tcBorders>
            <w:shd w:val="clear" w:color="auto" w:fill="FFFFCC"/>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0,1</w:t>
            </w:r>
          </w:p>
        </w:tc>
        <w:tc>
          <w:tcPr>
            <w:tcW w:w="851" w:type="dxa"/>
            <w:tcBorders>
              <w:top w:val="double" w:sz="6" w:space="0" w:color="800000"/>
              <w:left w:val="single" w:sz="4" w:space="0" w:color="800000"/>
              <w:right w:val="single" w:sz="4" w:space="0" w:color="800000"/>
            </w:tcBorders>
            <w:shd w:val="clear" w:color="auto" w:fill="FFFFCC"/>
            <w:noWrap/>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35,6</w:t>
            </w:r>
          </w:p>
        </w:tc>
        <w:tc>
          <w:tcPr>
            <w:tcW w:w="741" w:type="dxa"/>
            <w:tcBorders>
              <w:top w:val="double" w:sz="6" w:space="0" w:color="800000"/>
              <w:left w:val="single" w:sz="4" w:space="0" w:color="800000"/>
              <w:right w:val="single" w:sz="4" w:space="0" w:color="800000"/>
            </w:tcBorders>
            <w:shd w:val="clear" w:color="auto" w:fill="FFFFCC"/>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0,0</w:t>
            </w:r>
          </w:p>
        </w:tc>
        <w:tc>
          <w:tcPr>
            <w:tcW w:w="701" w:type="dxa"/>
            <w:tcBorders>
              <w:top w:val="double" w:sz="6" w:space="0" w:color="800000"/>
              <w:left w:val="single" w:sz="4" w:space="0" w:color="800000"/>
              <w:right w:val="single" w:sz="4" w:space="0" w:color="800000"/>
            </w:tcBorders>
            <w:shd w:val="clear" w:color="auto" w:fill="FFFFCC"/>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0,0</w:t>
            </w:r>
          </w:p>
        </w:tc>
        <w:tc>
          <w:tcPr>
            <w:tcW w:w="754" w:type="dxa"/>
            <w:tcBorders>
              <w:top w:val="double" w:sz="6" w:space="0" w:color="800000"/>
              <w:left w:val="single" w:sz="4" w:space="0" w:color="800000"/>
              <w:right w:val="double" w:sz="6" w:space="0" w:color="800000"/>
            </w:tcBorders>
            <w:shd w:val="clear" w:color="auto" w:fill="FFFFCC"/>
            <w:noWrap/>
            <w:vAlign w:val="bottom"/>
          </w:tcPr>
          <w:p w:rsidR="000938C1" w:rsidRPr="00A1216B" w:rsidRDefault="000938C1" w:rsidP="009E1415">
            <w:pPr>
              <w:jc w:val="right"/>
              <w:rPr>
                <w:rFonts w:ascii="Arial" w:hAnsi="Arial" w:cs="Arial"/>
                <w:b/>
                <w:bCs/>
                <w:sz w:val="20"/>
                <w:szCs w:val="20"/>
              </w:rPr>
            </w:pPr>
            <w:r w:rsidRPr="00A1216B">
              <w:rPr>
                <w:rFonts w:ascii="Arial" w:hAnsi="Arial" w:cs="Arial"/>
                <w:b/>
                <w:bCs/>
                <w:sz w:val="20"/>
                <w:szCs w:val="20"/>
              </w:rPr>
              <w:t>0,7</w:t>
            </w:r>
          </w:p>
        </w:tc>
      </w:tr>
      <w:tr w:rsidR="000938C1" w:rsidRPr="00A1216B" w:rsidTr="009E1415">
        <w:trPr>
          <w:trHeight w:val="270"/>
        </w:trPr>
        <w:tc>
          <w:tcPr>
            <w:tcW w:w="2544" w:type="dxa"/>
            <w:tcBorders>
              <w:top w:val="nil"/>
              <w:left w:val="double" w:sz="6" w:space="0" w:color="800000"/>
              <w:bottom w:val="double" w:sz="6" w:space="0" w:color="800000"/>
              <w:right w:val="single" w:sz="4" w:space="0" w:color="800000"/>
            </w:tcBorders>
            <w:shd w:val="clear" w:color="auto" w:fill="FFFFCC"/>
            <w:noWrap/>
            <w:vAlign w:val="bottom"/>
          </w:tcPr>
          <w:p w:rsidR="000938C1" w:rsidRPr="00A1216B" w:rsidRDefault="000938C1" w:rsidP="009E1415">
            <w:pPr>
              <w:rPr>
                <w:sz w:val="18"/>
                <w:szCs w:val="18"/>
              </w:rPr>
            </w:pPr>
            <w:r w:rsidRPr="00A1216B">
              <w:rPr>
                <w:sz w:val="18"/>
                <w:szCs w:val="18"/>
              </w:rPr>
              <w:t>Лихвени разходи</w:t>
            </w:r>
          </w:p>
        </w:tc>
        <w:tc>
          <w:tcPr>
            <w:tcW w:w="591" w:type="dxa"/>
            <w:tcBorders>
              <w:top w:val="nil"/>
              <w:left w:val="single" w:sz="4" w:space="0" w:color="800000"/>
              <w:bottom w:val="double" w:sz="6" w:space="0" w:color="800000"/>
              <w:right w:val="single" w:sz="4" w:space="0" w:color="800000"/>
            </w:tcBorders>
            <w:shd w:val="clear" w:color="auto" w:fill="FFFFCC"/>
            <w:noWrap/>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688,8</w:t>
            </w:r>
          </w:p>
        </w:tc>
        <w:tc>
          <w:tcPr>
            <w:tcW w:w="874" w:type="dxa"/>
            <w:tcBorders>
              <w:top w:val="nil"/>
              <w:left w:val="nil"/>
              <w:bottom w:val="double" w:sz="6" w:space="0" w:color="800000"/>
              <w:right w:val="single" w:sz="4" w:space="0" w:color="800000"/>
            </w:tcBorders>
            <w:shd w:val="clear" w:color="auto" w:fill="FFFFCC"/>
            <w:noWrap/>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652,0</w:t>
            </w:r>
          </w:p>
        </w:tc>
        <w:tc>
          <w:tcPr>
            <w:tcW w:w="1154" w:type="dxa"/>
            <w:tcBorders>
              <w:top w:val="nil"/>
              <w:left w:val="nil"/>
              <w:bottom w:val="double" w:sz="6" w:space="0" w:color="800000"/>
              <w:right w:val="single" w:sz="4" w:space="0" w:color="800000"/>
            </w:tcBorders>
            <w:shd w:val="clear" w:color="auto" w:fill="FFFFCC"/>
            <w:noWrap/>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0,1</w:t>
            </w:r>
          </w:p>
        </w:tc>
        <w:tc>
          <w:tcPr>
            <w:tcW w:w="956" w:type="dxa"/>
            <w:tcBorders>
              <w:top w:val="nil"/>
              <w:left w:val="nil"/>
              <w:bottom w:val="double" w:sz="6" w:space="0" w:color="800000"/>
              <w:right w:val="single" w:sz="4" w:space="0" w:color="800000"/>
            </w:tcBorders>
            <w:shd w:val="clear" w:color="auto" w:fill="FFFFCC"/>
            <w:noWrap/>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0,3</w:t>
            </w:r>
          </w:p>
        </w:tc>
        <w:tc>
          <w:tcPr>
            <w:tcW w:w="543" w:type="dxa"/>
            <w:tcBorders>
              <w:top w:val="nil"/>
              <w:left w:val="nil"/>
              <w:bottom w:val="double" w:sz="6" w:space="0" w:color="800000"/>
              <w:right w:val="single" w:sz="4" w:space="0" w:color="800000"/>
            </w:tcBorders>
            <w:shd w:val="clear" w:color="auto" w:fill="FFFFCC"/>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0,0</w:t>
            </w:r>
          </w:p>
        </w:tc>
        <w:tc>
          <w:tcPr>
            <w:tcW w:w="520" w:type="dxa"/>
            <w:tcBorders>
              <w:top w:val="nil"/>
              <w:left w:val="single" w:sz="4" w:space="0" w:color="800000"/>
              <w:bottom w:val="double" w:sz="6" w:space="0" w:color="800000"/>
              <w:right w:val="single" w:sz="4" w:space="0" w:color="800000"/>
            </w:tcBorders>
            <w:shd w:val="clear" w:color="auto" w:fill="FFFFCC"/>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0,1</w:t>
            </w:r>
          </w:p>
        </w:tc>
        <w:tc>
          <w:tcPr>
            <w:tcW w:w="851" w:type="dxa"/>
            <w:tcBorders>
              <w:top w:val="nil"/>
              <w:left w:val="single" w:sz="4" w:space="0" w:color="800000"/>
              <w:bottom w:val="double" w:sz="6" w:space="0" w:color="800000"/>
              <w:right w:val="single" w:sz="4" w:space="0" w:color="800000"/>
            </w:tcBorders>
            <w:shd w:val="clear" w:color="auto" w:fill="FFFFCC"/>
            <w:noWrap/>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35,6</w:t>
            </w:r>
          </w:p>
        </w:tc>
        <w:tc>
          <w:tcPr>
            <w:tcW w:w="741" w:type="dxa"/>
            <w:tcBorders>
              <w:top w:val="nil"/>
              <w:left w:val="single" w:sz="4" w:space="0" w:color="800000"/>
              <w:bottom w:val="double" w:sz="6" w:space="0" w:color="800000"/>
              <w:right w:val="single" w:sz="4" w:space="0" w:color="800000"/>
            </w:tcBorders>
            <w:shd w:val="clear" w:color="auto" w:fill="FFFFCC"/>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0,0</w:t>
            </w:r>
          </w:p>
        </w:tc>
        <w:tc>
          <w:tcPr>
            <w:tcW w:w="701" w:type="dxa"/>
            <w:tcBorders>
              <w:top w:val="nil"/>
              <w:left w:val="single" w:sz="4" w:space="0" w:color="800000"/>
              <w:bottom w:val="double" w:sz="6" w:space="0" w:color="800000"/>
              <w:right w:val="single" w:sz="4" w:space="0" w:color="800000"/>
            </w:tcBorders>
            <w:shd w:val="clear" w:color="auto" w:fill="FFFFCC"/>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0,0</w:t>
            </w:r>
          </w:p>
        </w:tc>
        <w:tc>
          <w:tcPr>
            <w:tcW w:w="754" w:type="dxa"/>
            <w:tcBorders>
              <w:top w:val="nil"/>
              <w:left w:val="single" w:sz="4" w:space="0" w:color="800000"/>
              <w:bottom w:val="double" w:sz="6" w:space="0" w:color="800000"/>
              <w:right w:val="double" w:sz="6" w:space="0" w:color="800000"/>
            </w:tcBorders>
            <w:shd w:val="clear" w:color="auto" w:fill="FFFFCC"/>
            <w:noWrap/>
            <w:vAlign w:val="bottom"/>
          </w:tcPr>
          <w:p w:rsidR="000938C1" w:rsidRPr="00A1216B" w:rsidRDefault="000938C1" w:rsidP="009E1415">
            <w:pPr>
              <w:jc w:val="right"/>
              <w:rPr>
                <w:rFonts w:ascii="Arial" w:hAnsi="Arial" w:cs="Arial"/>
                <w:sz w:val="20"/>
                <w:szCs w:val="20"/>
              </w:rPr>
            </w:pPr>
            <w:r w:rsidRPr="00A1216B">
              <w:rPr>
                <w:rFonts w:ascii="Arial" w:hAnsi="Arial" w:cs="Arial"/>
                <w:sz w:val="20"/>
                <w:szCs w:val="20"/>
              </w:rPr>
              <w:t>0,7</w:t>
            </w:r>
          </w:p>
        </w:tc>
      </w:tr>
    </w:tbl>
    <w:p w:rsidR="000938C1" w:rsidRPr="006C0134" w:rsidRDefault="000938C1" w:rsidP="00F85C67">
      <w:pPr>
        <w:ind w:firstLine="540"/>
        <w:jc w:val="both"/>
      </w:pPr>
    </w:p>
    <w:p w:rsidR="000938C1" w:rsidRPr="006C0134" w:rsidRDefault="000938C1" w:rsidP="00F85C67">
      <w:pPr>
        <w:ind w:firstLine="540"/>
        <w:jc w:val="both"/>
        <w:rPr>
          <w:rFonts w:ascii="TimesNewRomanPSMT" w:hAnsi="TimesNewRomanPSMT" w:cs="TimesNewRomanPSMT"/>
        </w:rPr>
      </w:pPr>
      <w:r w:rsidRPr="006C0134">
        <w:t xml:space="preserve">В тази функция се отчитат лихвените плащания по вътрешния и външния дълг. </w:t>
      </w:r>
      <w:r w:rsidRPr="006C0134">
        <w:rPr>
          <w:rFonts w:ascii="TimesNewRomanPSMT" w:hAnsi="TimesNewRomanPSMT" w:cs="TimesNewRomanPSMT"/>
        </w:rPr>
        <w:t>Предвидените разходи за лихви през 20</w:t>
      </w:r>
      <w:r w:rsidRPr="006C0134">
        <w:rPr>
          <w:rFonts w:cs="TimesNewRomanPSMT"/>
        </w:rPr>
        <w:t>13</w:t>
      </w:r>
      <w:r w:rsidRPr="006C0134">
        <w:rPr>
          <w:rFonts w:ascii="TimesNewRomanPSMT" w:hAnsi="TimesNewRomanPSMT" w:cs="TimesNewRomanPSMT"/>
        </w:rPr>
        <w:t xml:space="preserve"> г. на консолидирано ниво са в размер на </w:t>
      </w:r>
      <w:r w:rsidRPr="006C0134">
        <w:rPr>
          <w:rFonts w:cs="TimesNewRomanPSMT"/>
        </w:rPr>
        <w:t>875,4</w:t>
      </w:r>
      <w:r w:rsidRPr="006C0134">
        <w:rPr>
          <w:rFonts w:ascii="TimesNewRomanPSMT" w:hAnsi="TimesNewRomanPSMT" w:cs="TimesNewRomanPSMT"/>
        </w:rPr>
        <w:t xml:space="preserve"> млн. лв. </w:t>
      </w:r>
      <w:r w:rsidRPr="006C0134">
        <w:rPr>
          <w:rFonts w:cs="TimesNewRomanPSMT"/>
        </w:rPr>
        <w:t>О</w:t>
      </w:r>
      <w:r w:rsidRPr="006C0134">
        <w:rPr>
          <w:rFonts w:ascii="TimesNewRomanPSMT" w:hAnsi="TimesNewRomanPSMT" w:cs="TimesNewRomanPSMT"/>
        </w:rPr>
        <w:t xml:space="preserve">тчетените в края на годината лихвени плащания са в размер на </w:t>
      </w:r>
      <w:r w:rsidRPr="006C0134">
        <w:rPr>
          <w:rFonts w:cs="TimesNewRomanPSMT"/>
          <w:lang w:val="ru-RU"/>
        </w:rPr>
        <w:t>688,8</w:t>
      </w:r>
      <w:r w:rsidRPr="006C0134">
        <w:rPr>
          <w:rFonts w:ascii="TimesNewRomanPSMT" w:hAnsi="TimesNewRomanPSMT" w:cs="TimesNewRomanPSMT"/>
        </w:rPr>
        <w:t xml:space="preserve"> млн. лв. или </w:t>
      </w:r>
      <w:r w:rsidRPr="006C0134">
        <w:rPr>
          <w:rFonts w:cs="TimesNewRomanPSMT"/>
        </w:rPr>
        <w:t xml:space="preserve">78,7 </w:t>
      </w:r>
      <w:r w:rsidRPr="006C0134">
        <w:rPr>
          <w:rFonts w:ascii="TimesNewRomanPSMT" w:hAnsi="TimesNewRomanPSMT" w:cs="TimesNewRomanPSMT"/>
        </w:rPr>
        <w:t>% от предвидените в разчетите към ЗДБРБ за 20</w:t>
      </w:r>
      <w:r w:rsidRPr="006C0134">
        <w:rPr>
          <w:rFonts w:cs="TimesNewRomanPSMT"/>
        </w:rPr>
        <w:t>13</w:t>
      </w:r>
      <w:r w:rsidRPr="006C0134">
        <w:rPr>
          <w:rFonts w:ascii="TimesNewRomanPSMT" w:hAnsi="TimesNewRomanPSMT" w:cs="TimesNewRomanPSMT"/>
        </w:rPr>
        <w:t xml:space="preserve"> г.</w:t>
      </w:r>
    </w:p>
    <w:p w:rsidR="000938C1" w:rsidRPr="006C0134" w:rsidRDefault="000938C1" w:rsidP="00F85C67">
      <w:pPr>
        <w:ind w:firstLine="540"/>
        <w:jc w:val="both"/>
        <w:rPr>
          <w:rFonts w:ascii="TimesNewRomanPSMT" w:hAnsi="TimesNewRomanPSMT" w:cs="TimesNewRomanPSMT"/>
          <w:sz w:val="6"/>
          <w:szCs w:val="6"/>
        </w:rPr>
      </w:pPr>
      <w:r w:rsidRPr="006C0134">
        <w:rPr>
          <w:rFonts w:ascii="TimesNewRomanPSMT" w:hAnsi="TimesNewRomanPSMT" w:cs="TimesNewRomanPSMT"/>
        </w:rPr>
        <w:br w:type="page"/>
      </w:r>
    </w:p>
    <w:p w:rsidR="000938C1" w:rsidRPr="00C837E7" w:rsidRDefault="000938C1" w:rsidP="00F30F79">
      <w:pPr>
        <w:pStyle w:val="Heading3"/>
        <w:numPr>
          <w:ilvl w:val="1"/>
          <w:numId w:val="72"/>
        </w:numPr>
        <w:ind w:left="900" w:hanging="540"/>
        <w:rPr>
          <w:rFonts w:ascii="Times New Roman" w:hAnsi="Times New Roman"/>
          <w:sz w:val="24"/>
          <w:lang w:val="bg-BG"/>
        </w:rPr>
      </w:pPr>
      <w:bookmarkStart w:id="240" w:name="_Toc393728082"/>
      <w:r w:rsidRPr="00C837E7">
        <w:rPr>
          <w:rFonts w:ascii="Times New Roman" w:hAnsi="Times New Roman"/>
          <w:sz w:val="24"/>
          <w:lang w:val="bg-BG"/>
        </w:rPr>
        <w:t>Изпълнение на показателите в частта на финансирането по консолидираната фискална програма за 201</w:t>
      </w:r>
      <w:r>
        <w:rPr>
          <w:rFonts w:ascii="Times New Roman" w:hAnsi="Times New Roman"/>
          <w:sz w:val="24"/>
          <w:lang w:val="bg-BG"/>
        </w:rPr>
        <w:t>3</w:t>
      </w:r>
      <w:r w:rsidRPr="00C837E7">
        <w:rPr>
          <w:rFonts w:ascii="Times New Roman" w:hAnsi="Times New Roman"/>
          <w:sz w:val="24"/>
          <w:lang w:val="bg-BG"/>
        </w:rPr>
        <w:t xml:space="preserve"> г.</w:t>
      </w:r>
      <w:bookmarkEnd w:id="199"/>
      <w:bookmarkEnd w:id="200"/>
      <w:bookmarkEnd w:id="201"/>
      <w:bookmarkEnd w:id="202"/>
      <w:bookmarkEnd w:id="203"/>
      <w:bookmarkEnd w:id="240"/>
    </w:p>
    <w:p w:rsidR="000938C1" w:rsidRPr="00CF1A14" w:rsidRDefault="000938C1" w:rsidP="00BC2635">
      <w:pPr>
        <w:pStyle w:val="Header"/>
        <w:tabs>
          <w:tab w:val="clear" w:pos="4153"/>
          <w:tab w:val="clear" w:pos="8306"/>
          <w:tab w:val="left" w:pos="720"/>
          <w:tab w:val="left" w:pos="969"/>
        </w:tabs>
        <w:ind w:right="57" w:firstLine="540"/>
        <w:jc w:val="both"/>
        <w:rPr>
          <w:color w:val="0070C0"/>
          <w:sz w:val="4"/>
          <w:szCs w:val="4"/>
        </w:rPr>
      </w:pPr>
    </w:p>
    <w:p w:rsidR="000938C1" w:rsidRPr="00CE5B9C" w:rsidRDefault="000938C1" w:rsidP="00F30F79">
      <w:pPr>
        <w:pStyle w:val="Heading3"/>
        <w:numPr>
          <w:ilvl w:val="2"/>
          <w:numId w:val="72"/>
        </w:numPr>
        <w:rPr>
          <w:rFonts w:ascii="Times New Roman" w:hAnsi="Times New Roman"/>
          <w:sz w:val="24"/>
          <w:lang w:val="bg-BG"/>
        </w:rPr>
      </w:pPr>
      <w:bookmarkStart w:id="241" w:name="_Toc261276596"/>
      <w:bookmarkStart w:id="242" w:name="_Toc324863432"/>
      <w:bookmarkStart w:id="243" w:name="_Toc393728083"/>
      <w:r w:rsidRPr="00CE5B9C">
        <w:rPr>
          <w:rFonts w:ascii="Times New Roman" w:hAnsi="Times New Roman"/>
          <w:sz w:val="24"/>
          <w:lang w:val="bg-BG"/>
        </w:rPr>
        <w:t>Външно финансиране</w:t>
      </w:r>
      <w:bookmarkEnd w:id="241"/>
      <w:bookmarkEnd w:id="242"/>
      <w:bookmarkEnd w:id="243"/>
    </w:p>
    <w:p w:rsidR="000938C1" w:rsidRPr="00CF1A14" w:rsidRDefault="000938C1" w:rsidP="00BC2635">
      <w:pPr>
        <w:rPr>
          <w:color w:val="0070C0"/>
          <w:sz w:val="12"/>
          <w:szCs w:val="12"/>
        </w:rPr>
      </w:pPr>
    </w:p>
    <w:p w:rsidR="000938C1" w:rsidRPr="005B289F" w:rsidRDefault="000938C1" w:rsidP="00CE5B9C">
      <w:pPr>
        <w:pStyle w:val="NormalFirstline"/>
        <w:spacing w:after="120"/>
        <w:ind w:firstLine="540"/>
        <w:jc w:val="both"/>
        <w:rPr>
          <w:sz w:val="24"/>
          <w:szCs w:val="24"/>
        </w:rPr>
      </w:pPr>
      <w:bookmarkStart w:id="244" w:name="_Toc230007079"/>
      <w:bookmarkStart w:id="245" w:name="_Toc324863433"/>
      <w:r w:rsidRPr="005B289F">
        <w:rPr>
          <w:sz w:val="24"/>
          <w:szCs w:val="24"/>
        </w:rPr>
        <w:t>Нетният размер на външното финансиране по КФП за 201</w:t>
      </w:r>
      <w:r w:rsidRPr="002255D3">
        <w:rPr>
          <w:sz w:val="24"/>
          <w:szCs w:val="24"/>
          <w:lang w:val="ru-RU"/>
        </w:rPr>
        <w:t>3</w:t>
      </w:r>
      <w:r w:rsidRPr="005B289F">
        <w:rPr>
          <w:sz w:val="24"/>
          <w:szCs w:val="24"/>
        </w:rPr>
        <w:t xml:space="preserve"> г. е отрицателно и възлиза на 689,8 млн. лв. при предвидено в разчета по ЗИД на ЗДБРБ за 2013 г. отрицателно нетно външно финансиране в размер на 975,1 млн. лева. Постигнатото ниво на финансиране се дължи основно на плащането по глобалните облигации с падеж 15.01.2013 г. в размер на 1</w:t>
      </w:r>
      <w:r>
        <w:rPr>
          <w:sz w:val="24"/>
          <w:szCs w:val="24"/>
        </w:rPr>
        <w:t> </w:t>
      </w:r>
      <w:r w:rsidRPr="005B289F">
        <w:rPr>
          <w:sz w:val="24"/>
          <w:szCs w:val="24"/>
        </w:rPr>
        <w:t>546</w:t>
      </w:r>
      <w:r>
        <w:rPr>
          <w:sz w:val="24"/>
          <w:szCs w:val="24"/>
        </w:rPr>
        <w:t>,</w:t>
      </w:r>
      <w:r w:rsidRPr="005B289F">
        <w:rPr>
          <w:sz w:val="24"/>
          <w:szCs w:val="24"/>
        </w:rPr>
        <w:t>2 млн.</w:t>
      </w:r>
      <w:r>
        <w:rPr>
          <w:sz w:val="24"/>
          <w:szCs w:val="24"/>
        </w:rPr>
        <w:t xml:space="preserve"> </w:t>
      </w:r>
      <w:r w:rsidRPr="005B289F">
        <w:rPr>
          <w:sz w:val="24"/>
          <w:szCs w:val="24"/>
        </w:rPr>
        <w:t>л</w:t>
      </w:r>
      <w:r>
        <w:rPr>
          <w:sz w:val="24"/>
          <w:szCs w:val="24"/>
        </w:rPr>
        <w:t>е</w:t>
      </w:r>
      <w:r w:rsidRPr="005B289F">
        <w:rPr>
          <w:sz w:val="24"/>
          <w:szCs w:val="24"/>
        </w:rPr>
        <w:t>в</w:t>
      </w:r>
      <w:r>
        <w:rPr>
          <w:sz w:val="24"/>
          <w:szCs w:val="24"/>
        </w:rPr>
        <w:t>а</w:t>
      </w:r>
      <w:r w:rsidRPr="005B289F">
        <w:rPr>
          <w:sz w:val="24"/>
          <w:szCs w:val="24"/>
        </w:rPr>
        <w:t>.</w:t>
      </w:r>
    </w:p>
    <w:p w:rsidR="000938C1" w:rsidRPr="00537A9F" w:rsidRDefault="000938C1" w:rsidP="00CE5B9C">
      <w:pPr>
        <w:pStyle w:val="Heading4"/>
        <w:ind w:firstLine="900"/>
        <w:rPr>
          <w:i/>
          <w:sz w:val="24"/>
          <w:szCs w:val="24"/>
        </w:rPr>
      </w:pPr>
      <w:r w:rsidRPr="00537A9F">
        <w:rPr>
          <w:i/>
          <w:sz w:val="24"/>
          <w:szCs w:val="24"/>
        </w:rPr>
        <w:t xml:space="preserve">     Външни държавни заеми и държавни инвестиционни заеми (ДИЗ)</w:t>
      </w:r>
    </w:p>
    <w:p w:rsidR="000938C1" w:rsidRPr="00537A9F" w:rsidRDefault="000938C1" w:rsidP="00CE5B9C">
      <w:pPr>
        <w:pStyle w:val="NormalFirstline"/>
        <w:spacing w:after="120"/>
        <w:ind w:firstLine="540"/>
        <w:jc w:val="both"/>
        <w:rPr>
          <w:sz w:val="24"/>
          <w:szCs w:val="24"/>
        </w:rPr>
      </w:pPr>
      <w:r w:rsidRPr="00537A9F">
        <w:rPr>
          <w:sz w:val="24"/>
          <w:szCs w:val="24"/>
        </w:rPr>
        <w:t>Размерът на усвоените външни заеми на консолидирана база за 2013 г. е 1 135,3 млн. лв. и са усвоени както следва:</w:t>
      </w:r>
    </w:p>
    <w:p w:rsidR="000938C1" w:rsidRPr="00537A9F" w:rsidRDefault="000938C1" w:rsidP="00CE5B9C">
      <w:pPr>
        <w:pStyle w:val="BodyText"/>
        <w:numPr>
          <w:ilvl w:val="0"/>
          <w:numId w:val="20"/>
        </w:numPr>
        <w:tabs>
          <w:tab w:val="clear" w:pos="1429"/>
          <w:tab w:val="num" w:pos="540"/>
        </w:tabs>
        <w:ind w:left="0" w:firstLine="360"/>
        <w:jc w:val="both"/>
      </w:pPr>
      <w:r w:rsidRPr="00537A9F">
        <w:t xml:space="preserve">по </w:t>
      </w:r>
      <w:r w:rsidRPr="00537A9F">
        <w:rPr>
          <w:u w:val="single"/>
        </w:rPr>
        <w:t>централния бюджет</w:t>
      </w:r>
      <w:r w:rsidRPr="00537A9F">
        <w:t xml:space="preserve"> - размерът на усвоените външни държавни заеми е 949,3 млн. лв., в т.ч. средства в размер на 382,1 млн. лв. по </w:t>
      </w:r>
      <w:r>
        <w:t>четвърти и пе</w:t>
      </w:r>
      <w:r w:rsidRPr="00537A9F">
        <w:t xml:space="preserve">ти транш от Кредитното споразумение за структурния програмен заем, България съфинансиране по Фондовете на ЕС 2007-2013 г. между Република България и ЕИБ и 567,2 млн. лв. по прехвърляемите заеми Schildshein с матуритети от 7, 10 и 15 години, отпуснати от Deutsche Bank AG и Raiffeisen Bank International AG. </w:t>
      </w:r>
    </w:p>
    <w:p w:rsidR="000938C1" w:rsidRPr="00CF1A14" w:rsidRDefault="000938C1" w:rsidP="00CE5B9C">
      <w:pPr>
        <w:pStyle w:val="BodyText"/>
        <w:ind w:firstLine="360"/>
        <w:jc w:val="both"/>
        <w:rPr>
          <w:color w:val="0070C0"/>
        </w:rPr>
      </w:pPr>
      <w:r w:rsidRPr="00DF6E37">
        <w:t xml:space="preserve">- по </w:t>
      </w:r>
      <w:r w:rsidRPr="00291BD5">
        <w:rPr>
          <w:u w:val="single"/>
        </w:rPr>
        <w:t>бюджетите на министерствата и ведомствата</w:t>
      </w:r>
      <w:r w:rsidRPr="00DF6E37">
        <w:t xml:space="preserve"> - новото </w:t>
      </w:r>
      <w:r w:rsidRPr="00DF6E37">
        <w:rPr>
          <w:u w:val="single"/>
        </w:rPr>
        <w:t>външно финансиране по ДИЗ</w:t>
      </w:r>
      <w:r w:rsidRPr="00DF6E37">
        <w:t xml:space="preserve"> е в размер на 169,6 млн. лв. или 94,3 % от годишния разчет</w:t>
      </w:r>
      <w:r w:rsidRPr="00CA0546">
        <w:t>. Усвояванията са по вече стартирали проекти и програми, като процентите на усвояване спрямо разчетените за годината по отделните заеми са както следва:</w:t>
      </w:r>
    </w:p>
    <w:p w:rsidR="000938C1" w:rsidRPr="00D85F36" w:rsidRDefault="000938C1" w:rsidP="00CE5B9C">
      <w:pPr>
        <w:pStyle w:val="BodyText"/>
        <w:numPr>
          <w:ilvl w:val="0"/>
          <w:numId w:val="55"/>
        </w:numPr>
        <w:tabs>
          <w:tab w:val="clear" w:pos="1766"/>
          <w:tab w:val="num" w:pos="720"/>
          <w:tab w:val="left" w:pos="900"/>
        </w:tabs>
        <w:ind w:left="0" w:firstLine="720"/>
        <w:jc w:val="both"/>
      </w:pPr>
      <w:r w:rsidRPr="00D85F36">
        <w:t>от ЕИБ на Министерство на транспорта, информационните технологии и съобщенията по „ДУНАВ МОСТ 2„ и „ДУНАВ МОСТ 2 - проект Б” общо 100</w:t>
      </w:r>
      <w:r>
        <w:t>,</w:t>
      </w:r>
      <w:r w:rsidRPr="00D85F36">
        <w:t>0</w:t>
      </w:r>
      <w:r>
        <w:t xml:space="preserve"> </w:t>
      </w:r>
      <w:r w:rsidRPr="00D85F36">
        <w:t>%, по „България - железопътен проект на трансевропейската мрежа - Б” – 100</w:t>
      </w:r>
      <w:r>
        <w:t>,</w:t>
      </w:r>
      <w:r w:rsidRPr="00D85F36">
        <w:t>0</w:t>
      </w:r>
      <w:r>
        <w:t xml:space="preserve"> </w:t>
      </w:r>
      <w:r w:rsidRPr="00D85F36">
        <w:t>%; на Агенция „Пътна инфраструктура” по „Транзитни пътища V”- 109</w:t>
      </w:r>
      <w:r>
        <w:t>,</w:t>
      </w:r>
      <w:r w:rsidRPr="00D85F36">
        <w:t>7</w:t>
      </w:r>
      <w:r>
        <w:t xml:space="preserve"> </w:t>
      </w:r>
      <w:r w:rsidRPr="00D85F36">
        <w:t>%;</w:t>
      </w:r>
    </w:p>
    <w:p w:rsidR="000938C1" w:rsidRDefault="000938C1" w:rsidP="00CE5B9C">
      <w:pPr>
        <w:pStyle w:val="BodyText"/>
        <w:numPr>
          <w:ilvl w:val="0"/>
          <w:numId w:val="55"/>
        </w:numPr>
        <w:tabs>
          <w:tab w:val="clear" w:pos="1766"/>
          <w:tab w:val="num" w:pos="720"/>
          <w:tab w:val="left" w:pos="900"/>
        </w:tabs>
        <w:ind w:left="0" w:firstLine="720"/>
        <w:jc w:val="both"/>
      </w:pPr>
      <w:r w:rsidRPr="00D85F36">
        <w:t>от МБВР</w:t>
      </w:r>
      <w:r>
        <w:t xml:space="preserve"> </w:t>
      </w:r>
      <w:r w:rsidRPr="00D85F36">
        <w:t>на Министерство на регионалното развитие (МРР): по „Развитие на общинската инфраструктура” – 393</w:t>
      </w:r>
      <w:r>
        <w:t>,</w:t>
      </w:r>
      <w:r w:rsidRPr="00D85F36">
        <w:t>8</w:t>
      </w:r>
      <w:r>
        <w:t xml:space="preserve"> </w:t>
      </w:r>
      <w:r w:rsidRPr="00D85F36">
        <w:t>%; на Министерство на труда и социалната политика по „Социално включване” – 100</w:t>
      </w:r>
      <w:r>
        <w:t>,</w:t>
      </w:r>
      <w:r w:rsidRPr="00D85F36">
        <w:t>0%, на Министерство на финансите по „Улесняване на търговията и транспорта в югоизточна Европа II”- 95</w:t>
      </w:r>
      <w:r>
        <w:t>,</w:t>
      </w:r>
      <w:r w:rsidRPr="00D85F36">
        <w:t>8</w:t>
      </w:r>
      <w:r>
        <w:t xml:space="preserve"> </w:t>
      </w:r>
      <w:r w:rsidRPr="00D85F36">
        <w:t>%, на Агенция „Пътна инфраструктура”</w:t>
      </w:r>
      <w:r>
        <w:t xml:space="preserve"> </w:t>
      </w:r>
      <w:r w:rsidRPr="00D85F36">
        <w:t>– по „Рехабилитация и реконструкция на пътища от РПМ ІІ и ІІІ клас” – 43</w:t>
      </w:r>
      <w:r>
        <w:t>,</w:t>
      </w:r>
      <w:r w:rsidRPr="00D85F36">
        <w:t>0</w:t>
      </w:r>
      <w:r>
        <w:t xml:space="preserve"> </w:t>
      </w:r>
      <w:r w:rsidRPr="00D85F36">
        <w:t>%</w:t>
      </w:r>
      <w:r>
        <w:t>;</w:t>
      </w:r>
    </w:p>
    <w:p w:rsidR="000938C1" w:rsidRPr="00D85F36" w:rsidRDefault="000938C1" w:rsidP="00CE5B9C">
      <w:pPr>
        <w:pStyle w:val="BodyText"/>
        <w:numPr>
          <w:ilvl w:val="0"/>
          <w:numId w:val="55"/>
        </w:numPr>
        <w:tabs>
          <w:tab w:val="clear" w:pos="1766"/>
          <w:tab w:val="num" w:pos="720"/>
          <w:tab w:val="left" w:pos="900"/>
        </w:tabs>
        <w:ind w:left="0" w:firstLine="720"/>
        <w:jc w:val="both"/>
      </w:pPr>
      <w:r>
        <w:t xml:space="preserve">от </w:t>
      </w:r>
      <w:r w:rsidRPr="00D85F36">
        <w:t>КFW</w:t>
      </w:r>
      <w:r>
        <w:t xml:space="preserve"> на МРР по</w:t>
      </w:r>
      <w:r w:rsidRPr="00D85F36">
        <w:t xml:space="preserve"> Техническа инфраструктура 2010-2013 г. </w:t>
      </w:r>
      <w:r>
        <w:t>–</w:t>
      </w:r>
      <w:r w:rsidRPr="00D85F36">
        <w:t xml:space="preserve"> 4</w:t>
      </w:r>
      <w:r>
        <w:t>,</w:t>
      </w:r>
      <w:r w:rsidRPr="00D85F36">
        <w:t>8</w:t>
      </w:r>
      <w:r>
        <w:t xml:space="preserve"> </w:t>
      </w:r>
      <w:r w:rsidRPr="00D85F36">
        <w:t>%.</w:t>
      </w:r>
    </w:p>
    <w:p w:rsidR="000938C1" w:rsidRPr="00CA0546" w:rsidRDefault="000938C1" w:rsidP="00CE5B9C">
      <w:pPr>
        <w:tabs>
          <w:tab w:val="left" w:pos="1560"/>
        </w:tabs>
        <w:ind w:firstLine="851"/>
        <w:jc w:val="both"/>
      </w:pPr>
      <w:r w:rsidRPr="00CA0546">
        <w:t>Изпълнението на заложеното външно финансиране с ДИЗ спрямо разчетеното за 2013 г. по министерства и ведомства е както следва: МТСП</w:t>
      </w:r>
      <w:r>
        <w:t xml:space="preserve"> </w:t>
      </w:r>
      <w:r w:rsidRPr="00CA0546">
        <w:t>– 100</w:t>
      </w:r>
      <w:r>
        <w:t>,</w:t>
      </w:r>
      <w:r w:rsidRPr="00CA0546">
        <w:t>0%, МФ – 95</w:t>
      </w:r>
      <w:r>
        <w:t>,</w:t>
      </w:r>
      <w:r w:rsidRPr="00CA0546">
        <w:t>8</w:t>
      </w:r>
      <w:r>
        <w:t xml:space="preserve"> </w:t>
      </w:r>
      <w:r w:rsidRPr="00CA0546">
        <w:t>%, МТИТС</w:t>
      </w:r>
      <w:r>
        <w:t xml:space="preserve"> </w:t>
      </w:r>
      <w:r w:rsidRPr="00CA0546">
        <w:t>– 100</w:t>
      </w:r>
      <w:r>
        <w:t>,</w:t>
      </w:r>
      <w:r w:rsidRPr="00CA0546">
        <w:t>0</w:t>
      </w:r>
      <w:r>
        <w:t xml:space="preserve"> </w:t>
      </w:r>
      <w:r w:rsidRPr="00CA0546">
        <w:t>% и МРР</w:t>
      </w:r>
      <w:r>
        <w:t xml:space="preserve"> </w:t>
      </w:r>
      <w:r w:rsidRPr="00CA0546">
        <w:t>– 91</w:t>
      </w:r>
      <w:r>
        <w:t>,</w:t>
      </w:r>
      <w:r w:rsidRPr="00CA0546">
        <w:t>5 % (в т.ч. Агенция „Пътна инфраструктура” – 182</w:t>
      </w:r>
      <w:r>
        <w:t>,</w:t>
      </w:r>
      <w:r w:rsidRPr="00CA0546">
        <w:t>4</w:t>
      </w:r>
      <w:r>
        <w:t xml:space="preserve"> </w:t>
      </w:r>
      <w:r w:rsidRPr="00CA0546">
        <w:t xml:space="preserve">%). </w:t>
      </w:r>
    </w:p>
    <w:p w:rsidR="000938C1" w:rsidRPr="00CA0546" w:rsidRDefault="000938C1" w:rsidP="00CE5B9C">
      <w:pPr>
        <w:tabs>
          <w:tab w:val="left" w:pos="1560"/>
        </w:tabs>
        <w:spacing w:after="120"/>
        <w:ind w:firstLine="851"/>
        <w:jc w:val="both"/>
        <w:rPr>
          <w:color w:val="0000FF"/>
        </w:rPr>
      </w:pPr>
      <w:r w:rsidRPr="00CA0546">
        <w:t>Най-голям брой инвестиционни проекти (7) управлява МРР, като е отчетено усвояване само по два и Агенция „Пътна инфраструктура” (към МРР), която също администрира 6 проекта, като по два от тях са усвоени средства, а по останалите 4 е приключило  усвояването и само се обслужват. Следва МТИТС, което управлява 5 заема (усвоявания по два заема), МТСП управлява 4 заема (усвояване по един заем), Министерство на здравеопазването - три заема, МФ - 3 заема (усвояване по един заем) и Министерство на инвестиционното проектиране и МОСВ - управляват по един заем.</w:t>
      </w:r>
    </w:p>
    <w:p w:rsidR="000938C1" w:rsidRPr="00291BD5" w:rsidRDefault="000938C1" w:rsidP="00CE5B9C">
      <w:pPr>
        <w:pStyle w:val="BodyText"/>
        <w:numPr>
          <w:ilvl w:val="0"/>
          <w:numId w:val="20"/>
        </w:numPr>
        <w:tabs>
          <w:tab w:val="clear" w:pos="1429"/>
          <w:tab w:val="num" w:pos="540"/>
        </w:tabs>
        <w:ind w:left="0" w:firstLine="360"/>
        <w:jc w:val="both"/>
      </w:pPr>
      <w:r w:rsidRPr="00291BD5">
        <w:t xml:space="preserve">по </w:t>
      </w:r>
      <w:r w:rsidRPr="00291BD5">
        <w:rPr>
          <w:u w:val="single"/>
        </w:rPr>
        <w:t>ДИЗ с краен бенефициент търговско дружество</w:t>
      </w:r>
      <w:r w:rsidRPr="00291BD5">
        <w:t xml:space="preserve"> през 2013 г. няма усвоени средства. </w:t>
      </w:r>
    </w:p>
    <w:p w:rsidR="000938C1" w:rsidRPr="00291BD5" w:rsidRDefault="000938C1" w:rsidP="00CE5B9C">
      <w:pPr>
        <w:pStyle w:val="NormalFirstline"/>
        <w:spacing w:after="120"/>
        <w:ind w:firstLine="360"/>
        <w:jc w:val="both"/>
        <w:rPr>
          <w:sz w:val="24"/>
          <w:szCs w:val="24"/>
        </w:rPr>
      </w:pPr>
      <w:r w:rsidRPr="00291BD5">
        <w:rPr>
          <w:sz w:val="24"/>
          <w:szCs w:val="24"/>
        </w:rPr>
        <w:t xml:space="preserve">- по </w:t>
      </w:r>
      <w:r w:rsidRPr="00291BD5">
        <w:rPr>
          <w:sz w:val="24"/>
          <w:szCs w:val="24"/>
          <w:u w:val="single"/>
        </w:rPr>
        <w:t>бюджетите на общините</w:t>
      </w:r>
      <w:r w:rsidRPr="00291BD5">
        <w:rPr>
          <w:sz w:val="24"/>
          <w:szCs w:val="24"/>
        </w:rPr>
        <w:t xml:space="preserve"> – усвоените външни заеми са в размер на 16,3 млн. лв.,  постъпили по сметките на Столична община и община Бургас за инфраструктурни проекти.</w:t>
      </w:r>
    </w:p>
    <w:p w:rsidR="000938C1" w:rsidRPr="00CF1A14" w:rsidRDefault="000938C1" w:rsidP="00CE5B9C">
      <w:pPr>
        <w:pStyle w:val="Heading4"/>
        <w:ind w:firstLine="900"/>
        <w:rPr>
          <w:i/>
          <w:color w:val="0070C0"/>
          <w:sz w:val="24"/>
          <w:szCs w:val="24"/>
        </w:rPr>
      </w:pPr>
      <w:r w:rsidRPr="00A622BD">
        <w:rPr>
          <w:i/>
          <w:sz w:val="24"/>
          <w:szCs w:val="24"/>
        </w:rPr>
        <w:t>Погашения по външни заеми</w:t>
      </w:r>
    </w:p>
    <w:p w:rsidR="000938C1" w:rsidRPr="00197213" w:rsidRDefault="000938C1" w:rsidP="00CE5B9C">
      <w:pPr>
        <w:pStyle w:val="NormalFirstline"/>
        <w:jc w:val="both"/>
        <w:rPr>
          <w:rStyle w:val="PageNumber"/>
          <w:sz w:val="24"/>
          <w:szCs w:val="24"/>
        </w:rPr>
      </w:pPr>
      <w:r w:rsidRPr="00197213">
        <w:rPr>
          <w:rStyle w:val="PageNumber"/>
          <w:sz w:val="24"/>
          <w:szCs w:val="24"/>
        </w:rPr>
        <w:t>Размерът на извършените през годината погашения по външни заеми на консолидирана основа е 1 821,6 млн. лв. при планирани с разчетите към ЗДБРБ за 2013 г. 1 889,0 млн. лв. Извършените погашения са както следва:</w:t>
      </w:r>
    </w:p>
    <w:p w:rsidR="000938C1" w:rsidRPr="00CF1A14" w:rsidRDefault="000938C1" w:rsidP="00CE5B9C">
      <w:pPr>
        <w:pStyle w:val="BodyTextIndent2"/>
        <w:spacing w:after="0" w:line="240" w:lineRule="auto"/>
        <w:ind w:left="0" w:firstLine="540"/>
        <w:jc w:val="both"/>
        <w:rPr>
          <w:color w:val="0070C0"/>
        </w:rPr>
      </w:pPr>
      <w:r w:rsidRPr="00C83C72">
        <w:t xml:space="preserve"> - по централния</w:t>
      </w:r>
      <w:r>
        <w:t xml:space="preserve"> </w:t>
      </w:r>
      <w:r w:rsidRPr="00C83C72">
        <w:t>бюджет - о</w:t>
      </w:r>
      <w:r w:rsidRPr="00C83C72">
        <w:rPr>
          <w:rStyle w:val="PageNumber"/>
        </w:rPr>
        <w:t>бщият размер на изплатените погашения по външните държавни заеми от централния бюджет през 2013 г</w:t>
      </w:r>
      <w:r w:rsidRPr="00C83C72">
        <w:t xml:space="preserve"> е 1 647,2 млн.</w:t>
      </w:r>
      <w:r>
        <w:t xml:space="preserve"> </w:t>
      </w:r>
      <w:r w:rsidRPr="00C83C72">
        <w:t xml:space="preserve">лв. в съответствие с </w:t>
      </w:r>
      <w:r w:rsidRPr="00CA0546">
        <w:t>договорените погасителни планове. От тях – 93</w:t>
      </w:r>
      <w:r>
        <w:t>,</w:t>
      </w:r>
      <w:r w:rsidRPr="00CA0546">
        <w:t>9</w:t>
      </w:r>
      <w:r>
        <w:t xml:space="preserve"> </w:t>
      </w:r>
      <w:r w:rsidRPr="00CA0546">
        <w:t>% са плащанията по глобалните облигации в размер на 1</w:t>
      </w:r>
      <w:r>
        <w:t> </w:t>
      </w:r>
      <w:r w:rsidRPr="00CA0546">
        <w:t>546</w:t>
      </w:r>
      <w:r>
        <w:t>,</w:t>
      </w:r>
      <w:r w:rsidRPr="00CA0546">
        <w:t>2 млн.</w:t>
      </w:r>
      <w:r>
        <w:t xml:space="preserve"> </w:t>
      </w:r>
      <w:r w:rsidRPr="00CA0546">
        <w:t>лв., 4</w:t>
      </w:r>
      <w:r>
        <w:t>,</w:t>
      </w:r>
      <w:r w:rsidRPr="00CA0546">
        <w:t>1</w:t>
      </w:r>
      <w:r>
        <w:t xml:space="preserve"> </w:t>
      </w:r>
      <w:r w:rsidRPr="00CA0546">
        <w:t>% са бюджетните средства, изразходвани за погашения по дълга към МБВР – 67</w:t>
      </w:r>
      <w:r>
        <w:t>,</w:t>
      </w:r>
      <w:r w:rsidRPr="00CA0546">
        <w:t>9 млн.</w:t>
      </w:r>
      <w:r>
        <w:t xml:space="preserve"> </w:t>
      </w:r>
      <w:r w:rsidRPr="00CA0546">
        <w:t>лв., следват плащанията по заеми от други държави – кредитори от Парижки клуб с 1</w:t>
      </w:r>
      <w:r>
        <w:t>,</w:t>
      </w:r>
      <w:r w:rsidRPr="00CA0546">
        <w:t>5</w:t>
      </w:r>
      <w:r>
        <w:t xml:space="preserve"> </w:t>
      </w:r>
      <w:r w:rsidRPr="00CA0546">
        <w:t>% или 24</w:t>
      </w:r>
      <w:r>
        <w:t>,</w:t>
      </w:r>
      <w:r w:rsidRPr="00CA0546">
        <w:t>6 млн.</w:t>
      </w:r>
      <w:r>
        <w:t xml:space="preserve"> </w:t>
      </w:r>
      <w:r w:rsidRPr="00CA0546">
        <w:t>лв., към Японската банка за международно сътрудничество  –  съответно 0</w:t>
      </w:r>
      <w:r>
        <w:t>,</w:t>
      </w:r>
      <w:r w:rsidRPr="00CA0546">
        <w:t>4</w:t>
      </w:r>
      <w:r>
        <w:t xml:space="preserve"> </w:t>
      </w:r>
      <w:r w:rsidRPr="00CA0546">
        <w:t xml:space="preserve">% </w:t>
      </w:r>
      <w:r w:rsidRPr="002255D3">
        <w:rPr>
          <w:lang w:val="ru-RU"/>
        </w:rPr>
        <w:t>(</w:t>
      </w:r>
      <w:r w:rsidRPr="00CA0546">
        <w:t>6</w:t>
      </w:r>
      <w:r>
        <w:t>,</w:t>
      </w:r>
      <w:r w:rsidRPr="00CA0546">
        <w:t>3 млн.</w:t>
      </w:r>
      <w:r>
        <w:t xml:space="preserve"> </w:t>
      </w:r>
      <w:r w:rsidRPr="00CA0546">
        <w:t>лв.</w:t>
      </w:r>
      <w:r w:rsidRPr="002255D3">
        <w:rPr>
          <w:lang w:val="ru-RU"/>
        </w:rPr>
        <w:t>)</w:t>
      </w:r>
      <w:r w:rsidRPr="00CA0546">
        <w:t xml:space="preserve"> и други </w:t>
      </w:r>
      <w:r>
        <w:t>–</w:t>
      </w:r>
      <w:r w:rsidRPr="00CA0546">
        <w:t xml:space="preserve"> 0</w:t>
      </w:r>
      <w:r>
        <w:t>,</w:t>
      </w:r>
      <w:r w:rsidRPr="00CA0546">
        <w:t>1</w:t>
      </w:r>
      <w:r>
        <w:t xml:space="preserve"> </w:t>
      </w:r>
      <w:r w:rsidRPr="00CA0546">
        <w:t xml:space="preserve">% </w:t>
      </w:r>
      <w:r w:rsidRPr="002255D3">
        <w:rPr>
          <w:lang w:val="ru-RU"/>
        </w:rPr>
        <w:t>(</w:t>
      </w:r>
      <w:r w:rsidRPr="00CA0546">
        <w:t>2</w:t>
      </w:r>
      <w:r>
        <w:t>,</w:t>
      </w:r>
      <w:r w:rsidRPr="00CA0546">
        <w:t>2 млн.</w:t>
      </w:r>
      <w:r>
        <w:t xml:space="preserve"> </w:t>
      </w:r>
      <w:r w:rsidRPr="00CA0546">
        <w:t>л</w:t>
      </w:r>
      <w:r>
        <w:t>ева</w:t>
      </w:r>
      <w:r w:rsidRPr="002255D3">
        <w:rPr>
          <w:lang w:val="ru-RU"/>
        </w:rPr>
        <w:t>)</w:t>
      </w:r>
      <w:r w:rsidRPr="00CA0546">
        <w:t xml:space="preserve">.  И през 2013 г., поради влошеното финансово състояние на </w:t>
      </w:r>
      <w:r w:rsidRPr="00CA0546">
        <w:rPr>
          <w:rFonts w:eastAsia="Batang"/>
          <w:color w:val="000000"/>
          <w:lang w:eastAsia="ko-KR"/>
        </w:rPr>
        <w:t>„Холдинг БДЖ</w:t>
      </w:r>
      <w:r w:rsidRPr="00CA0546">
        <w:t>”</w:t>
      </w:r>
      <w:r w:rsidRPr="00CA0546">
        <w:rPr>
          <w:rFonts w:eastAsia="Batang"/>
          <w:color w:val="000000"/>
          <w:lang w:eastAsia="ko-KR"/>
        </w:rPr>
        <w:t xml:space="preserve"> ЕАД</w:t>
      </w:r>
      <w:r>
        <w:rPr>
          <w:rFonts w:eastAsia="Batang"/>
          <w:color w:val="000000"/>
          <w:lang w:eastAsia="ko-KR"/>
        </w:rPr>
        <w:t xml:space="preserve"> </w:t>
      </w:r>
      <w:r w:rsidRPr="00CA0546">
        <w:t>и невъзможността на дружеството да обслужва надлежно задълженията си по държавно гарантираните заеми към МБВР, са изплатени дължими главници в размер на 0</w:t>
      </w:r>
      <w:r>
        <w:t>,</w:t>
      </w:r>
      <w:r w:rsidRPr="00CA0546">
        <w:t>8 млн.</w:t>
      </w:r>
      <w:r>
        <w:t xml:space="preserve"> </w:t>
      </w:r>
      <w:r w:rsidRPr="00CA0546">
        <w:t>лв. от предвидените в ЦБ средства за покриване риска от активиране на държавни гаранции. До приключване на  бюджетната година, платените от МФ погасителни вноски към МБВР, не са възстановени от „Холдинг БДЖ” ЕАД. Във връзка с прекратяването на Споразумението за заем BG-P6 по проекта за „Изграждане и развитие на нови контейнерни терминали на пристанища Варна и Бургас” между Японската банка за международно сътрудничество (сега Японска агенция за международно сътрудничество – JICA) и Република България и в изпълнение на РМС №783</w:t>
      </w:r>
      <w:r>
        <w:t>/</w:t>
      </w:r>
      <w:r w:rsidRPr="00CA0546">
        <w:t>24.09.2012 г.,</w:t>
      </w:r>
      <w:r>
        <w:rPr>
          <w:lang w:val="en-US"/>
        </w:rPr>
        <w:t xml:space="preserve"> </w:t>
      </w:r>
      <w:r w:rsidRPr="00CA0546">
        <w:t>от предвидените за покриване на риска от активиране на държавни гаранции средства са изплатени 2</w:t>
      </w:r>
      <w:r>
        <w:t>,</w:t>
      </w:r>
      <w:r w:rsidRPr="00CA0546">
        <w:t>2 млн.</w:t>
      </w:r>
      <w:r>
        <w:t xml:space="preserve"> </w:t>
      </w:r>
      <w:r w:rsidRPr="00CA0546">
        <w:t>лв. погашения към кредитора.</w:t>
      </w:r>
    </w:p>
    <w:p w:rsidR="000938C1" w:rsidRPr="00A824A4" w:rsidRDefault="000938C1" w:rsidP="00CE5B9C">
      <w:pPr>
        <w:pStyle w:val="BodyText"/>
        <w:spacing w:after="0"/>
        <w:ind w:firstLine="709"/>
        <w:jc w:val="both"/>
      </w:pPr>
      <w:r w:rsidRPr="00CF1A14">
        <w:rPr>
          <w:color w:val="0070C0"/>
        </w:rPr>
        <w:t xml:space="preserve">- </w:t>
      </w:r>
      <w:r w:rsidRPr="00A824A4">
        <w:t>по ДИЗ, управлявани от министерствата и ведомствата, са изплатени погашения в размер на 12</w:t>
      </w:r>
      <w:r w:rsidRPr="002255D3">
        <w:rPr>
          <w:lang w:val="ru-RU"/>
        </w:rPr>
        <w:t>4</w:t>
      </w:r>
      <w:r>
        <w:t>,5</w:t>
      </w:r>
      <w:r w:rsidRPr="00A824A4">
        <w:t xml:space="preserve"> млн. лв. </w:t>
      </w:r>
      <w:r w:rsidRPr="00CA0546">
        <w:t>съгласно договорените амортизационни схеми при годишно разчетени 12</w:t>
      </w:r>
      <w:r>
        <w:t>5,5</w:t>
      </w:r>
      <w:r w:rsidRPr="00CA0546">
        <w:t xml:space="preserve"> млн.</w:t>
      </w:r>
      <w:r>
        <w:t xml:space="preserve"> </w:t>
      </w:r>
      <w:r w:rsidRPr="00CA0546">
        <w:t>л</w:t>
      </w:r>
      <w:r>
        <w:t>е</w:t>
      </w:r>
      <w:r w:rsidRPr="00CA0546">
        <w:t>в</w:t>
      </w:r>
      <w:r>
        <w:t>а</w:t>
      </w:r>
      <w:r w:rsidRPr="00CA0546">
        <w:t>. Изпълнението от 99</w:t>
      </w:r>
      <w:r>
        <w:t>,</w:t>
      </w:r>
      <w:r w:rsidRPr="00CA0546">
        <w:t>1</w:t>
      </w:r>
      <w:r>
        <w:rPr>
          <w:lang w:val="en-US"/>
        </w:rPr>
        <w:t xml:space="preserve"> </w:t>
      </w:r>
      <w:r w:rsidRPr="00CA0546">
        <w:t xml:space="preserve">% се дължи на разликите от курса на щатския долар, при които са извършени съответните плащания </w:t>
      </w:r>
      <w:r w:rsidRPr="002255D3">
        <w:rPr>
          <w:lang w:val="ru-RU"/>
        </w:rPr>
        <w:t>(</w:t>
      </w:r>
      <w:r w:rsidRPr="00CA0546">
        <w:t>5</w:t>
      </w:r>
      <w:r>
        <w:t>,</w:t>
      </w:r>
      <w:r w:rsidRPr="00CA0546">
        <w:t>0</w:t>
      </w:r>
      <w:r>
        <w:rPr>
          <w:lang w:val="en-US"/>
        </w:rPr>
        <w:t xml:space="preserve"> </w:t>
      </w:r>
      <w:r w:rsidRPr="00CA0546">
        <w:t xml:space="preserve">% от всички </w:t>
      </w:r>
      <w:r w:rsidRPr="00A824A4">
        <w:t>погашения са в щатски долари</w:t>
      </w:r>
      <w:r w:rsidRPr="002255D3">
        <w:rPr>
          <w:lang w:val="ru-RU"/>
        </w:rPr>
        <w:t>)</w:t>
      </w:r>
      <w:r w:rsidRPr="00A824A4">
        <w:t>;</w:t>
      </w:r>
    </w:p>
    <w:p w:rsidR="000938C1" w:rsidRPr="00CF1A14" w:rsidRDefault="000938C1" w:rsidP="00CE5B9C">
      <w:pPr>
        <w:pStyle w:val="BodyText"/>
        <w:spacing w:after="0"/>
        <w:ind w:firstLine="709"/>
        <w:jc w:val="both"/>
        <w:rPr>
          <w:color w:val="0070C0"/>
        </w:rPr>
      </w:pPr>
      <w:r w:rsidRPr="00A824A4">
        <w:t>- отчетените погашения по ДИЗ с краен бенефициент търговско дружество са в размер на 3</w:t>
      </w:r>
      <w:r w:rsidRPr="002255D3">
        <w:rPr>
          <w:lang w:val="ru-RU"/>
        </w:rPr>
        <w:t>3</w:t>
      </w:r>
      <w:r>
        <w:t xml:space="preserve">,8 </w:t>
      </w:r>
      <w:r w:rsidRPr="00007E5D">
        <w:t>млн. лв. или 85,3</w:t>
      </w:r>
      <w:r>
        <w:rPr>
          <w:lang w:val="en-US"/>
        </w:rPr>
        <w:t xml:space="preserve"> </w:t>
      </w:r>
      <w:r w:rsidRPr="00007E5D">
        <w:t xml:space="preserve">% от разчета за 2013 г. в следствие на валутно-курсови разлики по заемите в японски йени. </w:t>
      </w:r>
    </w:p>
    <w:p w:rsidR="000938C1" w:rsidRPr="00A824A4" w:rsidRDefault="000938C1" w:rsidP="00CE5B9C">
      <w:pPr>
        <w:pStyle w:val="NormalFirstline"/>
        <w:ind w:firstLine="540"/>
        <w:jc w:val="both"/>
        <w:rPr>
          <w:sz w:val="24"/>
          <w:szCs w:val="24"/>
        </w:rPr>
      </w:pPr>
      <w:r w:rsidRPr="00A824A4">
        <w:rPr>
          <w:sz w:val="24"/>
          <w:szCs w:val="24"/>
        </w:rPr>
        <w:t xml:space="preserve"> - по бюджета на ДОО са отчетени погашения в размер на 3,5 млн. лв. или 100,0 % от предвиденото в ЗБДОО за 2013 г.</w:t>
      </w:r>
    </w:p>
    <w:p w:rsidR="000938C1" w:rsidRPr="0081791D" w:rsidRDefault="000938C1" w:rsidP="00CE5B9C">
      <w:pPr>
        <w:pStyle w:val="NormalFirstline"/>
        <w:ind w:firstLine="540"/>
        <w:jc w:val="both"/>
        <w:rPr>
          <w:sz w:val="24"/>
          <w:szCs w:val="24"/>
        </w:rPr>
      </w:pPr>
      <w:r w:rsidRPr="0081791D">
        <w:rPr>
          <w:sz w:val="24"/>
          <w:szCs w:val="24"/>
        </w:rPr>
        <w:t>- по бюджетите на общините са изплатени погашения по външни заеми в размер на 12,6 млн. лв., като те са извършени от три общини – Столична община – 10,1 млн. лв., Сливен – 2,2 млн. лв. и Ловеч – 0,3 млн. лева.</w:t>
      </w:r>
    </w:p>
    <w:p w:rsidR="000938C1" w:rsidRPr="008C5726" w:rsidRDefault="000938C1" w:rsidP="00CE5B9C">
      <w:pPr>
        <w:pStyle w:val="Heading4"/>
        <w:ind w:firstLine="540"/>
        <w:rPr>
          <w:i/>
          <w:sz w:val="24"/>
          <w:szCs w:val="24"/>
        </w:rPr>
      </w:pPr>
      <w:r w:rsidRPr="008C5726">
        <w:rPr>
          <w:i/>
          <w:sz w:val="24"/>
          <w:szCs w:val="24"/>
        </w:rPr>
        <w:t xml:space="preserve">     Вземания от чужбина (+) </w:t>
      </w:r>
    </w:p>
    <w:p w:rsidR="000938C1" w:rsidRDefault="000938C1" w:rsidP="00CE5B9C">
      <w:pPr>
        <w:ind w:firstLine="540"/>
        <w:jc w:val="both"/>
        <w:rPr>
          <w:color w:val="0070C0"/>
        </w:rPr>
      </w:pPr>
      <w:r w:rsidRPr="008C5726">
        <w:t>В изпълнение на Двустранното споразумение за уреждане на дълга на Република Никарагуа към Република България през 2013 г. в държавния бюджет постъпи транш за погасяване на главници по предоставени правителствени кредити с левова равностойност 0,9 млн. лева</w:t>
      </w:r>
      <w:r w:rsidRPr="0074775C">
        <w:t xml:space="preserve">. В резултат на предприети активни действия от Министерство на финансите </w:t>
      </w:r>
      <w:r>
        <w:t>на 22 февруари 2013 г. беше подписано Допълнение към Споразумението за уреждане на задължения между правителството на Република България и правителството на Монголия. Това позволи през месец март 2013 г. в бюджета да постъпи първата договорена вноска в размер на 1,5 млн. лв., която е отразена в раздел „Финансиране на държавния бюджет“ на ред „Клирингови разчети – пасивни и активни салда“.</w:t>
      </w:r>
    </w:p>
    <w:p w:rsidR="000938C1" w:rsidRPr="00D87639" w:rsidRDefault="000938C1" w:rsidP="00CE5B9C">
      <w:pPr>
        <w:ind w:firstLine="540"/>
        <w:jc w:val="both"/>
        <w:rPr>
          <w:color w:val="0070C0"/>
        </w:rPr>
      </w:pPr>
    </w:p>
    <w:p w:rsidR="000938C1" w:rsidRPr="00D87639" w:rsidRDefault="000938C1" w:rsidP="00CE5B9C">
      <w:pPr>
        <w:ind w:firstLine="540"/>
        <w:jc w:val="both"/>
      </w:pPr>
      <w:r w:rsidRPr="00D87639">
        <w:t>През 2013 г. по показателя „Операции с чуждестранни ценни книжа и финансови актив</w:t>
      </w:r>
      <w:r>
        <w:t>и</w:t>
      </w:r>
      <w:r w:rsidRPr="002255D3">
        <w:rPr>
          <w:lang w:val="ru-RU"/>
        </w:rPr>
        <w:t>”</w:t>
      </w:r>
      <w:r w:rsidRPr="00D87639">
        <w:t xml:space="preserve"> са отчетени закупените от СУ „Св. Климент Охридски</w:t>
      </w:r>
      <w:r w:rsidRPr="002255D3">
        <w:rPr>
          <w:lang w:val="ru-RU"/>
        </w:rPr>
        <w:t>”</w:t>
      </w:r>
      <w:r w:rsidRPr="00D87639">
        <w:t xml:space="preserve"> 10</w:t>
      </w:r>
      <w:r>
        <w:t>-</w:t>
      </w:r>
      <w:r w:rsidRPr="00D87639">
        <w:t xml:space="preserve">годишни американски облигации за нуждите на </w:t>
      </w:r>
      <w:r>
        <w:t>Програма “</w:t>
      </w:r>
      <w:r w:rsidRPr="00D87639">
        <w:t>Сасакава</w:t>
      </w:r>
      <w:r>
        <w:t>“</w:t>
      </w:r>
      <w:r w:rsidRPr="00D87639">
        <w:t>,</w:t>
      </w:r>
      <w:r>
        <w:t xml:space="preserve"> </w:t>
      </w:r>
      <w:r w:rsidRPr="00D87639">
        <w:t xml:space="preserve">в размер на 1,5 млн. лв. (целево дарение от Япония). </w:t>
      </w:r>
    </w:p>
    <w:p w:rsidR="000938C1" w:rsidRPr="00D87639" w:rsidRDefault="000938C1" w:rsidP="00CE5B9C">
      <w:pPr>
        <w:pStyle w:val="Heading4"/>
        <w:ind w:firstLine="540"/>
        <w:rPr>
          <w:i/>
          <w:sz w:val="24"/>
          <w:szCs w:val="24"/>
        </w:rPr>
      </w:pPr>
      <w:r w:rsidRPr="00D87639">
        <w:rPr>
          <w:i/>
          <w:sz w:val="24"/>
          <w:szCs w:val="24"/>
        </w:rPr>
        <w:t>Наличности (нето) в левова равностойност по валутни сметки в чужбина</w:t>
      </w:r>
    </w:p>
    <w:p w:rsidR="000938C1" w:rsidRPr="00D87639" w:rsidRDefault="000938C1" w:rsidP="00CE5B9C">
      <w:pPr>
        <w:pStyle w:val="BodyText"/>
        <w:ind w:firstLine="540"/>
        <w:jc w:val="both"/>
      </w:pPr>
      <w:r w:rsidRPr="00D87639">
        <w:t xml:space="preserve">Нетното изменение на наличностите в левова равностойност по валутни сметки в чужбина е увеличение на наличностите с 4,3 млн. лева. </w:t>
      </w:r>
    </w:p>
    <w:p w:rsidR="000938C1" w:rsidRPr="008445FC" w:rsidRDefault="000938C1" w:rsidP="00CE5B9C">
      <w:pPr>
        <w:pStyle w:val="Heading3"/>
        <w:numPr>
          <w:ilvl w:val="2"/>
          <w:numId w:val="72"/>
        </w:numPr>
        <w:rPr>
          <w:rFonts w:ascii="Times New Roman" w:hAnsi="Times New Roman"/>
          <w:sz w:val="24"/>
          <w:lang w:val="bg-BG"/>
        </w:rPr>
      </w:pPr>
      <w:bookmarkStart w:id="246" w:name="_Toc357527110"/>
      <w:bookmarkStart w:id="247" w:name="_Toc393728084"/>
      <w:r w:rsidRPr="008445FC">
        <w:rPr>
          <w:rFonts w:ascii="Times New Roman" w:hAnsi="Times New Roman"/>
          <w:sz w:val="24"/>
          <w:lang w:val="bg-BG"/>
        </w:rPr>
        <w:t>Вътрешно финансиране</w:t>
      </w:r>
      <w:bookmarkEnd w:id="244"/>
      <w:bookmarkEnd w:id="245"/>
      <w:bookmarkEnd w:id="246"/>
      <w:bookmarkEnd w:id="247"/>
    </w:p>
    <w:p w:rsidR="000938C1" w:rsidRPr="008445FC" w:rsidRDefault="000938C1" w:rsidP="00CE5B9C">
      <w:pPr>
        <w:ind w:firstLine="540"/>
        <w:jc w:val="both"/>
        <w:rPr>
          <w:sz w:val="8"/>
          <w:szCs w:val="8"/>
        </w:rPr>
      </w:pPr>
    </w:p>
    <w:p w:rsidR="000938C1" w:rsidRPr="008445FC" w:rsidRDefault="000938C1" w:rsidP="00CE5B9C">
      <w:pPr>
        <w:ind w:firstLine="540"/>
        <w:jc w:val="both"/>
      </w:pPr>
      <w:r w:rsidRPr="008445FC">
        <w:t>Нетният размер на вътрешното финансиране за годината е 2 1</w:t>
      </w:r>
      <w:r>
        <w:t>15,0</w:t>
      </w:r>
      <w:r w:rsidRPr="008445FC">
        <w:t> млн. лв. и включва заеми от банки и други лица в страната (нето), операции с държавни (общински) ценни книжа (нето), покупко-продажба на ДОбЦК, нетно изменение на депозитите, друго финансиране (в т.ч. нетния размер на финансовите операции по прилагане на Обща селскостопанска политика (ОСП) и Обща рибарска политика (ОРП), възмездно финансиране (нето) и придобиване на дялове, акции и съучастия (нето).</w:t>
      </w:r>
    </w:p>
    <w:p w:rsidR="000938C1" w:rsidRPr="008445FC" w:rsidRDefault="000938C1" w:rsidP="00CE5B9C">
      <w:pPr>
        <w:pStyle w:val="Heading4"/>
        <w:ind w:firstLine="900"/>
        <w:rPr>
          <w:i/>
          <w:sz w:val="24"/>
          <w:szCs w:val="24"/>
        </w:rPr>
      </w:pPr>
      <w:r w:rsidRPr="008445FC">
        <w:rPr>
          <w:i/>
          <w:sz w:val="24"/>
          <w:szCs w:val="24"/>
        </w:rPr>
        <w:t>Заеми от банки и други лица в страната – нето</w:t>
      </w:r>
    </w:p>
    <w:p w:rsidR="000938C1" w:rsidRPr="00CF1A14" w:rsidRDefault="000938C1" w:rsidP="00CE5B9C">
      <w:pPr>
        <w:ind w:firstLine="540"/>
        <w:jc w:val="both"/>
        <w:rPr>
          <w:color w:val="0070C0"/>
        </w:rPr>
      </w:pPr>
      <w:r w:rsidRPr="000F16E4">
        <w:t xml:space="preserve">Нетният размер на показателя за годината е 0,9 млн. лв. и отразява </w:t>
      </w:r>
      <w:r>
        <w:t xml:space="preserve">основно </w:t>
      </w:r>
      <w:r w:rsidRPr="000F16E4">
        <w:t xml:space="preserve">получените краткосрочни и дългосрочни заеми по общинските бюджети от банки и други лица в страната, както и извършените погашения по тези заеми. </w:t>
      </w:r>
      <w:r>
        <w:t>По бюджетите на общините за 2013 г. са отчетени получени заеми от банки в страната в размер на 53,4 млн. лв., а погашенията към същите са за 73,3 млн. лв. или нетната сума е (- 19,9 млн. лв.). От други лица в страната общините са получили заеми в размер на 149,7 млн. лв., от които от фонд ФЛАГ – 147,0 млн. лв., а направените погашения към тази група кредитори са 129,9 млн. лв., в т.ч. 127,1 млн. лв. към фонд ФЛАГ. В сравнение с предходната година, получените заеми от други лица в страната са се увеличили с 14,3 млн. лв., което показва нарасналата активност на общините по изпълнението на европейски проекти, собствената част от финансирането за които те си осигуряват чрез заеми от ФЛАГ. Размерът на погашенията по краткосрочните заеми от други лица в страната в сравнение с 2012 г. е нараснал около три пъти.</w:t>
      </w:r>
    </w:p>
    <w:p w:rsidR="000938C1" w:rsidRPr="0090159E" w:rsidRDefault="000938C1" w:rsidP="00CE5B9C">
      <w:pPr>
        <w:pStyle w:val="Heading4"/>
        <w:ind w:firstLine="900"/>
        <w:rPr>
          <w:i/>
          <w:sz w:val="24"/>
          <w:szCs w:val="24"/>
        </w:rPr>
      </w:pPr>
      <w:r w:rsidRPr="0090159E">
        <w:rPr>
          <w:i/>
          <w:sz w:val="24"/>
          <w:szCs w:val="24"/>
        </w:rPr>
        <w:t xml:space="preserve">Операции с държавни ценни книжа  (нето) </w:t>
      </w:r>
    </w:p>
    <w:p w:rsidR="000938C1" w:rsidRPr="0080573D" w:rsidRDefault="000938C1" w:rsidP="00CE5B9C">
      <w:pPr>
        <w:ind w:firstLine="540"/>
        <w:jc w:val="both"/>
      </w:pPr>
      <w:r w:rsidRPr="0080573D">
        <w:t>На консолидирана база отчетеното изпълнение на показателя е положително и е в размер на 1 303,3 млн. лв. при планирано в ЗИД на ЗДБРБ за 2013 г. положително в размер на 1 473,4 млн. лв. Изпълнението е както следва:</w:t>
      </w:r>
    </w:p>
    <w:p w:rsidR="000938C1" w:rsidRPr="00CF1A14" w:rsidRDefault="000938C1" w:rsidP="00CE5B9C">
      <w:pPr>
        <w:ind w:firstLine="540"/>
        <w:jc w:val="both"/>
        <w:rPr>
          <w:color w:val="0070C0"/>
          <w:sz w:val="12"/>
          <w:szCs w:val="12"/>
        </w:rPr>
      </w:pPr>
    </w:p>
    <w:p w:rsidR="000938C1" w:rsidRPr="0080573D" w:rsidRDefault="000938C1" w:rsidP="00CE5B9C">
      <w:pPr>
        <w:pStyle w:val="Heading6"/>
        <w:spacing w:before="0" w:after="120"/>
        <w:ind w:firstLine="709"/>
        <w:jc w:val="both"/>
        <w:rPr>
          <w:b w:val="0"/>
          <w:sz w:val="24"/>
          <w:szCs w:val="24"/>
        </w:rPr>
      </w:pPr>
      <w:r w:rsidRPr="0052476D">
        <w:rPr>
          <w:sz w:val="24"/>
          <w:szCs w:val="24"/>
        </w:rPr>
        <w:t xml:space="preserve">- </w:t>
      </w:r>
      <w:r w:rsidRPr="0052476D">
        <w:rPr>
          <w:b w:val="0"/>
          <w:sz w:val="24"/>
          <w:szCs w:val="24"/>
        </w:rPr>
        <w:t xml:space="preserve">по централния бюджет – нетното вътрешно финансиране от операции с държавни ценни книжа през годината е положително в размер на </w:t>
      </w:r>
      <w:r w:rsidRPr="00344421">
        <w:rPr>
          <w:b w:val="0"/>
          <w:sz w:val="24"/>
          <w:szCs w:val="24"/>
        </w:rPr>
        <w:t>1</w:t>
      </w:r>
      <w:r w:rsidRPr="000109C0">
        <w:rPr>
          <w:b w:val="0"/>
          <w:sz w:val="24"/>
          <w:szCs w:val="24"/>
        </w:rPr>
        <w:t> 316,</w:t>
      </w:r>
      <w:r w:rsidRPr="00344421">
        <w:rPr>
          <w:b w:val="0"/>
          <w:sz w:val="24"/>
          <w:szCs w:val="24"/>
        </w:rPr>
        <w:t>9 млн. лв., при заложено 1 485,2 млн. лв. или 88,7 % изпълнение. Постъпленията в бюджета от емисии ДЦК през периода възлизат на 2 323,2 млн. лв., като изпълнението спрямо ЗИД на ЗДБРБ за 2013 г. е 93,2 %. Осъществените погашения по ДЦК възлизат на 1 006,4 млн. лв. Общата номинална стойност на емитираните през годината ДЦК на вътрешния пазар е 2 329,1 млн. лв. Визираната обща номинална стойност през годината се формира от емитирането на</w:t>
      </w:r>
      <w:r w:rsidRPr="0080573D">
        <w:rPr>
          <w:b w:val="0"/>
          <w:sz w:val="24"/>
          <w:szCs w:val="24"/>
        </w:rPr>
        <w:t xml:space="preserve"> краткосрочни съкровищни бонове с оригинален матуритет шест месеца с номинална стойност – 800</w:t>
      </w:r>
      <w:r>
        <w:rPr>
          <w:b w:val="0"/>
          <w:sz w:val="24"/>
          <w:szCs w:val="24"/>
        </w:rPr>
        <w:t>,</w:t>
      </w:r>
      <w:r w:rsidRPr="0080573D">
        <w:rPr>
          <w:b w:val="0"/>
          <w:sz w:val="24"/>
          <w:szCs w:val="24"/>
        </w:rPr>
        <w:t>0 млн.</w:t>
      </w:r>
      <w:r>
        <w:rPr>
          <w:b w:val="0"/>
          <w:sz w:val="24"/>
          <w:szCs w:val="24"/>
        </w:rPr>
        <w:t xml:space="preserve"> </w:t>
      </w:r>
      <w:r w:rsidRPr="0080573D">
        <w:rPr>
          <w:b w:val="0"/>
          <w:sz w:val="24"/>
          <w:szCs w:val="24"/>
        </w:rPr>
        <w:t>лв.; с матуритет една година – 300</w:t>
      </w:r>
      <w:r>
        <w:rPr>
          <w:b w:val="0"/>
          <w:sz w:val="24"/>
          <w:szCs w:val="24"/>
        </w:rPr>
        <w:t>,</w:t>
      </w:r>
      <w:r w:rsidRPr="0080573D">
        <w:rPr>
          <w:b w:val="0"/>
          <w:sz w:val="24"/>
          <w:szCs w:val="24"/>
        </w:rPr>
        <w:t>0 млн.</w:t>
      </w:r>
      <w:r>
        <w:rPr>
          <w:b w:val="0"/>
          <w:sz w:val="24"/>
          <w:szCs w:val="24"/>
        </w:rPr>
        <w:t xml:space="preserve"> </w:t>
      </w:r>
      <w:r w:rsidRPr="0080573D">
        <w:rPr>
          <w:b w:val="0"/>
          <w:sz w:val="24"/>
          <w:szCs w:val="24"/>
        </w:rPr>
        <w:t>лв. и средносрочни и дългосрочни облигации с оригинален матуритет три години с номинална стойност 226</w:t>
      </w:r>
      <w:r>
        <w:rPr>
          <w:b w:val="0"/>
          <w:sz w:val="24"/>
          <w:szCs w:val="24"/>
        </w:rPr>
        <w:t>,</w:t>
      </w:r>
      <w:r w:rsidRPr="0080573D">
        <w:rPr>
          <w:b w:val="0"/>
          <w:sz w:val="24"/>
          <w:szCs w:val="24"/>
        </w:rPr>
        <w:t>4 млн.лв.; петгодишни – 330</w:t>
      </w:r>
      <w:r>
        <w:rPr>
          <w:b w:val="0"/>
          <w:sz w:val="24"/>
          <w:szCs w:val="24"/>
        </w:rPr>
        <w:t>,</w:t>
      </w:r>
      <w:r w:rsidRPr="0080573D">
        <w:rPr>
          <w:b w:val="0"/>
          <w:sz w:val="24"/>
          <w:szCs w:val="24"/>
        </w:rPr>
        <w:t>0 млн.</w:t>
      </w:r>
      <w:r>
        <w:rPr>
          <w:b w:val="0"/>
          <w:sz w:val="24"/>
          <w:szCs w:val="24"/>
        </w:rPr>
        <w:t xml:space="preserve"> </w:t>
      </w:r>
      <w:r w:rsidRPr="0080573D">
        <w:rPr>
          <w:b w:val="0"/>
          <w:sz w:val="24"/>
          <w:szCs w:val="24"/>
        </w:rPr>
        <w:t>лв.; седемгодишни, деноминирани в евро – 165</w:t>
      </w:r>
      <w:r>
        <w:rPr>
          <w:b w:val="0"/>
          <w:sz w:val="24"/>
          <w:szCs w:val="24"/>
        </w:rPr>
        <w:t>,</w:t>
      </w:r>
      <w:r w:rsidRPr="0080573D">
        <w:rPr>
          <w:b w:val="0"/>
          <w:sz w:val="24"/>
          <w:szCs w:val="24"/>
        </w:rPr>
        <w:t xml:space="preserve">0 млн. евро и десет години и шест месеца </w:t>
      </w:r>
      <w:r>
        <w:rPr>
          <w:b w:val="0"/>
          <w:sz w:val="24"/>
          <w:szCs w:val="24"/>
        </w:rPr>
        <w:t>–</w:t>
      </w:r>
      <w:r w:rsidRPr="0080573D">
        <w:rPr>
          <w:b w:val="0"/>
          <w:sz w:val="24"/>
          <w:szCs w:val="24"/>
        </w:rPr>
        <w:t xml:space="preserve"> 350</w:t>
      </w:r>
      <w:r>
        <w:rPr>
          <w:b w:val="0"/>
          <w:sz w:val="24"/>
          <w:szCs w:val="24"/>
        </w:rPr>
        <w:t>,</w:t>
      </w:r>
      <w:r w:rsidRPr="0080573D">
        <w:rPr>
          <w:b w:val="0"/>
          <w:sz w:val="24"/>
          <w:szCs w:val="24"/>
        </w:rPr>
        <w:t>0 млн.</w:t>
      </w:r>
      <w:r>
        <w:rPr>
          <w:b w:val="0"/>
          <w:sz w:val="24"/>
          <w:szCs w:val="24"/>
        </w:rPr>
        <w:t xml:space="preserve"> </w:t>
      </w:r>
      <w:r w:rsidRPr="0080573D">
        <w:rPr>
          <w:b w:val="0"/>
          <w:sz w:val="24"/>
          <w:szCs w:val="24"/>
        </w:rPr>
        <w:t>л</w:t>
      </w:r>
      <w:r>
        <w:rPr>
          <w:b w:val="0"/>
          <w:sz w:val="24"/>
          <w:szCs w:val="24"/>
        </w:rPr>
        <w:t>е</w:t>
      </w:r>
      <w:r w:rsidRPr="0080573D">
        <w:rPr>
          <w:b w:val="0"/>
          <w:sz w:val="24"/>
          <w:szCs w:val="24"/>
        </w:rPr>
        <w:t>в</w:t>
      </w:r>
      <w:r>
        <w:rPr>
          <w:b w:val="0"/>
          <w:sz w:val="24"/>
          <w:szCs w:val="24"/>
        </w:rPr>
        <w:t>а</w:t>
      </w:r>
      <w:r w:rsidRPr="0080573D">
        <w:rPr>
          <w:b w:val="0"/>
          <w:sz w:val="24"/>
          <w:szCs w:val="24"/>
        </w:rPr>
        <w:t>.</w:t>
      </w:r>
    </w:p>
    <w:p w:rsidR="000938C1" w:rsidRPr="0080573D" w:rsidRDefault="000938C1" w:rsidP="00CE5B9C">
      <w:pPr>
        <w:pStyle w:val="Heading6"/>
        <w:spacing w:before="0" w:after="120"/>
        <w:ind w:firstLine="709"/>
        <w:jc w:val="both"/>
        <w:rPr>
          <w:b w:val="0"/>
          <w:sz w:val="24"/>
          <w:szCs w:val="24"/>
        </w:rPr>
      </w:pPr>
      <w:r w:rsidRPr="0080573D">
        <w:rPr>
          <w:b w:val="0"/>
          <w:sz w:val="24"/>
          <w:szCs w:val="24"/>
        </w:rPr>
        <w:t>През 2013 г. в резултат на провежданата от МФ гъвкава и адекватна на финансовата ситуация емисионна политика, са проведени 29 успешни аукциона за пласмент на вътрешни ДЦК. Чрез проведените аукциони са пласирани шест нови емисии ДЦК в основните бенчмаркови матуритети и валутна деноминация в лева и евро. През 2013 г. са емитирани както краткосрочни съкровищни бонове, така и ДЦК от отворен тип с фиксиран лихвен процент.</w:t>
      </w:r>
      <w:r>
        <w:rPr>
          <w:b w:val="0"/>
          <w:sz w:val="24"/>
          <w:szCs w:val="24"/>
        </w:rPr>
        <w:t xml:space="preserve"> </w:t>
      </w:r>
      <w:r w:rsidRPr="0080573D">
        <w:rPr>
          <w:b w:val="0"/>
          <w:sz w:val="24"/>
          <w:szCs w:val="24"/>
        </w:rPr>
        <w:t>Среднопретеглената доходност на аукционите за лихвоносни държавни ценни книжа през 2013 г. е 2</w:t>
      </w:r>
      <w:r>
        <w:rPr>
          <w:b w:val="0"/>
          <w:sz w:val="24"/>
          <w:szCs w:val="24"/>
        </w:rPr>
        <w:t>,</w:t>
      </w:r>
      <w:r w:rsidRPr="0080573D">
        <w:rPr>
          <w:b w:val="0"/>
          <w:sz w:val="24"/>
          <w:szCs w:val="24"/>
        </w:rPr>
        <w:t>51</w:t>
      </w:r>
      <w:r>
        <w:rPr>
          <w:b w:val="0"/>
          <w:sz w:val="24"/>
          <w:szCs w:val="24"/>
        </w:rPr>
        <w:t xml:space="preserve"> </w:t>
      </w:r>
      <w:r w:rsidRPr="0080573D">
        <w:rPr>
          <w:b w:val="0"/>
          <w:sz w:val="24"/>
          <w:szCs w:val="24"/>
        </w:rPr>
        <w:t>%. Данните потвърждават тенденцията от последните няколко години за намаляване на този показател като съответно през 2010 г. е 5</w:t>
      </w:r>
      <w:r>
        <w:rPr>
          <w:b w:val="0"/>
          <w:sz w:val="24"/>
          <w:szCs w:val="24"/>
        </w:rPr>
        <w:t>,</w:t>
      </w:r>
      <w:r w:rsidRPr="0080573D">
        <w:rPr>
          <w:b w:val="0"/>
          <w:sz w:val="24"/>
          <w:szCs w:val="24"/>
        </w:rPr>
        <w:t>33</w:t>
      </w:r>
      <w:r>
        <w:rPr>
          <w:b w:val="0"/>
          <w:sz w:val="24"/>
          <w:szCs w:val="24"/>
        </w:rPr>
        <w:t xml:space="preserve"> </w:t>
      </w:r>
      <w:r w:rsidRPr="0080573D">
        <w:rPr>
          <w:b w:val="0"/>
          <w:sz w:val="24"/>
          <w:szCs w:val="24"/>
        </w:rPr>
        <w:t xml:space="preserve">%, </w:t>
      </w:r>
      <w:r>
        <w:rPr>
          <w:b w:val="0"/>
          <w:sz w:val="24"/>
          <w:szCs w:val="24"/>
        </w:rPr>
        <w:t xml:space="preserve">през </w:t>
      </w:r>
      <w:r w:rsidRPr="0080573D">
        <w:rPr>
          <w:b w:val="0"/>
          <w:sz w:val="24"/>
          <w:szCs w:val="24"/>
        </w:rPr>
        <w:t>2011 г.</w:t>
      </w:r>
      <w:r>
        <w:rPr>
          <w:b w:val="0"/>
          <w:sz w:val="24"/>
          <w:szCs w:val="24"/>
        </w:rPr>
        <w:t xml:space="preserve"> </w:t>
      </w:r>
      <w:r w:rsidRPr="0080573D">
        <w:rPr>
          <w:b w:val="0"/>
          <w:sz w:val="24"/>
          <w:szCs w:val="24"/>
        </w:rPr>
        <w:t>-</w:t>
      </w:r>
      <w:r>
        <w:rPr>
          <w:b w:val="0"/>
          <w:sz w:val="24"/>
          <w:szCs w:val="24"/>
        </w:rPr>
        <w:t xml:space="preserve"> </w:t>
      </w:r>
      <w:r w:rsidRPr="0080573D">
        <w:rPr>
          <w:b w:val="0"/>
          <w:sz w:val="24"/>
          <w:szCs w:val="24"/>
        </w:rPr>
        <w:t xml:space="preserve"> 4</w:t>
      </w:r>
      <w:r>
        <w:rPr>
          <w:b w:val="0"/>
          <w:sz w:val="24"/>
          <w:szCs w:val="24"/>
        </w:rPr>
        <w:t>,</w:t>
      </w:r>
      <w:r w:rsidRPr="0080573D">
        <w:rPr>
          <w:b w:val="0"/>
          <w:sz w:val="24"/>
          <w:szCs w:val="24"/>
        </w:rPr>
        <w:t>32</w:t>
      </w:r>
      <w:r>
        <w:rPr>
          <w:b w:val="0"/>
          <w:sz w:val="24"/>
          <w:szCs w:val="24"/>
        </w:rPr>
        <w:t xml:space="preserve"> </w:t>
      </w:r>
      <w:r w:rsidRPr="0080573D">
        <w:rPr>
          <w:b w:val="0"/>
          <w:sz w:val="24"/>
          <w:szCs w:val="24"/>
        </w:rPr>
        <w:t>% и през 2012 г.</w:t>
      </w:r>
      <w:r>
        <w:rPr>
          <w:b w:val="0"/>
          <w:sz w:val="24"/>
          <w:szCs w:val="24"/>
        </w:rPr>
        <w:t xml:space="preserve"> </w:t>
      </w:r>
      <w:r w:rsidRPr="0080573D">
        <w:rPr>
          <w:b w:val="0"/>
          <w:sz w:val="24"/>
          <w:szCs w:val="24"/>
        </w:rPr>
        <w:t>–</w:t>
      </w:r>
      <w:r>
        <w:rPr>
          <w:b w:val="0"/>
          <w:sz w:val="24"/>
          <w:szCs w:val="24"/>
        </w:rPr>
        <w:t xml:space="preserve"> </w:t>
      </w:r>
      <w:r w:rsidRPr="0080573D">
        <w:rPr>
          <w:b w:val="0"/>
          <w:sz w:val="24"/>
          <w:szCs w:val="24"/>
        </w:rPr>
        <w:t xml:space="preserve"> 3</w:t>
      </w:r>
      <w:r>
        <w:rPr>
          <w:b w:val="0"/>
          <w:sz w:val="24"/>
          <w:szCs w:val="24"/>
        </w:rPr>
        <w:t>,</w:t>
      </w:r>
      <w:r w:rsidRPr="0080573D">
        <w:rPr>
          <w:b w:val="0"/>
          <w:sz w:val="24"/>
          <w:szCs w:val="24"/>
        </w:rPr>
        <w:t>54</w:t>
      </w:r>
      <w:r>
        <w:rPr>
          <w:b w:val="0"/>
          <w:sz w:val="24"/>
          <w:szCs w:val="24"/>
        </w:rPr>
        <w:t xml:space="preserve"> </w:t>
      </w:r>
      <w:r w:rsidRPr="0080573D">
        <w:rPr>
          <w:b w:val="0"/>
          <w:sz w:val="24"/>
          <w:szCs w:val="24"/>
        </w:rPr>
        <w:t xml:space="preserve">%. </w:t>
      </w:r>
    </w:p>
    <w:p w:rsidR="000938C1" w:rsidRPr="0080573D" w:rsidRDefault="000938C1" w:rsidP="00CE5B9C">
      <w:pPr>
        <w:ind w:firstLine="708"/>
        <w:jc w:val="both"/>
      </w:pPr>
      <w:r w:rsidRPr="0080573D">
        <w:t>И през 2013 г. емисията 10</w:t>
      </w:r>
      <w:r>
        <w:t>,</w:t>
      </w:r>
      <w:r w:rsidRPr="0080573D">
        <w:t>5-годишни ДЦК беше от приоритетно значение, тъй като доходността й на вторичен пазар е референтна по отношение на дългосрочния лихвен процент за оценка степента на сближаване. През периода януари - декември 2013 г. стойностите на този Маастрихтски критерий за конвергенция се движат в рамките съответно на 3,27 % за месец януари 2013 г. и 3,43 % за месец декември 2013 г., като  отбелязват намаление спрямо регистрираните нива на показателя за същия период през 2012 г.</w:t>
      </w:r>
      <w:r>
        <w:t xml:space="preserve"> </w:t>
      </w:r>
      <w:r w:rsidRPr="0080573D">
        <w:t>- съответно 5,30 % през януари и 3,44 % през месец декември.</w:t>
      </w:r>
    </w:p>
    <w:p w:rsidR="000938C1" w:rsidRPr="0080573D" w:rsidRDefault="000938C1" w:rsidP="00CE5B9C">
      <w:pPr>
        <w:ind w:firstLine="709"/>
        <w:jc w:val="both"/>
      </w:pPr>
      <w:r w:rsidRPr="0080573D">
        <w:rPr>
          <w:bCs/>
          <w:iCs/>
        </w:rPr>
        <w:t>Отчетеното намаление на доходността по вътрешния държавен дълг спрямо 2012 г.  има понижаващ ефект върху лихвените равнища и намалява разходите за обслужване в средносрочен и дългосрочен аспект.</w:t>
      </w:r>
    </w:p>
    <w:p w:rsidR="000938C1" w:rsidRPr="003B244D" w:rsidRDefault="000938C1" w:rsidP="00CE5B9C">
      <w:pPr>
        <w:ind w:firstLine="540"/>
        <w:jc w:val="both"/>
      </w:pPr>
    </w:p>
    <w:p w:rsidR="000938C1" w:rsidRPr="003B244D" w:rsidRDefault="000938C1" w:rsidP="00CE5B9C">
      <w:pPr>
        <w:tabs>
          <w:tab w:val="num" w:pos="720"/>
        </w:tabs>
        <w:ind w:firstLine="540"/>
        <w:jc w:val="both"/>
      </w:pPr>
      <w:r w:rsidRPr="003B244D">
        <w:t xml:space="preserve">- по бюджетите на общините – нетната стойност на операциите с ценни книжа, отчетени по общинските бюджети за 2013 г., е отрицателна и е формирана от извършените погашения, които са в размер на 13,6 млн. лева.  </w:t>
      </w:r>
    </w:p>
    <w:p w:rsidR="000938C1" w:rsidRPr="00CF1A14" w:rsidRDefault="000938C1" w:rsidP="00CE5B9C">
      <w:pPr>
        <w:jc w:val="both"/>
        <w:rPr>
          <w:color w:val="0070C0"/>
          <w:sz w:val="12"/>
          <w:szCs w:val="12"/>
        </w:rPr>
      </w:pPr>
    </w:p>
    <w:p w:rsidR="000938C1" w:rsidRPr="003B244D" w:rsidRDefault="000938C1" w:rsidP="00CE5B9C">
      <w:pPr>
        <w:ind w:firstLine="900"/>
        <w:rPr>
          <w:b/>
          <w:i/>
        </w:rPr>
      </w:pPr>
      <w:r w:rsidRPr="003B244D">
        <w:rPr>
          <w:b/>
          <w:i/>
        </w:rPr>
        <w:t xml:space="preserve">Покупко-продажба на държавни и общински ценни книжа </w:t>
      </w:r>
    </w:p>
    <w:p w:rsidR="000938C1" w:rsidRPr="003B244D" w:rsidRDefault="000938C1" w:rsidP="00CE5B9C">
      <w:pPr>
        <w:pStyle w:val="PlainText"/>
        <w:ind w:firstLine="540"/>
        <w:jc w:val="both"/>
      </w:pPr>
      <w:r w:rsidRPr="003B244D">
        <w:t>Размерът на средствата по консолидираната фискална програма за 2013 г., отчетени в резултат на покупко-продажбата на държавни и общински ценни книжа, е (-62,2 млн. лв.). По-голяма част от тези средства представляват закупени ДЦК главно от ФГВРС (14,8 млн. лв.) и УПФ (47,5 млн. лв.).</w:t>
      </w:r>
    </w:p>
    <w:p w:rsidR="000938C1" w:rsidRPr="005264FD" w:rsidRDefault="000938C1" w:rsidP="00CE5B9C">
      <w:pPr>
        <w:ind w:firstLine="900"/>
        <w:rPr>
          <w:b/>
          <w:i/>
        </w:rPr>
      </w:pPr>
      <w:bookmarkStart w:id="248" w:name="_Toc202754019"/>
      <w:r w:rsidRPr="005264FD">
        <w:rPr>
          <w:b/>
          <w:i/>
        </w:rPr>
        <w:t>Възмездно финансиране (нето)</w:t>
      </w:r>
      <w:bookmarkEnd w:id="248"/>
    </w:p>
    <w:p w:rsidR="000938C1" w:rsidRPr="005264FD" w:rsidRDefault="000938C1" w:rsidP="00CE5B9C">
      <w:pPr>
        <w:ind w:firstLine="540"/>
        <w:jc w:val="both"/>
        <w:rPr>
          <w:bCs/>
          <w:sz w:val="8"/>
          <w:szCs w:val="8"/>
          <w:highlight w:val="cyan"/>
          <w:lang w:eastAsia="en-US"/>
        </w:rPr>
      </w:pPr>
    </w:p>
    <w:p w:rsidR="000938C1" w:rsidRPr="005264FD" w:rsidRDefault="000938C1" w:rsidP="00CE5B9C">
      <w:pPr>
        <w:ind w:firstLine="540"/>
        <w:jc w:val="both"/>
      </w:pPr>
      <w:r w:rsidRPr="005264FD">
        <w:t>Нетният размер на възмездното финансиране е положителен – 25,8 млн. лв.</w:t>
      </w:r>
    </w:p>
    <w:p w:rsidR="000938C1" w:rsidRPr="005078B7" w:rsidRDefault="000938C1" w:rsidP="00CE5B9C">
      <w:pPr>
        <w:pStyle w:val="BodyText"/>
        <w:spacing w:after="0"/>
        <w:ind w:firstLine="540"/>
        <w:jc w:val="both"/>
      </w:pPr>
      <w:r w:rsidRPr="005264FD">
        <w:t xml:space="preserve">Нетното изпълнение на операциите по ДИЗ с краен бенефициент търговско дружество за 2013 г. е положително в размер на 34,3 млн. лв. и представлява възстановени суми по </w:t>
      </w:r>
      <w:r w:rsidRPr="005078B7">
        <w:t xml:space="preserve">предоставени ДИЗ на крайни бенефициенти. </w:t>
      </w:r>
    </w:p>
    <w:p w:rsidR="000938C1" w:rsidRPr="005078B7" w:rsidRDefault="000938C1" w:rsidP="00CE5B9C">
      <w:pPr>
        <w:ind w:firstLine="567"/>
        <w:jc w:val="both"/>
      </w:pPr>
      <w:r w:rsidRPr="005078B7">
        <w:t>Към 31.12.2013 г. по линия на предоставените лихвени заеми по инвестиционните схеми за подпомагане на селското стопанство, предоставени от фонд „Земеделие” пряко или чрез рефинансиране на търговски банки, с които фондът има сключени договори, са изплатени 34,6 млн. лв., като това са 17,7 на сто от одобрените с план-сметката за 2013 г. 195,0 млн. лева. Кредитите се отпускат чрез прилагането на Кредитна схема на ДФ „Земеделие” за инвестиции в селското стопанство с три  основни направления - „Растениевъдство”, „Животновъдство” и „Техническо обезпечаване” и схемите за държавните помощи на Фонда за създаване и придобиване на дълготрайни материални активи в земеделието и селските райони, чрез които се цели стимулиране на инвестиционния процес, повишаване на конкурентоспособността и качеството на произведената селскостопанска продукция посредством облекчаване на достъпа до кредитен ресурс и предоставяне на капиталови субсидии и субсидии за лихви. Съгласно указанията за прилагане на кредитната схема, кредитите са със срок на погасяване от 12 до 14 месеца в зависимост от вида на инвестицията. Възстановените главници по предоставени заеми за годината са 57,7 млн. лв., при одобрени с план-сметката за 2013 г. 155,0 млн. лева.</w:t>
      </w:r>
    </w:p>
    <w:p w:rsidR="000938C1" w:rsidRPr="00AA2283" w:rsidRDefault="000938C1" w:rsidP="00CE5B9C">
      <w:pPr>
        <w:ind w:firstLine="567"/>
        <w:jc w:val="both"/>
      </w:pPr>
      <w:r w:rsidRPr="00AA2283">
        <w:t>По краткосрочните схеми за подпомагане се осигурява държавното финансиране, в т.ч. безвъзмездна помощ и краткосрочно кредитиране, по реда и условията, одобрени от Управителния съвет на ДФ „Земеделие”. Предоставените средства като временна финансова помощ за 2013 г. по схеми за финансиране са в размер на 4,3 млн. лв. или 14,4 на сто спрямо годишния план. Възстановените суми по временна финансова помощ са в размер на 7,1 млн. лв., което е 23,6 на сто изпълнение спрямо годишния план.</w:t>
      </w:r>
    </w:p>
    <w:p w:rsidR="000938C1" w:rsidRPr="00AA2283" w:rsidRDefault="000938C1" w:rsidP="00CE5B9C">
      <w:pPr>
        <w:ind w:firstLine="567"/>
        <w:jc w:val="both"/>
      </w:pPr>
      <w:r w:rsidRPr="00AA2283">
        <w:t>Предоставената временна финансова помощ (нето) от общините през 2013 г. е 3,1 млн. лева.</w:t>
      </w:r>
    </w:p>
    <w:p w:rsidR="000938C1" w:rsidRPr="00AA2283" w:rsidRDefault="000938C1" w:rsidP="00CE5B9C">
      <w:pPr>
        <w:ind w:firstLine="540"/>
        <w:jc w:val="both"/>
        <w:rPr>
          <w:iCs/>
        </w:rPr>
      </w:pPr>
      <w:r w:rsidRPr="00AA2283">
        <w:t xml:space="preserve">Размерът на възмездното финансиране (нето), извършено от </w:t>
      </w:r>
      <w:r w:rsidRPr="00AA2283">
        <w:rPr>
          <w:iCs/>
        </w:rPr>
        <w:t>ПУДООС,</w:t>
      </w:r>
      <w:r w:rsidRPr="00AA2283">
        <w:t xml:space="preserve"> е 3,2 млн. лв., използвани за ф</w:t>
      </w:r>
      <w:r w:rsidRPr="00AA2283">
        <w:rPr>
          <w:iCs/>
        </w:rPr>
        <w:t>инансиране на инвестиционни екологични проекти.</w:t>
      </w:r>
    </w:p>
    <w:p w:rsidR="000938C1" w:rsidRPr="00AA2283" w:rsidRDefault="000938C1" w:rsidP="00CE5B9C">
      <w:pPr>
        <w:ind w:firstLine="540"/>
        <w:jc w:val="both"/>
        <w:rPr>
          <w:iCs/>
          <w:sz w:val="8"/>
          <w:szCs w:val="8"/>
        </w:rPr>
      </w:pPr>
    </w:p>
    <w:p w:rsidR="000938C1" w:rsidRPr="00AA2283" w:rsidRDefault="000938C1" w:rsidP="00CE5B9C">
      <w:pPr>
        <w:ind w:firstLine="540"/>
        <w:jc w:val="both"/>
        <w:rPr>
          <w:iCs/>
          <w:sz w:val="8"/>
          <w:szCs w:val="8"/>
        </w:rPr>
      </w:pPr>
    </w:p>
    <w:p w:rsidR="000938C1" w:rsidRPr="00AA2283" w:rsidRDefault="000938C1" w:rsidP="00CE5B9C">
      <w:pPr>
        <w:pStyle w:val="BlockText"/>
        <w:ind w:left="0" w:right="72" w:firstLine="720"/>
        <w:jc w:val="both"/>
        <w:rPr>
          <w:rFonts w:ascii="Times New Roman" w:hAnsi="Times New Roman"/>
          <w:b/>
          <w:i/>
        </w:rPr>
      </w:pPr>
      <w:r w:rsidRPr="00AA2283">
        <w:rPr>
          <w:rFonts w:ascii="Times New Roman" w:hAnsi="Times New Roman"/>
          <w:b/>
          <w:i/>
        </w:rPr>
        <w:t>Придобиване на дялове, акции и съучастия (нето)</w:t>
      </w:r>
    </w:p>
    <w:p w:rsidR="000938C1" w:rsidRPr="000C35D4" w:rsidRDefault="000938C1" w:rsidP="00CE5B9C">
      <w:pPr>
        <w:pStyle w:val="BlockText"/>
        <w:ind w:left="0" w:right="72" w:firstLine="720"/>
        <w:jc w:val="both"/>
        <w:rPr>
          <w:rFonts w:ascii="Times New Roman" w:hAnsi="Times New Roman"/>
          <w:b/>
          <w:sz w:val="12"/>
          <w:szCs w:val="12"/>
        </w:rPr>
      </w:pPr>
    </w:p>
    <w:p w:rsidR="000938C1" w:rsidRDefault="000938C1" w:rsidP="00CE5B9C">
      <w:pPr>
        <w:pStyle w:val="BlockText"/>
        <w:ind w:left="0" w:right="72" w:firstLine="540"/>
        <w:jc w:val="both"/>
        <w:rPr>
          <w:rFonts w:ascii="Times New Roman" w:hAnsi="Times New Roman"/>
        </w:rPr>
      </w:pPr>
      <w:r w:rsidRPr="000C35D4">
        <w:rPr>
          <w:rFonts w:ascii="Times New Roman" w:hAnsi="Times New Roman"/>
        </w:rPr>
        <w:t>Нетният размер на средствата, изразходвани за придобиване на дялове, акции и съучастия през отчетната година е 63,4 млн. л</w:t>
      </w:r>
      <w:r>
        <w:rPr>
          <w:rFonts w:ascii="Times New Roman" w:hAnsi="Times New Roman"/>
        </w:rPr>
        <w:t>е</w:t>
      </w:r>
      <w:r w:rsidRPr="000C35D4">
        <w:rPr>
          <w:rFonts w:ascii="Times New Roman" w:hAnsi="Times New Roman"/>
        </w:rPr>
        <w:t>в</w:t>
      </w:r>
      <w:r>
        <w:rPr>
          <w:rFonts w:ascii="Times New Roman" w:hAnsi="Times New Roman"/>
        </w:rPr>
        <w:t>а</w:t>
      </w:r>
      <w:r w:rsidRPr="000C35D4">
        <w:rPr>
          <w:rFonts w:ascii="Times New Roman" w:hAnsi="Times New Roman"/>
        </w:rPr>
        <w:t xml:space="preserve">. </w:t>
      </w:r>
    </w:p>
    <w:p w:rsidR="000938C1" w:rsidRPr="009F5CF2" w:rsidRDefault="000938C1" w:rsidP="00CE5B9C">
      <w:pPr>
        <w:pStyle w:val="BlockText"/>
        <w:ind w:left="0" w:right="72" w:firstLine="540"/>
        <w:jc w:val="both"/>
        <w:rPr>
          <w:rFonts w:ascii="Times New Roman" w:hAnsi="Times New Roman"/>
        </w:rPr>
      </w:pPr>
      <w:r>
        <w:rPr>
          <w:rFonts w:ascii="Times New Roman" w:hAnsi="Times New Roman"/>
        </w:rPr>
        <w:t xml:space="preserve">През 2013 г. </w:t>
      </w:r>
      <w:r w:rsidRPr="009F5CF2">
        <w:rPr>
          <w:rFonts w:ascii="Times New Roman" w:hAnsi="Times New Roman"/>
        </w:rPr>
        <w:t xml:space="preserve">за уреждане на задължения по съществуващи дялови участия и увеличаване на дяловото участие на държавата </w:t>
      </w:r>
      <w:r>
        <w:rPr>
          <w:rFonts w:ascii="Times New Roman" w:hAnsi="Times New Roman"/>
        </w:rPr>
        <w:t>са п</w:t>
      </w:r>
      <w:r w:rsidRPr="009F5CF2">
        <w:rPr>
          <w:rFonts w:ascii="Times New Roman" w:hAnsi="Times New Roman"/>
        </w:rPr>
        <w:t>редоставени</w:t>
      </w:r>
      <w:r>
        <w:rPr>
          <w:rFonts w:ascii="Times New Roman" w:hAnsi="Times New Roman"/>
        </w:rPr>
        <w:t>/получени</w:t>
      </w:r>
      <w:r w:rsidRPr="009F5CF2">
        <w:rPr>
          <w:rFonts w:ascii="Times New Roman" w:hAnsi="Times New Roman"/>
        </w:rPr>
        <w:t xml:space="preserve"> </w:t>
      </w:r>
      <w:r>
        <w:rPr>
          <w:rFonts w:ascii="Times New Roman" w:hAnsi="Times New Roman"/>
        </w:rPr>
        <w:t>средства</w:t>
      </w:r>
      <w:r w:rsidRPr="009F5CF2">
        <w:rPr>
          <w:rFonts w:ascii="Times New Roman" w:hAnsi="Times New Roman"/>
        </w:rPr>
        <w:t xml:space="preserve"> в следните направления:</w:t>
      </w:r>
    </w:p>
    <w:p w:rsidR="000938C1" w:rsidRPr="000C35D4" w:rsidRDefault="000938C1" w:rsidP="00CE5B9C">
      <w:pPr>
        <w:pStyle w:val="BlockText"/>
        <w:numPr>
          <w:ilvl w:val="0"/>
          <w:numId w:val="42"/>
        </w:numPr>
        <w:tabs>
          <w:tab w:val="left" w:pos="1080"/>
          <w:tab w:val="left" w:pos="1260"/>
        </w:tabs>
        <w:ind w:right="72" w:firstLine="360"/>
        <w:jc w:val="both"/>
        <w:rPr>
          <w:rFonts w:ascii="Times New Roman" w:hAnsi="Times New Roman"/>
          <w:bCs/>
          <w:szCs w:val="24"/>
          <w:lang w:eastAsia="bg-BG"/>
        </w:rPr>
      </w:pPr>
      <w:r w:rsidRPr="000C35D4">
        <w:rPr>
          <w:rFonts w:ascii="Times New Roman" w:hAnsi="Times New Roman"/>
          <w:i/>
        </w:rPr>
        <w:t>Дялово участие на Република България в Международния валутен фонд</w:t>
      </w:r>
    </w:p>
    <w:p w:rsidR="000938C1" w:rsidRPr="00CF1A14" w:rsidRDefault="000938C1" w:rsidP="00CE5B9C">
      <w:pPr>
        <w:pStyle w:val="BlockText"/>
        <w:tabs>
          <w:tab w:val="left" w:pos="900"/>
          <w:tab w:val="left" w:pos="1080"/>
          <w:tab w:val="left" w:pos="1260"/>
        </w:tabs>
        <w:ind w:left="0" w:right="72" w:firstLine="900"/>
        <w:jc w:val="both"/>
        <w:rPr>
          <w:rFonts w:ascii="Times New Roman" w:hAnsi="Times New Roman"/>
          <w:color w:val="0070C0"/>
          <w:lang w:val="ru-RU"/>
        </w:rPr>
      </w:pPr>
      <w:r w:rsidRPr="00150756">
        <w:rPr>
          <w:rFonts w:ascii="Times New Roman" w:hAnsi="Times New Roman"/>
        </w:rPr>
        <w:t xml:space="preserve">Във връзка с приключването на годишната преоценка на наличностите по сметките на Международния валутен фонд (МВФ) в национална валута при БНБ за 2013 г. по сметка на Министерство на финансите (МФ) бяха получени </w:t>
      </w:r>
      <w:r>
        <w:rPr>
          <w:rFonts w:ascii="Times New Roman" w:hAnsi="Times New Roman"/>
        </w:rPr>
        <w:t xml:space="preserve">0,06 млн. </w:t>
      </w:r>
      <w:r w:rsidRPr="00150756">
        <w:rPr>
          <w:rFonts w:ascii="Times New Roman" w:hAnsi="Times New Roman"/>
        </w:rPr>
        <w:t>л</w:t>
      </w:r>
      <w:r>
        <w:rPr>
          <w:rFonts w:ascii="Times New Roman" w:hAnsi="Times New Roman"/>
        </w:rPr>
        <w:t>е</w:t>
      </w:r>
      <w:r w:rsidRPr="00150756">
        <w:rPr>
          <w:rFonts w:ascii="Times New Roman" w:hAnsi="Times New Roman"/>
        </w:rPr>
        <w:t>в</w:t>
      </w:r>
      <w:r>
        <w:rPr>
          <w:rFonts w:ascii="Times New Roman" w:hAnsi="Times New Roman"/>
        </w:rPr>
        <w:t>а</w:t>
      </w:r>
      <w:r w:rsidRPr="00150756">
        <w:rPr>
          <w:rFonts w:ascii="Times New Roman" w:hAnsi="Times New Roman"/>
        </w:rPr>
        <w:t>.</w:t>
      </w:r>
    </w:p>
    <w:p w:rsidR="000938C1" w:rsidRPr="00CF1A14" w:rsidRDefault="000938C1" w:rsidP="00CE5B9C">
      <w:pPr>
        <w:pStyle w:val="BlockText"/>
        <w:tabs>
          <w:tab w:val="left" w:pos="900"/>
          <w:tab w:val="left" w:pos="1080"/>
          <w:tab w:val="left" w:pos="1260"/>
        </w:tabs>
        <w:ind w:left="0" w:right="72" w:firstLine="900"/>
        <w:jc w:val="both"/>
        <w:rPr>
          <w:rFonts w:ascii="Times New Roman" w:hAnsi="Times New Roman"/>
          <w:bCs/>
          <w:color w:val="0070C0"/>
          <w:szCs w:val="24"/>
          <w:lang w:val="ru-RU" w:eastAsia="bg-BG"/>
        </w:rPr>
      </w:pPr>
      <w:r>
        <w:rPr>
          <w:rFonts w:ascii="Times New Roman" w:hAnsi="Times New Roman"/>
          <w:szCs w:val="24"/>
        </w:rPr>
        <w:t>През 2013 г. не е извършен разход за увеличаване на дяловото участие на Република България в МВФ поради неприключване на реформата в международната финансова институция.</w:t>
      </w:r>
    </w:p>
    <w:p w:rsidR="000938C1" w:rsidRPr="00CF1A14" w:rsidRDefault="000938C1" w:rsidP="00CE5B9C">
      <w:pPr>
        <w:pStyle w:val="BlockText"/>
        <w:tabs>
          <w:tab w:val="left" w:pos="900"/>
          <w:tab w:val="left" w:pos="1080"/>
          <w:tab w:val="left" w:pos="1260"/>
        </w:tabs>
        <w:ind w:left="0" w:right="72" w:firstLine="900"/>
        <w:jc w:val="both"/>
        <w:rPr>
          <w:rFonts w:ascii="Times New Roman" w:hAnsi="Times New Roman"/>
          <w:bCs/>
          <w:color w:val="0070C0"/>
          <w:szCs w:val="24"/>
          <w:lang w:val="ru-RU" w:eastAsia="bg-BG"/>
        </w:rPr>
      </w:pPr>
      <w:r w:rsidRPr="00150756">
        <w:rPr>
          <w:rFonts w:ascii="Times New Roman" w:hAnsi="Times New Roman"/>
          <w:szCs w:val="24"/>
        </w:rPr>
        <w:t>Р</w:t>
      </w:r>
      <w:r>
        <w:rPr>
          <w:rFonts w:ascii="Times New Roman" w:hAnsi="Times New Roman"/>
          <w:szCs w:val="24"/>
        </w:rPr>
        <w:t>епублика</w:t>
      </w:r>
      <w:r w:rsidRPr="00150756">
        <w:rPr>
          <w:rFonts w:ascii="Times New Roman" w:hAnsi="Times New Roman"/>
          <w:szCs w:val="24"/>
        </w:rPr>
        <w:t xml:space="preserve"> България взе участие в инициативата на МВФ за второто разпределение на извънреден доход от продажбата на злато за подпомагане на слаборазвитите страни като предостави 4 234 518  СПТ в полза на Фонда за намаляване на бедността и постигане на растеж на МВФ. След реализацията на разпределението и на ангажимента на държавата, на  база на относителен дял в квотата на страната в МВФ, МФ  получи  по своя сметка в СПТ при БНБ през м. октомври 2013 г. сумата от 230 658 СПТ.</w:t>
      </w:r>
    </w:p>
    <w:p w:rsidR="000938C1" w:rsidRPr="002205F2" w:rsidRDefault="000938C1" w:rsidP="00CE5B9C">
      <w:pPr>
        <w:pStyle w:val="BlockText"/>
        <w:numPr>
          <w:ilvl w:val="0"/>
          <w:numId w:val="42"/>
        </w:numPr>
        <w:tabs>
          <w:tab w:val="clear" w:pos="720"/>
          <w:tab w:val="num" w:pos="0"/>
          <w:tab w:val="left" w:pos="1080"/>
          <w:tab w:val="left" w:pos="1260"/>
        </w:tabs>
        <w:ind w:left="0" w:right="72" w:firstLine="1080"/>
        <w:jc w:val="both"/>
        <w:rPr>
          <w:rFonts w:ascii="Times New Roman" w:hAnsi="Times New Roman"/>
          <w:i/>
        </w:rPr>
      </w:pPr>
      <w:r w:rsidRPr="002205F2">
        <w:rPr>
          <w:rFonts w:ascii="Times New Roman" w:hAnsi="Times New Roman"/>
          <w:i/>
        </w:rPr>
        <w:t>Дялови участия на Република България в организациите от Групата на Световната банка</w:t>
      </w:r>
    </w:p>
    <w:p w:rsidR="000938C1" w:rsidRDefault="000938C1" w:rsidP="00CE5B9C">
      <w:pPr>
        <w:ind w:right="72" w:firstLine="900"/>
        <w:jc w:val="both"/>
        <w:rPr>
          <w:color w:val="0070C0"/>
        </w:rPr>
      </w:pPr>
      <w:r w:rsidRPr="00150756">
        <w:t>През 2013 г. бяха направени разходи за уреждане на задължения по съществуващото дялово участие на Р</w:t>
      </w:r>
      <w:r>
        <w:t>епублика</w:t>
      </w:r>
      <w:r w:rsidRPr="00150756">
        <w:t xml:space="preserve"> България в Международната банка за възстановяване и развитие (МБВР) в размер на 5</w:t>
      </w:r>
      <w:r>
        <w:t>,</w:t>
      </w:r>
      <w:r w:rsidRPr="00150756">
        <w:t>6</w:t>
      </w:r>
      <w:r>
        <w:t xml:space="preserve"> млн.</w:t>
      </w:r>
      <w:r w:rsidRPr="00150756">
        <w:t xml:space="preserve"> лв., в това число 4</w:t>
      </w:r>
      <w:r>
        <w:t>,3 млн.</w:t>
      </w:r>
      <w:r w:rsidRPr="00150756">
        <w:t xml:space="preserve"> лв. за уреждане на задължение вследствие на преоценката на дяловото участие за 2012 г. и  1</w:t>
      </w:r>
      <w:r>
        <w:t>,</w:t>
      </w:r>
      <w:r w:rsidRPr="00150756">
        <w:t>3</w:t>
      </w:r>
      <w:r>
        <w:t xml:space="preserve"> млн.</w:t>
      </w:r>
      <w:r w:rsidRPr="00150756">
        <w:t xml:space="preserve"> лв. за инкасиране на издадени левови полици с цел покриване на административни разходи на Банката в местна валута (лева).</w:t>
      </w:r>
    </w:p>
    <w:p w:rsidR="000938C1" w:rsidRDefault="000938C1" w:rsidP="00CE5B9C">
      <w:pPr>
        <w:numPr>
          <w:ilvl w:val="0"/>
          <w:numId w:val="42"/>
        </w:numPr>
        <w:tabs>
          <w:tab w:val="clear" w:pos="720"/>
          <w:tab w:val="num" w:pos="0"/>
          <w:tab w:val="left" w:pos="1260"/>
        </w:tabs>
        <w:ind w:left="0" w:right="72" w:firstLine="1080"/>
        <w:jc w:val="both"/>
        <w:rPr>
          <w:i/>
          <w:szCs w:val="20"/>
          <w:lang w:eastAsia="en-US"/>
        </w:rPr>
      </w:pPr>
      <w:r w:rsidRPr="004A3023">
        <w:rPr>
          <w:i/>
          <w:szCs w:val="20"/>
          <w:lang w:eastAsia="en-US"/>
        </w:rPr>
        <w:t>Дялово участие на Република България в капитала и в резервите и провизиите на Европейската инвестиционна банка (ЕИБ)</w:t>
      </w:r>
    </w:p>
    <w:p w:rsidR="000938C1" w:rsidRPr="004A3023" w:rsidRDefault="000938C1" w:rsidP="00CE5B9C">
      <w:pPr>
        <w:ind w:firstLine="720"/>
        <w:jc w:val="both"/>
      </w:pPr>
      <w:r w:rsidRPr="004A3023">
        <w:t>В изпълнение на Решение на Съвета на управителите на ЕИБ от 31.12.2012</w:t>
      </w:r>
      <w:r>
        <w:t xml:space="preserve"> </w:t>
      </w:r>
      <w:r w:rsidRPr="004A3023">
        <w:t>г. за увеличение на записания капитал на ЕИБ с 10 млрд. евро, подкрепено от България с протоколно решение по т. 45 от заседанието на Министерския съвет, на 25.03.2013 г. беше извършено плащането на първата вноска, дължима от България, в увеличението на капитала на Банката, в размер на 17</w:t>
      </w:r>
      <w:r>
        <w:t>,3 млн.</w:t>
      </w:r>
      <w:r w:rsidRPr="004A3023">
        <w:t xml:space="preserve"> л</w:t>
      </w:r>
      <w:r>
        <w:t>е</w:t>
      </w:r>
      <w:r w:rsidRPr="004A3023">
        <w:t>в</w:t>
      </w:r>
      <w:r>
        <w:t>а</w:t>
      </w:r>
      <w:r w:rsidRPr="004A3023">
        <w:t>.</w:t>
      </w:r>
    </w:p>
    <w:p w:rsidR="000938C1" w:rsidRPr="00F103A5" w:rsidRDefault="000938C1" w:rsidP="00CE5B9C">
      <w:pPr>
        <w:numPr>
          <w:ilvl w:val="0"/>
          <w:numId w:val="42"/>
        </w:numPr>
        <w:tabs>
          <w:tab w:val="clear" w:pos="720"/>
          <w:tab w:val="num" w:pos="0"/>
          <w:tab w:val="left" w:pos="1260"/>
        </w:tabs>
        <w:ind w:left="0" w:right="72" w:firstLine="1080"/>
        <w:jc w:val="both"/>
        <w:rPr>
          <w:i/>
          <w:szCs w:val="20"/>
          <w:lang w:eastAsia="en-US"/>
        </w:rPr>
      </w:pPr>
      <w:r w:rsidRPr="00F103A5">
        <w:rPr>
          <w:i/>
          <w:szCs w:val="20"/>
          <w:lang w:eastAsia="en-US"/>
        </w:rPr>
        <w:t>Дялово участие на Република България в увеличения капитал на Черноморската банка за търговия и развитие (ЧБТР)</w:t>
      </w:r>
    </w:p>
    <w:p w:rsidR="000938C1" w:rsidRDefault="000938C1" w:rsidP="00CE5B9C">
      <w:pPr>
        <w:ind w:firstLine="720"/>
        <w:jc w:val="both"/>
      </w:pPr>
      <w:r w:rsidRPr="00BB77D9">
        <w:t>На основание чл.</w:t>
      </w:r>
      <w:r>
        <w:t xml:space="preserve"> </w:t>
      </w:r>
      <w:r w:rsidRPr="00BB77D9">
        <w:t>4 ал.</w:t>
      </w:r>
      <w:r>
        <w:t xml:space="preserve"> </w:t>
      </w:r>
      <w:r w:rsidRPr="00BB77D9">
        <w:t>3 и чл.</w:t>
      </w:r>
      <w:r>
        <w:t xml:space="preserve"> </w:t>
      </w:r>
      <w:r w:rsidRPr="00BB77D9">
        <w:rPr>
          <w:lang w:val="ru-RU"/>
        </w:rPr>
        <w:t>6</w:t>
      </w:r>
      <w:r w:rsidRPr="00BB77D9">
        <w:t xml:space="preserve"> ал.</w:t>
      </w:r>
      <w:r>
        <w:t xml:space="preserve"> </w:t>
      </w:r>
      <w:r w:rsidRPr="00BB77D9">
        <w:t>3 от Споразумението за учредяване на ЧБТР (обн. в ДВ бр.110/96), Решение на НС от 23.05.2008 г. (обн. в ДВ бр.51/2008) и в изпълнение на Решение № 88 от 2.12.2007 г. на Съвета на управителите на ЧБТР, на 14.05.2013 г. бе извършено плащането на дължимата вноска на Република България за 2013 г. от 20</w:t>
      </w:r>
      <w:r>
        <w:t xml:space="preserve"> </w:t>
      </w:r>
      <w:r w:rsidRPr="00BB77D9">
        <w:t>%-то записано дялово участие в увеличения капитал на банката, в размер на 7</w:t>
      </w:r>
      <w:r>
        <w:t>,6 млн.</w:t>
      </w:r>
      <w:r w:rsidRPr="00BB77D9">
        <w:t xml:space="preserve"> лева. Сумата включва равностойността в евро, към датата на превода, на третата вноска за 2013 г. на България от 20</w:t>
      </w:r>
      <w:r>
        <w:t xml:space="preserve"> </w:t>
      </w:r>
      <w:r w:rsidRPr="00BB77D9">
        <w:t>%-то записано дялово участие в увеличения капитал на банката, в размер на 3</w:t>
      </w:r>
      <w:r>
        <w:t xml:space="preserve"> </w:t>
      </w:r>
      <w:r w:rsidRPr="00BB77D9">
        <w:t>375</w:t>
      </w:r>
      <w:r>
        <w:t xml:space="preserve"> </w:t>
      </w:r>
      <w:r w:rsidRPr="00BB77D9">
        <w:t>091 СПТ плюс остатък от платената през 2012 г. вноска в размер на 91 СПТ, получен в резултата на курсовата разлика при превода на вноската.</w:t>
      </w:r>
    </w:p>
    <w:p w:rsidR="000938C1" w:rsidRPr="00BB77D9" w:rsidRDefault="000938C1" w:rsidP="00CE5B9C">
      <w:pPr>
        <w:ind w:firstLine="720"/>
        <w:jc w:val="both"/>
        <w:rPr>
          <w:color w:val="0070C0"/>
          <w:sz w:val="8"/>
          <w:szCs w:val="8"/>
        </w:rPr>
      </w:pPr>
      <w:r w:rsidRPr="001146C1">
        <w:t xml:space="preserve">Във връзка с подписан договор </w:t>
      </w:r>
      <w:r>
        <w:t xml:space="preserve">за безвъзмездна финансова помощ </w:t>
      </w:r>
      <w:r w:rsidRPr="001146C1">
        <w:t>по проект „Прилагане на мерки за подобряване качеството на живот в градовете Бургас, Варна, Стара Загора и Плевен”</w:t>
      </w:r>
      <w:r>
        <w:t xml:space="preserve">, съфинансиран със средства от </w:t>
      </w:r>
      <w:r w:rsidRPr="001146C1">
        <w:t xml:space="preserve">ОП „Околна среда 2007-2013 г.” </w:t>
      </w:r>
      <w:r>
        <w:t xml:space="preserve">към 31.12.2013 г. е извършено увеличение на капитала на съответните общински дружества, отговарящи за тролейбусния транспорт в гореспоменатите градове, в размер на 32,7 млн. лв., които представляват първа вноска от стойността на разходите за придобиване на подвижен състав. </w:t>
      </w:r>
    </w:p>
    <w:p w:rsidR="000938C1" w:rsidRPr="00E66834" w:rsidRDefault="000938C1" w:rsidP="00CE5B9C">
      <w:pPr>
        <w:pStyle w:val="Heading3"/>
        <w:numPr>
          <w:ilvl w:val="2"/>
          <w:numId w:val="72"/>
        </w:numPr>
        <w:rPr>
          <w:rFonts w:ascii="Times New Roman" w:hAnsi="Times New Roman"/>
          <w:sz w:val="24"/>
          <w:lang w:val="bg-BG"/>
        </w:rPr>
      </w:pPr>
      <w:bookmarkStart w:id="249" w:name="_Toc324863434"/>
      <w:bookmarkStart w:id="250" w:name="_Toc326315926"/>
      <w:bookmarkStart w:id="251" w:name="_Toc357527111"/>
      <w:bookmarkStart w:id="252" w:name="_Toc261276598"/>
      <w:bookmarkStart w:id="253" w:name="_Toc393728085"/>
      <w:r w:rsidRPr="00E66834">
        <w:rPr>
          <w:rFonts w:ascii="Times New Roman" w:hAnsi="Times New Roman"/>
          <w:sz w:val="24"/>
          <w:lang w:val="bg-BG"/>
        </w:rPr>
        <w:t>Финансови операции по прилагане на стълб I от Общата селскостопанска политика</w:t>
      </w:r>
      <w:bookmarkEnd w:id="249"/>
      <w:bookmarkEnd w:id="250"/>
      <w:bookmarkEnd w:id="251"/>
      <w:bookmarkEnd w:id="252"/>
      <w:bookmarkEnd w:id="253"/>
    </w:p>
    <w:p w:rsidR="000938C1" w:rsidRPr="00EB5F52" w:rsidRDefault="000938C1" w:rsidP="00CE5B9C">
      <w:pPr>
        <w:ind w:firstLine="720"/>
        <w:jc w:val="both"/>
      </w:pPr>
      <w:bookmarkStart w:id="254" w:name="_Toc136597754"/>
      <w:bookmarkStart w:id="255" w:name="_Toc136601657"/>
      <w:bookmarkStart w:id="256" w:name="_Toc136836517"/>
      <w:bookmarkStart w:id="257" w:name="_Toc136923091"/>
      <w:bookmarkStart w:id="258" w:name="_Toc230007081"/>
      <w:bookmarkStart w:id="259" w:name="_Toc324863435"/>
      <w:r w:rsidRPr="00EB5F52">
        <w:t xml:space="preserve">Финансовото подпомагане на селското стопанство със средства от ЕС се осъществява в следните направления: директни плащания и пазарна подкрепа. </w:t>
      </w:r>
    </w:p>
    <w:p w:rsidR="000938C1" w:rsidRPr="00EB5F52" w:rsidRDefault="000938C1" w:rsidP="00CE5B9C">
      <w:pPr>
        <w:ind w:right="-108" w:firstLine="720"/>
        <w:jc w:val="both"/>
        <w:rPr>
          <w:bCs/>
        </w:rPr>
      </w:pPr>
      <w:r w:rsidRPr="00EB5F52">
        <w:t>Схемите за директни плащания са основната форма за субсидиране на аграрното производство със средства от ЕС, като у нас се прилага схемата за единно плащане на площ (СЕПП). Средствата за тези схеми се предоставят от Европейския фонд за гарантиране на земеделието (ЕФГЗ). През 2013 г. средствата, планирани за директни плащания на земеделските производители, са в размер на 979,7 млн. лв. Изплатените средства за отчетния период възлизат на 960,9 млн. лв. или 98,1 % изпълнение спрямо планираните разчети, като цялата сума е за сметка на ЕФГЗ. Сумата на възстановените от ЕС средства за 2013 г. е 945,7 млн. лева.</w:t>
      </w:r>
    </w:p>
    <w:p w:rsidR="000938C1" w:rsidRPr="00EC2B91" w:rsidRDefault="000938C1" w:rsidP="00CE5B9C">
      <w:pPr>
        <w:ind w:right="-108" w:firstLine="720"/>
        <w:jc w:val="both"/>
      </w:pPr>
      <w:r w:rsidRPr="00EC2B91">
        <w:t xml:space="preserve">През изминалата година средствата от Европейския земеделски фонд за развитие на селските райони </w:t>
      </w:r>
      <w:r w:rsidRPr="00EC2B91">
        <w:rPr>
          <w:lang w:val="ru-RU"/>
        </w:rPr>
        <w:t>(</w:t>
      </w:r>
      <w:r w:rsidRPr="00EC2B91">
        <w:t>ЕЗФРСР</w:t>
      </w:r>
      <w:r w:rsidRPr="00EC2B91">
        <w:rPr>
          <w:lang w:val="ru-RU"/>
        </w:rPr>
        <w:t>)</w:t>
      </w:r>
      <w:r w:rsidRPr="00EC2B91">
        <w:t>, които бяха насочени към преките плащания, са в размер на 309,4 млн. лв., а размерът на възстановените от ЕС средства е 103,0 млн. лв. Целта на това пренасочване е да се компенсира частично разликата във финансирането на българските земеделски производители и производителите в старите държави-членки на ЕС.</w:t>
      </w:r>
    </w:p>
    <w:p w:rsidR="000938C1" w:rsidRPr="00150ECF" w:rsidRDefault="000938C1" w:rsidP="00CE5B9C">
      <w:pPr>
        <w:ind w:firstLine="720"/>
        <w:jc w:val="both"/>
      </w:pPr>
      <w:r w:rsidRPr="00150ECF">
        <w:t xml:space="preserve">Предвидените средства за пазарна подкрепа през 2013 г. са в размер на 89,6 млн. лв. и включват средства, които биха се получавали при интервенция в сектори като зърнени култури, месо, мляко, плодове и зеленчуци; експортни субсидии в повечето сектори; помощи за повишаване консумацията на някои продукти; и подкрепа на организации на производители на плодове и зеленчуци. В тези сектори средствата за пазарна подкрепа се отпускат в зависимост от пазарната ситуация и след решение от страна на Европейската комисия. Размерът на усвоените средства в края на годината е </w:t>
      </w:r>
      <w:r>
        <w:rPr>
          <w:lang w:val="en-US"/>
        </w:rPr>
        <w:t>86</w:t>
      </w:r>
      <w:r>
        <w:t>,</w:t>
      </w:r>
      <w:r>
        <w:rPr>
          <w:lang w:val="en-US"/>
        </w:rPr>
        <w:t>6</w:t>
      </w:r>
      <w:r w:rsidRPr="00150ECF">
        <w:t> млн. лв., при възстановени от ЕС – 72,7 млн. лева.</w:t>
      </w:r>
    </w:p>
    <w:p w:rsidR="000938C1" w:rsidRPr="00150ECF" w:rsidRDefault="000938C1" w:rsidP="00CE5B9C">
      <w:pPr>
        <w:pStyle w:val="Heading3"/>
        <w:numPr>
          <w:ilvl w:val="2"/>
          <w:numId w:val="72"/>
        </w:numPr>
        <w:rPr>
          <w:rFonts w:ascii="Times New Roman" w:hAnsi="Times New Roman"/>
          <w:sz w:val="24"/>
          <w:lang w:val="bg-BG"/>
        </w:rPr>
      </w:pPr>
      <w:bookmarkStart w:id="260" w:name="_Toc326315927"/>
      <w:bookmarkStart w:id="261" w:name="_Toc357527112"/>
      <w:bookmarkStart w:id="262" w:name="_Toc393728086"/>
      <w:r w:rsidRPr="00150ECF">
        <w:rPr>
          <w:rFonts w:ascii="Times New Roman" w:hAnsi="Times New Roman"/>
          <w:sz w:val="24"/>
          <w:lang w:val="bg-BG"/>
        </w:rPr>
        <w:t>Приватизация</w:t>
      </w:r>
      <w:bookmarkEnd w:id="254"/>
      <w:bookmarkEnd w:id="255"/>
      <w:bookmarkEnd w:id="256"/>
      <w:bookmarkEnd w:id="257"/>
      <w:bookmarkEnd w:id="258"/>
      <w:bookmarkEnd w:id="259"/>
      <w:bookmarkEnd w:id="260"/>
      <w:bookmarkEnd w:id="261"/>
      <w:bookmarkEnd w:id="262"/>
    </w:p>
    <w:p w:rsidR="000938C1" w:rsidRPr="00A77663" w:rsidRDefault="000938C1" w:rsidP="00CE5B9C">
      <w:pPr>
        <w:pStyle w:val="Header"/>
        <w:tabs>
          <w:tab w:val="clear" w:pos="4153"/>
          <w:tab w:val="clear" w:pos="8306"/>
        </w:tabs>
        <w:ind w:firstLine="539"/>
        <w:jc w:val="both"/>
      </w:pPr>
      <w:r w:rsidRPr="00A77663">
        <w:t>Общият размер на постъпленията от приватизация за 2013 г. на консолидирана база възлиза на 15,6 млн. лв., в т.ч. средствата от приватизация на общински предприятия в размер на 14,3 млн. лева.</w:t>
      </w:r>
    </w:p>
    <w:p w:rsidR="000938C1" w:rsidRPr="00CF1A14" w:rsidRDefault="000938C1" w:rsidP="00CE5B9C">
      <w:pPr>
        <w:pStyle w:val="Header"/>
        <w:tabs>
          <w:tab w:val="clear" w:pos="4153"/>
          <w:tab w:val="clear" w:pos="8306"/>
        </w:tabs>
        <w:ind w:firstLine="539"/>
        <w:jc w:val="both"/>
        <w:rPr>
          <w:color w:val="0070C0"/>
        </w:rPr>
      </w:pPr>
      <w:r w:rsidRPr="00A77663">
        <w:t xml:space="preserve"> Получените средства по републиканския бюджет са 1,3 млн. лв., при заложени в ЗИД на ЗДБРБ за 2013 г. 140,8 млн. лева. Сред основните причини за неизпълнение на заложените постъпления са прекратяването на приватизационната процедура за „АДИС” ЕООД и отлагането, поради проблеми със собствеността, на продажбите на „Овча купел” ЕООД и „Сортови семена елит” ЕАД, от които дружества се очакваха по-голяма част от постъпленията за отчетната година.</w:t>
      </w:r>
      <w:r>
        <w:t xml:space="preserve"> </w:t>
      </w:r>
      <w:r w:rsidRPr="00A77663">
        <w:rPr>
          <w:bCs/>
        </w:rPr>
        <w:t>Допълнително, през 2013 г. не се реализираха и предварително планираните приватизационни продажби на „ВМЗ” ЕАД, „БФБ-София” АД, „Централен депозитар“ АД и „БДЖ</w:t>
      </w:r>
      <w:r>
        <w:rPr>
          <w:bCs/>
        </w:rPr>
        <w:t xml:space="preserve"> </w:t>
      </w:r>
      <w:r w:rsidRPr="00A77663">
        <w:rPr>
          <w:bCs/>
        </w:rPr>
        <w:t>-</w:t>
      </w:r>
      <w:r>
        <w:rPr>
          <w:bCs/>
        </w:rPr>
        <w:t xml:space="preserve"> </w:t>
      </w:r>
      <w:r w:rsidRPr="00A77663">
        <w:rPr>
          <w:bCs/>
        </w:rPr>
        <w:t>Товарни превози” ЕООД.</w:t>
      </w:r>
      <w:r>
        <w:rPr>
          <w:bCs/>
        </w:rPr>
        <w:t xml:space="preserve"> </w:t>
      </w:r>
      <w:r w:rsidRPr="00862430">
        <w:rPr>
          <w:bCs/>
        </w:rPr>
        <w:t>Липсата на инвеститорски интерес беляза като цяло и провеждането на централизирани публични търгове, организирани от АПСК, на които се предлагаха миноритарни пакети с акции.</w:t>
      </w:r>
    </w:p>
    <w:p w:rsidR="000938C1" w:rsidRPr="00CF1A14" w:rsidRDefault="000938C1" w:rsidP="00CE5B9C">
      <w:pPr>
        <w:pStyle w:val="Header"/>
        <w:tabs>
          <w:tab w:val="clear" w:pos="4153"/>
          <w:tab w:val="clear" w:pos="8306"/>
        </w:tabs>
        <w:ind w:firstLine="540"/>
        <w:jc w:val="both"/>
        <w:rPr>
          <w:color w:val="0070C0"/>
        </w:rPr>
      </w:pPr>
      <w:r w:rsidRPr="008C2FBC">
        <w:t>Приходите от приватизация по общинските бюджети са реализирани в 30 общини, като общия размер е 14</w:t>
      </w:r>
      <w:r>
        <w:t>,</w:t>
      </w:r>
      <w:r w:rsidRPr="008C2FBC">
        <w:t>3 млн. лв. Най-голям  дял в отчетените от общините средства от приватизация заема Столична община с 4</w:t>
      </w:r>
      <w:r>
        <w:t>,</w:t>
      </w:r>
      <w:r w:rsidRPr="008C2FBC">
        <w:t>8 млн. лв., Пазарджик – 3</w:t>
      </w:r>
      <w:r>
        <w:t>,</w:t>
      </w:r>
      <w:r w:rsidRPr="008C2FBC">
        <w:t>3 млн. лв. и Бургас – 1</w:t>
      </w:r>
      <w:r>
        <w:t>,</w:t>
      </w:r>
      <w:r w:rsidRPr="008C2FBC">
        <w:t>2 млн. лв. От останалите общини, които събират под 1</w:t>
      </w:r>
      <w:r>
        <w:t>,</w:t>
      </w:r>
      <w:r w:rsidRPr="008C2FBC">
        <w:t>0 млн. лв. годишно приходи от приватизация, се открояват Полски Тръмбеш (0</w:t>
      </w:r>
      <w:r>
        <w:t>,</w:t>
      </w:r>
      <w:r w:rsidRPr="008C2FBC">
        <w:t>98 млн. лв.), Плевен (0</w:t>
      </w:r>
      <w:r>
        <w:t>,9</w:t>
      </w:r>
      <w:r w:rsidRPr="008C2FBC">
        <w:t>4 млн. лв.) и Сандански (0</w:t>
      </w:r>
      <w:r>
        <w:t>,</w:t>
      </w:r>
      <w:r w:rsidRPr="008C2FBC">
        <w:t>8 млн. лв.).</w:t>
      </w:r>
    </w:p>
    <w:p w:rsidR="000938C1" w:rsidRPr="00CF1A14" w:rsidRDefault="000938C1" w:rsidP="00CE5B9C">
      <w:pPr>
        <w:tabs>
          <w:tab w:val="left" w:pos="5194"/>
        </w:tabs>
        <w:ind w:firstLine="540"/>
        <w:jc w:val="both"/>
        <w:rPr>
          <w:color w:val="0070C0"/>
          <w:sz w:val="8"/>
          <w:szCs w:val="8"/>
        </w:rPr>
      </w:pPr>
    </w:p>
    <w:p w:rsidR="000938C1" w:rsidRPr="00937D06" w:rsidRDefault="000938C1" w:rsidP="00C8025C">
      <w:pPr>
        <w:pStyle w:val="Heading3"/>
        <w:numPr>
          <w:ilvl w:val="2"/>
          <w:numId w:val="72"/>
        </w:numPr>
        <w:spacing w:after="120"/>
        <w:rPr>
          <w:rFonts w:ascii="Times New Roman" w:hAnsi="Times New Roman"/>
          <w:sz w:val="24"/>
          <w:lang w:val="bg-BG"/>
        </w:rPr>
      </w:pPr>
      <w:bookmarkStart w:id="263" w:name="_Toc202754021"/>
      <w:bookmarkStart w:id="264" w:name="_Toc230007082"/>
      <w:bookmarkStart w:id="265" w:name="_Toc324863436"/>
      <w:bookmarkStart w:id="266" w:name="_Toc326315928"/>
      <w:bookmarkStart w:id="267" w:name="_Toc357527113"/>
      <w:bookmarkStart w:id="268" w:name="_Toc393728087"/>
      <w:r w:rsidRPr="00937D06">
        <w:rPr>
          <w:rFonts w:ascii="Times New Roman" w:hAnsi="Times New Roman"/>
          <w:sz w:val="24"/>
          <w:lang w:val="bg-BG"/>
        </w:rPr>
        <w:t>Средства, акумулирани по сметка на Държавния фонд за гарантиране  устойчивост на държавната пенсионна система</w:t>
      </w:r>
      <w:bookmarkEnd w:id="263"/>
      <w:bookmarkEnd w:id="264"/>
      <w:bookmarkEnd w:id="265"/>
      <w:bookmarkEnd w:id="266"/>
      <w:bookmarkEnd w:id="267"/>
      <w:bookmarkEnd w:id="268"/>
    </w:p>
    <w:p w:rsidR="000938C1" w:rsidRPr="00937D06" w:rsidRDefault="000938C1" w:rsidP="00C8025C">
      <w:pPr>
        <w:widowControl w:val="0"/>
        <w:autoSpaceDE w:val="0"/>
        <w:autoSpaceDN w:val="0"/>
        <w:adjustRightInd w:val="0"/>
        <w:spacing w:after="120"/>
        <w:ind w:firstLine="708"/>
        <w:jc w:val="both"/>
      </w:pPr>
      <w:r w:rsidRPr="00937D06">
        <w:t xml:space="preserve">Общият паричен ресурс към 31.12.2013 г. по сметка на Държавния фонд за гарантиране устойчивост на държавната пенсионна система в Българска народна банка е в размер на </w:t>
      </w:r>
      <w:r w:rsidRPr="00937D06">
        <w:rPr>
          <w:b/>
          <w:lang w:val="ru-RU"/>
        </w:rPr>
        <w:t>2 332,0</w:t>
      </w:r>
      <w:r w:rsidRPr="00937D06">
        <w:rPr>
          <w:b/>
        </w:rPr>
        <w:t xml:space="preserve"> млн. лв.</w:t>
      </w:r>
      <w:r w:rsidRPr="00937D06">
        <w:t xml:space="preserve"> В тази сума са включени:</w:t>
      </w:r>
    </w:p>
    <w:p w:rsidR="000938C1" w:rsidRPr="00937D06" w:rsidRDefault="000938C1" w:rsidP="00C8025C">
      <w:pPr>
        <w:widowControl w:val="0"/>
        <w:numPr>
          <w:ilvl w:val="0"/>
          <w:numId w:val="29"/>
        </w:numPr>
        <w:tabs>
          <w:tab w:val="clear" w:pos="1635"/>
          <w:tab w:val="num" w:pos="900"/>
        </w:tabs>
        <w:autoSpaceDE w:val="0"/>
        <w:autoSpaceDN w:val="0"/>
        <w:adjustRightInd w:val="0"/>
        <w:spacing w:after="120"/>
        <w:ind w:left="1633" w:hanging="913"/>
        <w:jc w:val="both"/>
      </w:pPr>
      <w:r w:rsidRPr="00937D06">
        <w:t xml:space="preserve">наличност на 01.01.2013 г. – </w:t>
      </w:r>
      <w:r w:rsidRPr="00937D06">
        <w:rPr>
          <w:b/>
        </w:rPr>
        <w:t>2 086,9 млн. лв.</w:t>
      </w:r>
    </w:p>
    <w:p w:rsidR="000938C1" w:rsidRPr="00937D06" w:rsidRDefault="000938C1" w:rsidP="00C8025C">
      <w:pPr>
        <w:widowControl w:val="0"/>
        <w:numPr>
          <w:ilvl w:val="0"/>
          <w:numId w:val="29"/>
        </w:numPr>
        <w:tabs>
          <w:tab w:val="clear" w:pos="1635"/>
          <w:tab w:val="num" w:pos="900"/>
        </w:tabs>
        <w:autoSpaceDE w:val="0"/>
        <w:autoSpaceDN w:val="0"/>
        <w:adjustRightInd w:val="0"/>
        <w:spacing w:after="120"/>
        <w:ind w:left="1633" w:hanging="913"/>
        <w:jc w:val="both"/>
      </w:pPr>
      <w:r w:rsidRPr="00937D06">
        <w:t xml:space="preserve">трансфер от централния бюджет – </w:t>
      </w:r>
      <w:r w:rsidRPr="00937D06">
        <w:rPr>
          <w:b/>
        </w:rPr>
        <w:t>245,1 млн. лв.</w:t>
      </w:r>
      <w:r w:rsidRPr="00937D06">
        <w:t>, от тях:</w:t>
      </w:r>
    </w:p>
    <w:p w:rsidR="000938C1" w:rsidRPr="009632EB" w:rsidRDefault="000938C1" w:rsidP="00C8025C">
      <w:pPr>
        <w:pStyle w:val="Header"/>
        <w:spacing w:after="120"/>
        <w:ind w:firstLine="720"/>
        <w:jc w:val="both"/>
        <w:rPr>
          <w:lang w:val="ru-RU"/>
        </w:rPr>
      </w:pPr>
      <w:r w:rsidRPr="009632EB">
        <w:rPr>
          <w:lang w:val="ru-RU"/>
        </w:rPr>
        <w:t xml:space="preserve">  56,3 млн. лв. – парични постъпления от приватизация, отчетени по републиканския бюджет за 2012 г. (чл.</w:t>
      </w:r>
      <w:r>
        <w:rPr>
          <w:lang w:val="ru-RU"/>
        </w:rPr>
        <w:t xml:space="preserve"> </w:t>
      </w:r>
      <w:r w:rsidRPr="009632EB">
        <w:rPr>
          <w:lang w:val="ru-RU"/>
        </w:rPr>
        <w:t>11, ал.</w:t>
      </w:r>
      <w:r>
        <w:rPr>
          <w:lang w:val="ru-RU"/>
        </w:rPr>
        <w:t xml:space="preserve"> </w:t>
      </w:r>
      <w:r w:rsidRPr="009632EB">
        <w:rPr>
          <w:lang w:val="ru-RU"/>
        </w:rPr>
        <w:t>1, т.</w:t>
      </w:r>
      <w:r>
        <w:rPr>
          <w:lang w:val="ru-RU"/>
        </w:rPr>
        <w:t xml:space="preserve"> </w:t>
      </w:r>
      <w:r w:rsidRPr="009632EB">
        <w:rPr>
          <w:lang w:val="ru-RU"/>
        </w:rPr>
        <w:t>1 от Закона за Държавния фонд за гарантиране устойчивост на държавната пенсионна система);</w:t>
      </w:r>
    </w:p>
    <w:p w:rsidR="000938C1" w:rsidRPr="009632EB" w:rsidRDefault="000938C1" w:rsidP="00C8025C">
      <w:pPr>
        <w:pStyle w:val="Header"/>
        <w:spacing w:after="120"/>
        <w:ind w:firstLine="720"/>
        <w:jc w:val="both"/>
        <w:rPr>
          <w:lang w:val="ru-RU"/>
        </w:rPr>
      </w:pPr>
      <w:r w:rsidRPr="009632EB">
        <w:rPr>
          <w:lang w:val="ru-RU"/>
        </w:rPr>
        <w:t xml:space="preserve">  186,6 млн. лв. - приходи от концесии, отчетени по републиканския бюджет за 2012 г. (чл.</w:t>
      </w:r>
      <w:r>
        <w:rPr>
          <w:lang w:val="ru-RU"/>
        </w:rPr>
        <w:t xml:space="preserve"> </w:t>
      </w:r>
      <w:r w:rsidRPr="009632EB">
        <w:rPr>
          <w:lang w:val="ru-RU"/>
        </w:rPr>
        <w:t>11, ал.</w:t>
      </w:r>
      <w:r>
        <w:rPr>
          <w:lang w:val="ru-RU"/>
        </w:rPr>
        <w:t xml:space="preserve"> </w:t>
      </w:r>
      <w:r w:rsidRPr="009632EB">
        <w:rPr>
          <w:lang w:val="ru-RU"/>
        </w:rPr>
        <w:t>1, т.</w:t>
      </w:r>
      <w:r>
        <w:rPr>
          <w:lang w:val="ru-RU"/>
        </w:rPr>
        <w:t xml:space="preserve"> </w:t>
      </w:r>
      <w:r w:rsidRPr="009632EB">
        <w:rPr>
          <w:lang w:val="ru-RU"/>
        </w:rPr>
        <w:t>3 от Закона за Държавния фонд за гарантиране устойчивост на държавната пенсионна система);</w:t>
      </w:r>
    </w:p>
    <w:p w:rsidR="000938C1" w:rsidRPr="009632EB" w:rsidRDefault="000938C1" w:rsidP="00C8025C">
      <w:pPr>
        <w:pStyle w:val="Header"/>
        <w:spacing w:after="120"/>
        <w:ind w:firstLine="720"/>
        <w:jc w:val="both"/>
        <w:rPr>
          <w:lang w:val="ru-RU"/>
        </w:rPr>
      </w:pPr>
      <w:r w:rsidRPr="009632EB">
        <w:rPr>
          <w:lang w:val="ru-RU"/>
        </w:rPr>
        <w:t xml:space="preserve">   2,2 млн. лв. - приходи от други източници, определени със закон или с акт на Министерския съвет - средства от глоби, имуществени санкции и неустойки, свързани с приватизационния процес по реда на чл.</w:t>
      </w:r>
      <w:r>
        <w:rPr>
          <w:lang w:val="ru-RU"/>
        </w:rPr>
        <w:t xml:space="preserve"> </w:t>
      </w:r>
      <w:r w:rsidRPr="009632EB">
        <w:rPr>
          <w:lang w:val="ru-RU"/>
        </w:rPr>
        <w:t>8, ал.</w:t>
      </w:r>
      <w:r>
        <w:rPr>
          <w:lang w:val="ru-RU"/>
        </w:rPr>
        <w:t xml:space="preserve"> </w:t>
      </w:r>
      <w:r w:rsidRPr="009632EB">
        <w:rPr>
          <w:lang w:val="ru-RU"/>
        </w:rPr>
        <w:t>8 (2) от Закона за приватизация и следприватизационен контрол (чл.</w:t>
      </w:r>
      <w:r>
        <w:rPr>
          <w:lang w:val="ru-RU"/>
        </w:rPr>
        <w:t xml:space="preserve"> </w:t>
      </w:r>
      <w:r w:rsidRPr="009632EB">
        <w:rPr>
          <w:lang w:val="ru-RU"/>
        </w:rPr>
        <w:t>11, ал.</w:t>
      </w:r>
      <w:r>
        <w:rPr>
          <w:lang w:val="ru-RU"/>
        </w:rPr>
        <w:t xml:space="preserve"> </w:t>
      </w:r>
      <w:r w:rsidRPr="009632EB">
        <w:rPr>
          <w:lang w:val="ru-RU"/>
        </w:rPr>
        <w:t>1, т.</w:t>
      </w:r>
      <w:r>
        <w:rPr>
          <w:lang w:val="ru-RU"/>
        </w:rPr>
        <w:t xml:space="preserve"> </w:t>
      </w:r>
      <w:r w:rsidRPr="009632EB">
        <w:rPr>
          <w:lang w:val="ru-RU"/>
        </w:rPr>
        <w:t>4 от Закона за Държавния фонд за гарантиране устойчивост на държавната пенсионна система).</w:t>
      </w:r>
    </w:p>
    <w:p w:rsidR="000938C1" w:rsidRPr="00CF1A14" w:rsidRDefault="000938C1" w:rsidP="00C8025C">
      <w:pPr>
        <w:pStyle w:val="Header"/>
        <w:spacing w:after="120"/>
        <w:ind w:firstLine="720"/>
        <w:jc w:val="both"/>
        <w:rPr>
          <w:color w:val="0070C0"/>
        </w:rPr>
      </w:pPr>
      <w:r w:rsidRPr="009632EB">
        <w:rPr>
          <w:lang w:val="ru-RU"/>
        </w:rPr>
        <w:t>За сумата от 2 332,0 млн. лв. е открита депозитна сметка в Българска народна банка</w:t>
      </w:r>
      <w:r w:rsidRPr="009632EB">
        <w:t>.</w:t>
      </w:r>
    </w:p>
    <w:p w:rsidR="000938C1" w:rsidRPr="002255D3" w:rsidRDefault="000938C1" w:rsidP="00CE5B9C">
      <w:pPr>
        <w:widowControl w:val="0"/>
        <w:autoSpaceDE w:val="0"/>
        <w:autoSpaceDN w:val="0"/>
        <w:adjustRightInd w:val="0"/>
        <w:spacing w:after="120"/>
        <w:ind w:firstLine="708"/>
        <w:jc w:val="both"/>
        <w:rPr>
          <w:lang w:val="ru-RU"/>
        </w:rPr>
      </w:pPr>
      <w:r w:rsidRPr="009632EB">
        <w:t>Отчетът за касовото изпълнение на фонда за периода 01.01.2013 г. – 31.12.2013 г. е представен в следната таблица</w:t>
      </w:r>
      <w:r w:rsidRPr="002255D3">
        <w:rPr>
          <w:lang w:val="ru-RU"/>
        </w:rPr>
        <w:t>:</w:t>
      </w:r>
    </w:p>
    <w:p w:rsidR="000938C1" w:rsidRPr="00CF1A14" w:rsidRDefault="000938C1" w:rsidP="0004270E">
      <w:pPr>
        <w:jc w:val="both"/>
        <w:rPr>
          <w:color w:val="0070C0"/>
        </w:rPr>
      </w:pPr>
      <w:r>
        <w:rPr>
          <w:noProof/>
        </w:rPr>
      </w:r>
      <w:r w:rsidRPr="007E11A3">
        <w:rPr>
          <w:noProof/>
        </w:rPr>
        <w:pict>
          <v:group id="Canvas 151" o:spid="_x0000_s1027" editas="canvas" style="width:458.4pt;height:328.8pt;mso-position-horizontal-relative:char;mso-position-vertical-relative:line" coordsize="58216,41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">
            <v:shape id="_x0000_s1028" type="#_x0000_t75" style="position:absolute;width:58216;height:41757;visibility:visible">
              <v:fill o:detectmouseclick="t"/>
              <v:path o:connecttype="none"/>
            </v:shape>
            <v:rect id="Rectangle 6" o:spid="_x0000_s1029" style="position:absolute;top:107;width:58216;height:406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AR8QA&#10;AADaAAAADwAAAGRycy9kb3ducmV2LnhtbESPW2sCMRSE3wv+h3CEvtVEsaWsRhGlUtqHUi/vh+S4&#10;u7o52W6yl/77plDo4zAz3zDL9eAq0VETSs8aphMFgth4W3Ku4XR8eXgGESKyxcozafimAOvV6G6J&#10;mfU9f1J3iLlIEA4ZaihirDMpgynIYZj4mjh5F984jEk2ubQN9gnuKjlT6kk6LDktFFjTtiBzO7RO&#10;g1JvZt9de/O+O399tLNdW86HVuv78bBZgIg0xP/wX/vVaniE3yvpBs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gEfEAAAA2gAAAA8AAAAAAAAAAAAAAAAAmAIAAGRycy9k&#10;b3ducmV2LnhtbFBLBQYAAAAABAAEAPUAAACJAwAAAAA=&#10;" fillcolor="#ff9" stroked="f"/>
            <v:rect id="Rectangle 7" o:spid="_x0000_s1030" style="position:absolute;left:1988;top:108;width:4362;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rsidR="000938C1" w:rsidRDefault="000938C1" w:rsidP="0004270E">
                    <w:r>
                      <w:rPr>
                        <w:color w:val="000000"/>
                        <w:sz w:val="14"/>
                        <w:szCs w:val="14"/>
                      </w:rPr>
                      <w:t>Показатели</w:t>
                    </w:r>
                  </w:p>
                </w:txbxContent>
              </v:textbox>
            </v:rect>
            <v:rect id="Rectangle 8" o:spid="_x0000_s1031" style="position:absolute;left:53936;top:108;width:2000;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rsidR="000938C1" w:rsidRDefault="000938C1" w:rsidP="0004270E">
                    <w:r>
                      <w:rPr>
                        <w:color w:val="000000"/>
                        <w:sz w:val="14"/>
                        <w:szCs w:val="14"/>
                      </w:rPr>
                      <w:t>Сума</w:t>
                    </w:r>
                  </w:p>
                </w:txbxContent>
              </v:textbox>
            </v:rect>
            <v:rect id="Rectangle 9" o:spid="_x0000_s1032" style="position:absolute;left:53238;top:1238;width:3486;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rsidR="000938C1" w:rsidRDefault="000938C1" w:rsidP="0004270E">
                    <w:r>
                      <w:rPr>
                        <w:color w:val="000000"/>
                        <w:sz w:val="14"/>
                        <w:szCs w:val="14"/>
                      </w:rPr>
                      <w:t>(хил. лв.)</w:t>
                    </w:r>
                  </w:p>
                </w:txbxContent>
              </v:textbox>
            </v:rect>
            <v:rect id="Rectangle 10" o:spid="_x0000_s1033" style="position:absolute;left:53777;top:2362;width:2267;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rsidR="000938C1" w:rsidRDefault="000938C1" w:rsidP="0004270E">
                    <w:r>
                      <w:rPr>
                        <w:color w:val="000000"/>
                        <w:sz w:val="14"/>
                        <w:szCs w:val="14"/>
                      </w:rPr>
                      <w:t>Отчет</w:t>
                    </w:r>
                  </w:p>
                </w:txbxContent>
              </v:textbox>
            </v:rect>
            <v:rect id="Rectangle 11" o:spid="_x0000_s1034" style="position:absolute;left:3867;top:3491;width:451;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0938C1" w:rsidRDefault="000938C1" w:rsidP="0004270E">
                    <w:r>
                      <w:rPr>
                        <w:color w:val="000000"/>
                        <w:sz w:val="14"/>
                        <w:szCs w:val="14"/>
                      </w:rPr>
                      <w:t>1</w:t>
                    </w:r>
                  </w:p>
                </w:txbxContent>
              </v:textbox>
            </v:rect>
            <v:rect id="Rectangle 12" o:spid="_x0000_s1035" style="position:absolute;left:54692;top:3491;width:451;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0938C1" w:rsidRDefault="000938C1" w:rsidP="0004270E">
                    <w:r>
                      <w:rPr>
                        <w:color w:val="000000"/>
                        <w:sz w:val="14"/>
                        <w:szCs w:val="14"/>
                      </w:rPr>
                      <w:t>2</w:t>
                    </w:r>
                  </w:p>
                </w:txbxContent>
              </v:textbox>
            </v:rect>
            <v:rect id="Rectangle 13" o:spid="_x0000_s1036" style="position:absolute;left:159;top:5753;width:520;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rsidR="000938C1" w:rsidRDefault="000938C1" w:rsidP="0004270E">
                    <w:r>
                      <w:rPr>
                        <w:color w:val="000000"/>
                        <w:sz w:val="14"/>
                        <w:szCs w:val="14"/>
                      </w:rPr>
                      <w:t>I.</w:t>
                    </w:r>
                  </w:p>
                </w:txbxContent>
              </v:textbox>
            </v:rect>
            <v:rect id="Rectangle 14" o:spid="_x0000_s1037" style="position:absolute;left:2470;top:5753;width:4312;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rsidR="000938C1" w:rsidRDefault="000938C1" w:rsidP="0004270E">
                    <w:r>
                      <w:rPr>
                        <w:color w:val="000000"/>
                        <w:sz w:val="14"/>
                        <w:szCs w:val="14"/>
                      </w:rPr>
                      <w:t>ПРИХОДИ</w:t>
                    </w:r>
                  </w:p>
                </w:txbxContent>
              </v:textbox>
            </v:rect>
            <v:rect id="Rectangle 15" o:spid="_x0000_s1038" style="position:absolute;left:56305;top:5752;width:1117;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rsidR="000938C1" w:rsidRDefault="000938C1" w:rsidP="0004270E">
                    <w:r>
                      <w:rPr>
                        <w:color w:val="000000"/>
                        <w:sz w:val="14"/>
                        <w:szCs w:val="14"/>
                      </w:rPr>
                      <w:t>0,0</w:t>
                    </w:r>
                  </w:p>
                </w:txbxContent>
              </v:textbox>
            </v:rect>
            <v:rect id="Rectangle 16" o:spid="_x0000_s1039" style="position:absolute;left:159;top:8007;width:819;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0938C1" w:rsidRDefault="000938C1" w:rsidP="0004270E">
                    <w:r>
                      <w:rPr>
                        <w:color w:val="000000"/>
                        <w:sz w:val="14"/>
                        <w:szCs w:val="14"/>
                      </w:rPr>
                      <w:t xml:space="preserve">II. </w:t>
                    </w:r>
                  </w:p>
                </w:txbxContent>
              </v:textbox>
            </v:rect>
            <v:rect id="Rectangle 17" o:spid="_x0000_s1040" style="position:absolute;left:2470;top:8007;width:4115;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fit-shape-to-text:t" inset="0,0,0,0">
                <w:txbxContent>
                  <w:p w:rsidR="000938C1" w:rsidRDefault="000938C1" w:rsidP="0004270E">
                    <w:r>
                      <w:rPr>
                        <w:color w:val="000000"/>
                        <w:sz w:val="14"/>
                        <w:szCs w:val="14"/>
                      </w:rPr>
                      <w:t>РАЗХОДИ</w:t>
                    </w:r>
                  </w:p>
                </w:txbxContent>
              </v:textbox>
            </v:rect>
            <v:rect id="Rectangle 18" o:spid="_x0000_s1041" style="position:absolute;left:56305;top:8006;width:1117;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rsidR="000938C1" w:rsidRDefault="000938C1" w:rsidP="0004270E">
                    <w:r>
                      <w:rPr>
                        <w:color w:val="000000"/>
                        <w:sz w:val="14"/>
                        <w:szCs w:val="14"/>
                      </w:rPr>
                      <w:t>0,0</w:t>
                    </w:r>
                  </w:p>
                </w:txbxContent>
              </v:textbox>
            </v:rect>
            <v:rect id="Rectangle 19" o:spid="_x0000_s1042" style="position:absolute;left:159;top:10268;width:1111;height:20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rsidR="000938C1" w:rsidRDefault="000938C1" w:rsidP="0004270E">
                    <w:r>
                      <w:rPr>
                        <w:color w:val="000000"/>
                        <w:sz w:val="14"/>
                        <w:szCs w:val="14"/>
                      </w:rPr>
                      <w:t xml:space="preserve">III. </w:t>
                    </w:r>
                  </w:p>
                </w:txbxContent>
              </v:textbox>
            </v:rect>
            <v:rect id="Rectangle 20" o:spid="_x0000_s1043" style="position:absolute;left:2470;top:10268;width:14306;height:20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rsidR="000938C1" w:rsidRDefault="000938C1" w:rsidP="0004270E">
                    <w:r>
                      <w:rPr>
                        <w:color w:val="000000"/>
                        <w:sz w:val="14"/>
                        <w:szCs w:val="14"/>
                      </w:rPr>
                      <w:t>ТРАНСФЕРИ (СУБСИДИИ) -  НЕТО</w:t>
                    </w:r>
                  </w:p>
                </w:txbxContent>
              </v:textbox>
            </v:rect>
            <v:rect id="Rectangle 21" o:spid="_x0000_s1044" style="position:absolute;left:53936;top:10266;width:3562;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rsidR="000938C1" w:rsidRDefault="000938C1" w:rsidP="0004270E">
                    <w:r>
                      <w:rPr>
                        <w:color w:val="000000"/>
                        <w:sz w:val="14"/>
                        <w:szCs w:val="14"/>
                      </w:rPr>
                      <w:t>245 132,3</w:t>
                    </w:r>
                  </w:p>
                </w:txbxContent>
              </v:textbox>
            </v:rect>
            <v:rect id="Rectangle 22" o:spid="_x0000_s1045" style="position:absolute;left:158;top:12521;width:673;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rsidR="000938C1" w:rsidRDefault="000938C1" w:rsidP="0004270E">
                    <w:r>
                      <w:rPr>
                        <w:color w:val="000000"/>
                        <w:sz w:val="14"/>
                        <w:szCs w:val="14"/>
                      </w:rPr>
                      <w:t>1.</w:t>
                    </w:r>
                  </w:p>
                </w:txbxContent>
              </v:textbox>
            </v:rect>
            <v:rect id="Rectangle 23" o:spid="_x0000_s1046" style="position:absolute;left:2470;top:12522;width:15875;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0938C1" w:rsidRDefault="000938C1" w:rsidP="0004270E">
                    <w:r>
                      <w:rPr>
                        <w:color w:val="000000"/>
                        <w:sz w:val="14"/>
                        <w:szCs w:val="14"/>
                      </w:rPr>
                      <w:t>Получен трансфер от централния бюджет</w:t>
                    </w:r>
                  </w:p>
                </w:txbxContent>
              </v:textbox>
            </v:rect>
            <v:rect id="Rectangle 24" o:spid="_x0000_s1047" style="position:absolute;left:53936;top:12521;width:3562;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0938C1" w:rsidRDefault="000938C1" w:rsidP="0004270E">
                    <w:r>
                      <w:rPr>
                        <w:color w:val="000000"/>
                        <w:sz w:val="14"/>
                        <w:szCs w:val="14"/>
                      </w:rPr>
                      <w:t>245 132,3</w:t>
                    </w:r>
                  </w:p>
                </w:txbxContent>
              </v:textbox>
            </v:rect>
            <v:rect id="Rectangle 25" o:spid="_x0000_s1048" style="position:absolute;left:158;top:13651;width:1340;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rsidR="000938C1" w:rsidRDefault="000938C1" w:rsidP="0004270E">
                    <w:r>
                      <w:rPr>
                        <w:color w:val="000000"/>
                        <w:sz w:val="14"/>
                        <w:szCs w:val="14"/>
                      </w:rPr>
                      <w:t>1.1.</w:t>
                    </w:r>
                  </w:p>
                </w:txbxContent>
              </v:textbox>
            </v:rect>
            <v:rect id="Rectangle 26" o:spid="_x0000_s1049" style="position:absolute;left:2470;top:13652;width:36106;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rsidR="000938C1" w:rsidRDefault="000938C1" w:rsidP="0004270E">
                    <w:r>
                      <w:rPr>
                        <w:color w:val="000000"/>
                        <w:sz w:val="14"/>
                        <w:szCs w:val="14"/>
                      </w:rPr>
                      <w:t xml:space="preserve">По чл.11, ал.1 от Закона за гарантиране устойчивост на държавната пенсионна система, от тях: </w:t>
                    </w:r>
                  </w:p>
                </w:txbxContent>
              </v:textbox>
            </v:rect>
            <v:rect id="Rectangle 27" o:spid="_x0000_s1050" style="position:absolute;left:53936;top:13651;width:3562;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rsidR="000938C1" w:rsidRDefault="000938C1" w:rsidP="0004270E">
                    <w:r>
                      <w:rPr>
                        <w:color w:val="000000"/>
                        <w:sz w:val="14"/>
                        <w:szCs w:val="14"/>
                      </w:rPr>
                      <w:t>245 132,3</w:t>
                    </w:r>
                  </w:p>
                </w:txbxContent>
              </v:textbox>
            </v:rect>
            <v:rect id="Rectangle 28" o:spid="_x0000_s1051" style="position:absolute;left:159;top:14782;width:692;height:175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rsidR="000938C1" w:rsidRDefault="000938C1" w:rsidP="0004270E"/>
                </w:txbxContent>
              </v:textbox>
            </v:rect>
            <v:rect id="Rectangle 29" o:spid="_x0000_s1052" style="position:absolute;left:2470;top:14783;width:43815;height:20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0938C1" w:rsidRDefault="000938C1" w:rsidP="0004270E">
                    <w:r>
                      <w:rPr>
                        <w:color w:val="000000"/>
                        <w:sz w:val="14"/>
                        <w:szCs w:val="14"/>
                      </w:rPr>
                      <w:t xml:space="preserve"> - парични постъпления от приватизация, отчетени по републиканския бюджет за 2012 г. (чл.11, ал.1, т.1 от закона)</w:t>
                    </w:r>
                  </w:p>
                </w:txbxContent>
              </v:textbox>
            </v:rect>
            <v:rect id="Rectangle 30" o:spid="_x0000_s1053" style="position:absolute;left:54368;top:14781;width:3118;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0938C1" w:rsidRDefault="000938C1" w:rsidP="0004270E">
                    <w:r>
                      <w:rPr>
                        <w:color w:val="000000"/>
                        <w:sz w:val="14"/>
                        <w:szCs w:val="14"/>
                      </w:rPr>
                      <w:t>56 258,4</w:t>
                    </w:r>
                  </w:p>
                </w:txbxContent>
              </v:textbox>
            </v:rect>
            <v:rect id="Rectangle 31" o:spid="_x0000_s1054" style="position:absolute;left:2470;top:15913;width:37166;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rsidR="000938C1" w:rsidRDefault="000938C1" w:rsidP="0004270E">
                    <w:r>
                      <w:rPr>
                        <w:color w:val="000000"/>
                        <w:sz w:val="14"/>
                        <w:szCs w:val="14"/>
                      </w:rPr>
                      <w:t xml:space="preserve"> - приходи от концесии, отчетени по републиканския бюджет за 2012 г. (чл.11, ал.1, т.3 от закона)</w:t>
                    </w:r>
                  </w:p>
                </w:txbxContent>
              </v:textbox>
            </v:rect>
            <v:rect id="Rectangle 32" o:spid="_x0000_s1055" style="position:absolute;left:53936;top:15912;width:3562;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rsidR="000938C1" w:rsidRDefault="000938C1" w:rsidP="0004270E">
                    <w:r>
                      <w:rPr>
                        <w:color w:val="000000"/>
                        <w:sz w:val="14"/>
                        <w:szCs w:val="14"/>
                      </w:rPr>
                      <w:t>186 634,6</w:t>
                    </w:r>
                  </w:p>
                </w:txbxContent>
              </v:textbox>
            </v:rect>
            <v:rect id="Rectangle 33" o:spid="_x0000_s1056" style="position:absolute;left:2470;top:16878;width:50177;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rsidR="000938C1" w:rsidRDefault="000938C1" w:rsidP="0004270E">
                    <w:r>
                      <w:rPr>
                        <w:color w:val="000000"/>
                        <w:sz w:val="14"/>
                        <w:szCs w:val="14"/>
                      </w:rPr>
                      <w:t xml:space="preserve"> - приходи от други източници, определени със закон или с акт на Министерския съвет - средства от глоби, имуществени санкции и </w:t>
                    </w:r>
                  </w:p>
                </w:txbxContent>
              </v:textbox>
            </v:rect>
            <v:rect id="Rectangle 34" o:spid="_x0000_s1057" style="position:absolute;left:2470;top:18008;width:42583;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rsidR="000938C1" w:rsidRDefault="000938C1" w:rsidP="0004270E">
                    <w:r>
                      <w:rPr>
                        <w:color w:val="000000"/>
                        <w:sz w:val="14"/>
                        <w:szCs w:val="14"/>
                      </w:rPr>
                      <w:t xml:space="preserve">    неустойки, свързани с приватизационния процес по реда на чл. 8, ал. 8 (2) от ЗПСК (чл.11, ал.1, т.4 от закона)</w:t>
                    </w:r>
                  </w:p>
                </w:txbxContent>
              </v:textbox>
            </v:rect>
            <v:rect id="Rectangle 35" o:spid="_x0000_s1058" style="position:absolute;left:54800;top:18007;width:2673;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rsidR="000938C1" w:rsidRDefault="000938C1" w:rsidP="0004270E">
                    <w:r>
                      <w:rPr>
                        <w:color w:val="000000"/>
                        <w:sz w:val="14"/>
                        <w:szCs w:val="14"/>
                      </w:rPr>
                      <w:t>2 239,2</w:t>
                    </w:r>
                  </w:p>
                </w:txbxContent>
              </v:textbox>
            </v:rect>
            <v:rect id="Rectangle 36" o:spid="_x0000_s1059" style="position:absolute;left:159;top:20263;width:1162;height:20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rsidR="000938C1" w:rsidRDefault="000938C1" w:rsidP="0004270E">
                    <w:r>
                      <w:rPr>
                        <w:color w:val="000000"/>
                        <w:sz w:val="14"/>
                        <w:szCs w:val="14"/>
                      </w:rPr>
                      <w:t>ІV.</w:t>
                    </w:r>
                  </w:p>
                </w:txbxContent>
              </v:textbox>
            </v:rect>
            <v:rect id="Rectangle 37" o:spid="_x0000_s1060" style="position:absolute;left:2470;top:20256;width:15723;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rsidR="000938C1" w:rsidRDefault="000938C1" w:rsidP="0004270E">
                    <w:r w:rsidRPr="00211C5E">
                      <w:rPr>
                        <w:b/>
                        <w:iCs/>
                        <w:color w:val="000000"/>
                        <w:sz w:val="14"/>
                        <w:szCs w:val="14"/>
                      </w:rPr>
                      <w:t>БЮДЖЕТНОСАЛДО(ИЗЛИШЪК</w:t>
                    </w:r>
                    <w:r>
                      <w:rPr>
                        <w:i/>
                        <w:iCs/>
                        <w:color w:val="000000"/>
                        <w:sz w:val="14"/>
                        <w:szCs w:val="14"/>
                      </w:rPr>
                      <w:t>) (+)</w:t>
                    </w:r>
                  </w:p>
                </w:txbxContent>
              </v:textbox>
            </v:rect>
            <v:rect id="Rectangle 38" o:spid="_x0000_s1061" style="position:absolute;left:53936;top:20261;width:3562;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rsidR="000938C1" w:rsidRDefault="000938C1" w:rsidP="0004270E">
                    <w:r>
                      <w:rPr>
                        <w:color w:val="000000"/>
                        <w:sz w:val="14"/>
                        <w:szCs w:val="14"/>
                      </w:rPr>
                      <w:t>245 132,3</w:t>
                    </w:r>
                  </w:p>
                </w:txbxContent>
              </v:textbox>
            </v:rect>
            <v:rect id="Rectangle 39" o:spid="_x0000_s1062" style="position:absolute;left:159;top:22523;width:870;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rsidR="000938C1" w:rsidRDefault="000938C1" w:rsidP="0004270E">
                    <w:r>
                      <w:rPr>
                        <w:color w:val="000000"/>
                        <w:sz w:val="14"/>
                        <w:szCs w:val="14"/>
                      </w:rPr>
                      <w:t>V.</w:t>
                    </w:r>
                  </w:p>
                </w:txbxContent>
              </v:textbox>
            </v:rect>
            <v:rect id="Rectangle 40" o:spid="_x0000_s1063" style="position:absolute;left:2470;top:22510;width:6833;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rsidR="000938C1" w:rsidRDefault="000938C1" w:rsidP="0004270E">
                    <w:r w:rsidRPr="009632EB">
                      <w:rPr>
                        <w:iCs/>
                        <w:color w:val="000000"/>
                        <w:sz w:val="14"/>
                        <w:szCs w:val="14"/>
                      </w:rPr>
                      <w:t>ФИНАНСИРАНЕ</w:t>
                    </w:r>
                  </w:p>
                </w:txbxContent>
              </v:textbox>
            </v:rect>
            <v:rect id="Rectangle 41" o:spid="_x0000_s1064" style="position:absolute;left:53619;top:22523;width:3854;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rsidR="000938C1" w:rsidRDefault="000938C1" w:rsidP="0004270E">
                    <w:r>
                      <w:rPr>
                        <w:color w:val="000000"/>
                        <w:sz w:val="14"/>
                        <w:szCs w:val="14"/>
                      </w:rPr>
                      <w:t>-245 132,3</w:t>
                    </w:r>
                  </w:p>
                </w:txbxContent>
              </v:textbox>
            </v:rect>
            <v:rect id="Rectangle 42" o:spid="_x0000_s1065" style="position:absolute;left:158;top:24776;width:673;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rsidR="000938C1" w:rsidRDefault="000938C1" w:rsidP="0004270E">
                    <w:r>
                      <w:rPr>
                        <w:color w:val="000000"/>
                        <w:sz w:val="14"/>
                        <w:szCs w:val="14"/>
                      </w:rPr>
                      <w:t>1.</w:t>
                    </w:r>
                  </w:p>
                </w:txbxContent>
              </v:textbox>
            </v:rect>
            <v:rect id="Rectangle 43" o:spid="_x0000_s1066" style="position:absolute;left:2470;top:24777;width:25755;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rsidR="000938C1" w:rsidRDefault="000938C1" w:rsidP="0004270E">
                    <w:r>
                      <w:rPr>
                        <w:color w:val="000000"/>
                        <w:sz w:val="14"/>
                        <w:szCs w:val="14"/>
                      </w:rPr>
                      <w:t xml:space="preserve">Вътрешно финансиране (нетно увеличение (-)/нетно намаление (+)) </w:t>
                    </w:r>
                  </w:p>
                </w:txbxContent>
              </v:textbox>
            </v:rect>
            <v:rect id="Rectangle 44" o:spid="_x0000_s1067" style="position:absolute;left:53619;top:24777;width:3854;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rsidR="000938C1" w:rsidRDefault="000938C1" w:rsidP="0004270E">
                    <w:r>
                      <w:rPr>
                        <w:color w:val="000000"/>
                        <w:sz w:val="14"/>
                        <w:szCs w:val="14"/>
                      </w:rPr>
                      <w:t>-245 132,3</w:t>
                    </w:r>
                  </w:p>
                </w:txbxContent>
              </v:textbox>
            </v:rect>
            <v:rect id="Rectangle 45" o:spid="_x0000_s1068" style="position:absolute;left:158;top:25907;width:1340;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rsidR="000938C1" w:rsidRDefault="000938C1" w:rsidP="0004270E">
                    <w:r>
                      <w:rPr>
                        <w:color w:val="000000"/>
                        <w:sz w:val="14"/>
                        <w:szCs w:val="14"/>
                      </w:rPr>
                      <w:t>1.1.</w:t>
                    </w:r>
                  </w:p>
                </w:txbxContent>
              </v:textbox>
            </v:rect>
            <v:rect id="Rectangle 46" o:spid="_x0000_s1069" style="position:absolute;left:2470;top:25908;width:16954;height:20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rsidR="000938C1" w:rsidRDefault="000938C1" w:rsidP="0004270E">
                    <w:r>
                      <w:rPr>
                        <w:color w:val="000000"/>
                        <w:sz w:val="14"/>
                        <w:szCs w:val="14"/>
                      </w:rPr>
                      <w:t>Наличност в началото на годината в БНБ (+)</w:t>
                    </w:r>
                  </w:p>
                </w:txbxContent>
              </v:textbox>
            </v:rect>
            <v:rect id="Rectangle 47" o:spid="_x0000_s1070" style="position:absolute;left:53295;top:25907;width:4229;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rsidR="000938C1" w:rsidRDefault="000938C1" w:rsidP="0004270E">
                    <w:r>
                      <w:rPr>
                        <w:color w:val="000000"/>
                        <w:sz w:val="14"/>
                        <w:szCs w:val="14"/>
                      </w:rPr>
                      <w:t>2 086 882,3</w:t>
                    </w:r>
                  </w:p>
                </w:txbxContent>
              </v:textbox>
            </v:rect>
            <v:rect id="Rectangle 48" o:spid="_x0000_s1071" style="position:absolute;left:158;top:27037;width:1340;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rsidR="000938C1" w:rsidRDefault="000938C1" w:rsidP="0004270E">
                    <w:r>
                      <w:rPr>
                        <w:color w:val="000000"/>
                        <w:sz w:val="14"/>
                        <w:szCs w:val="14"/>
                      </w:rPr>
                      <w:t>1.2.</w:t>
                    </w:r>
                  </w:p>
                </w:txbxContent>
              </v:textbox>
            </v:rect>
            <v:rect id="Rectangle 49" o:spid="_x0000_s1072" style="position:absolute;left:2470;top:27038;width:14999;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rsidR="000938C1" w:rsidRDefault="000938C1" w:rsidP="0004270E">
                    <w:r>
                      <w:rPr>
                        <w:color w:val="000000"/>
                        <w:sz w:val="14"/>
                        <w:szCs w:val="14"/>
                      </w:rPr>
                      <w:t>Наличност в края на годината в БНБ (-)</w:t>
                    </w:r>
                  </w:p>
                </w:txbxContent>
              </v:textbox>
            </v:rect>
            <v:rect id="Rectangle 50" o:spid="_x0000_s1073" style="position:absolute;left:52971;top:27038;width:4521;height:204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fit-shape-to-text:t" inset="0,0,0,0">
                <w:txbxContent>
                  <w:p w:rsidR="000938C1" w:rsidRDefault="000938C1" w:rsidP="0004270E">
                    <w:r>
                      <w:rPr>
                        <w:color w:val="000000"/>
                        <w:sz w:val="14"/>
                        <w:szCs w:val="14"/>
                      </w:rPr>
                      <w:t>-2 332 014,6</w:t>
                    </w:r>
                  </w:p>
                </w:txbxContent>
              </v:textbox>
            </v:rect>
            <v:line id="Line 51" o:spid="_x0000_s1074" style="position:absolute;visibility:visible" from="50,0" to="575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dzcQAAADbAAAADwAAAGRycy9kb3ducmV2LnhtbESPT2vCQBTE7wW/w/IK3urGgmlM3YgU&#10;Rb21/oEeH9nXZEn2bciuGr+9Wyj0OMzMb5jFcrCtuFLvjWMF00kCgrh02nCl4HTcvGQgfEDW2Dom&#10;BXfysCxGTwvMtbvxF10PoRIRwj5HBXUIXS6lL2uy6CeuI47ej+sthij7SuoebxFuW/maJKm0aDgu&#10;1NjRR01lc7hYBeYz3c72b+f5Wa63YfqdNZmxJ6XGz8PqHUSgIfyH/9o7rSCdwe+X+ANk8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9l3NxAAAANsAAAAPAAAAAAAAAAAA&#10;AAAAAKECAABkcnMvZG93bnJldi54bWxQSwUGAAAAAAQABAD5AAAAkgMAAAAA&#10;" strokeweight="0"/>
            <v:rect id="Rectangle 52" o:spid="_x0000_s1075" style="position:absolute;left:50;width:57487;height: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xg8MYA&#10;AADbAAAADwAAAGRycy9kb3ducmV2LnhtbESPT2vCQBTE7wW/w/IKvdVNxQaNbkQLQi8F/x309sw+&#10;k5Ds23R3q2k/vVso9DjMzG+Y+aI3rbiS87VlBS/DBARxYXXNpYLDfv08AeEDssbWMin4Jg+LfPAw&#10;x0zbG2/puguliBD2GSqoQugyKX1RkUE/tB1x9C7WGQxRulJqh7cIN60cJUkqDdYcFyrs6K2iotl9&#10;GQWr6WT1uRnzx8/2fKLT8dy8jlyi1NNjv5yBCNSH//Bf+10rSFP4/RJ/gM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xg8MYAAADbAAAADwAAAAAAAAAAAAAAAACYAgAAZHJz&#10;L2Rvd25yZXYueG1sUEsFBgAAAAAEAAQA9QAAAIsDAAAAAA==&#10;" fillcolor="black" stroked="f"/>
            <v:line id="Line 53" o:spid="_x0000_s1076" style="position:absolute;visibility:visible" from="50,2259" to="57537,2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hmIcQAAADbAAAADwAAAGRycy9kb3ducmV2LnhtbESPT2vCQBTE7wW/w/KE3upGwRijGxGp&#10;2N5a/4DHR/aZLMm+Ddmtpt++Wyj0OMzMb5j1ZrCtuFPvjWMF00kCgrh02nCl4Hzav2QgfEDW2Dom&#10;Bd/kYVOMntaYa/fgT7ofQyUihH2OCuoQulxKX9Zk0U9cRxy9m+sthij7SuoeHxFuWzlLklRaNBwX&#10;auxoV1PZHL+sAvORHubvi8vyIl8PYXrNmszYs1LP42G7AhFoCP/hv/abVpAu4PdL/AG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aGYhxAAAANsAAAAPAAAAAAAAAAAA&#10;AAAAAKECAABkcnMvZG93bnJldi54bWxQSwUGAAAAAAQABAD5AAAAkgMAAAAA&#10;" strokeweight="0"/>
            <v:rect id="Rectangle 54" o:spid="_x0000_s1077" style="position:absolute;left:50;top:2259;width:5748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9RGcEA&#10;AADbAAAADwAAAGRycy9kb3ducmV2LnhtbERPTYvCMBC9C/sfwgjeNFVUtBplFQQvwuruQW9jM7bF&#10;ZlKTqHV//eaw4PHxvufLxlTiQc6XlhX0ewkI4szqknMFP9+b7gSED8gaK8uk4EUelouP1hxTbZ+8&#10;p8ch5CKGsE9RQRFCnUrps4IM+p6tiSN3sc5giNDlUjt8xnBTyUGSjKXBkmNDgTWtC8quh7tRsJpO&#10;VrevIe9+9+cTnY7n62jgEqU67eZzBiJQE97if/dWKxjHsfFL/A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URnBAAAA2wAAAA8AAAAAAAAAAAAAAAAAmAIAAGRycy9kb3du&#10;cmV2LnhtbFBLBQYAAAAABAAEAPUAAACGAwAAAAA=&#10;" fillcolor="black" stroked="f"/>
            <v:line id="Line 55" o:spid="_x0000_s1078" style="position:absolute;visibility:visible" from="50,3383" to="57537,3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tXyMQAAADbAAAADwAAAGRycy9kb3ducmV2LnhtbESPT2vCQBTE7wW/w/KE3uomhaYxuopI&#10;RXtr/QMeH9lnsph9G7JrjN++Wyj0OMzMb5j5crCN6KnzxrGCdJKAIC6dNlwpOB42LzkIH5A1No5J&#10;wYM8LBejpzkW2t35m/p9qESEsC9QQR1CW0jpy5os+olriaN3cZ3FEGVXSd3hPcJtI1+TJJMWDceF&#10;Glta11Re9zerwHxl27fP99P0JD+2IT3n19zYo1LP42E1AxFoCP/hv/ZOK8im8Psl/g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u1fIxAAAANsAAAAPAAAAAAAAAAAA&#10;AAAAAKECAABkcnMvZG93bnJldi54bWxQSwUGAAAAAAQABAD5AAAAkgMAAAAA&#10;" strokeweight="0"/>
            <v:rect id="Rectangle 56" o:spid="_x0000_s1079" style="position:absolute;left:50;top:3383;width:5748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DLwsMA&#10;AADbAAAADwAAAGRycy9kb3ducmV2LnhtbERPz2vCMBS+C/sfwhvspulkOu0aZQ4EL4K6HfT22ry1&#10;xealS6JW/3pzEHb8+H5n88404kzO15YVvA4SEMSF1TWXCn6+l/0JCB+QNTaWScGVPMxnT70MU20v&#10;vKXzLpQihrBPUUEVQptK6YuKDPqBbYkj92udwRChK6V2eInhppHDJBlLgzXHhgpb+qqoOO5ORsFi&#10;Oln8bd54fdvmBzrs8+No6BKlXp67zw8QgbrwL364V1rBe1wfv8Qf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DLwsMAAADbAAAADwAAAAAAAAAAAAAAAACYAgAAZHJzL2Rv&#10;d25yZXYueG1sUEsFBgAAAAAEAAQA9QAAAIgDAAAAAA==&#10;" fillcolor="black" stroked="f"/>
            <v:line id="Line 57" o:spid="_x0000_s1080" style="position:absolute;visibility:visible" from="0,0" to="0,4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TNE8QAAADbAAAADwAAAGRycy9kb3ducmV2LnhtbESPT2vCQBTE7wW/w/IK3uomghpTNyKi&#10;2N5a/0CPj+xrsiT7NmRXjd++Wyj0OMzMb5jVerCtuFHvjWMF6SQBQVw6bbhScD7tXzIQPiBrbB2T&#10;ggd5WBejpxXm2t35k27HUIkIYZ+jgjqELpfSlzVZ9BPXEUfv2/UWQ5R9JXWP9wi3rZwmyVxaNBwX&#10;auxoW1PZHK9WgfmYH2bvi8vyIneHkH5lTWbsWanx87B5BRFoCP/hv/abVrBI4fdL/AG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M0TxAAAANsAAAAPAAAAAAAAAAAA&#10;AAAAAKECAABkcnMvZG93bnJldi54bWxQSwUGAAAAAAQABAD5AAAAkgMAAAAA&#10;" strokeweight="0"/>
            <v:rect id="Rectangle 58" o:spid="_x0000_s1081" style="position:absolute;width:50;height:4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wLsYA&#10;AADbAAAADwAAAGRycy9kb3ducmV2LnhtbESPT2sCMRTE7wW/Q3iCt5p1qX+6NYoWBC+Fqj3U23Pz&#10;3F3cvKxJ1LWfvikIPQ4z8xtmOm9NLa7kfGVZwaCfgCDOra64UPC1Wz1PQPiArLG2TAru5GE+6zxN&#10;MdP2xhu6bkMhIoR9hgrKEJpMSp+XZND3bUMcvaN1BkOUrpDa4S3CTS3TJBlJgxXHhRIbei8pP20v&#10;RsHydbI8f77wx8/msKf99+E0TF2iVK/bLt5ABGrDf/jRXmsF4xT+vsQf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7wLsYAAADbAAAADwAAAAAAAAAAAAAAAACYAgAAZHJz&#10;L2Rvd25yZXYueG1sUEsFBgAAAAAEAAQA9QAAAIsDAAAAAA==&#10;" fillcolor="black" stroked="f"/>
            <v:line id="Line 59" o:spid="_x0000_s1082" style="position:absolute;visibility:visible" from="52222,50" to="52222,4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r2/8QAAADbAAAADwAAAGRycy9kb3ducmV2LnhtbESPQWvCQBSE70L/w/IKvdWNLZo0dQ1F&#10;FOvNWoUeH9nXZDH7NmTXGP99Vyh4HGbmG2ZeDLYRPXXeOFYwGScgiEunDVcKDt/r5wyED8gaG8ek&#10;4EoeisXDaI65dhf+on4fKhEh7HNUUIfQ5lL6siaLfuxa4uj9us5iiLKrpO7wEuG2kS9JMpMWDceF&#10;Glta1lSe9merwOxmm+k2Pb4d5WoTJj/ZKTP2oNTT4/DxDiLQEO7h//anVpC+wu1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ivb/xAAAANsAAAAPAAAAAAAAAAAA&#10;AAAAAKECAABkcnMvZG93bnJldi54bWxQSwUGAAAAAAQABAD5AAAAkgMAAAAA&#10;" strokeweight="0"/>
            <v:rect id="Rectangle 60" o:spid="_x0000_s1083" style="position:absolute;left:52222;top:50;width:50;height:4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vNwcUA&#10;AADbAAAADwAAAGRycy9kb3ducmV2LnhtbESPQWsCMRSE74L/ITzBm2YVrXY1ihYKvQjV9lBvz81z&#10;d3Hzsk2irv76Rih4HGbmG2a+bEwlLuR8aVnBoJ+AIM6sLjlX8P313puC8AFZY2WZFNzIw3LRbs0x&#10;1fbKW7rsQi4ihH2KCooQ6lRKnxVk0PdtTRy9o3UGQ5Qul9rhNcJNJYdJ8iINlhwXCqzpraDstDsb&#10;BevX6fr3c8Sb+/awp/3P4TQeukSpbqdZzUAEasIz/N/+0AomI3h8iT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83BxQAAANsAAAAPAAAAAAAAAAAAAAAAAJgCAABkcnMv&#10;ZG93bnJldi54bWxQSwUGAAAAAAQABAD1AAAAigMAAAAA&#10;" fillcolor="black" stroked="f"/>
            <v:line id="Line 61" o:spid="_x0000_s1084" style="position:absolute;visibility:visible" from="50,4513" to="57537,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LEMMAAADbAAAADwAAAGRycy9kb3ducmV2LnhtbESPT4vCMBTE7wt+h/AEb2vqglqrUURW&#10;dG/rP/D4aJ5tsHkpTdT67c3CgsdhZn7DzBatrcSdGm8cKxj0ExDEudOGCwXHw/ozBeEDssbKMSl4&#10;kofFvPMxw0y7B+/ovg+FiBD2GSooQ6gzKX1ekkXfdzVx9C6usRiibAqpG3xEuK3kV5KMpEXDcaHE&#10;mlYl5df9zSowv6PN8Gd8mpzk9yYMzuk1NfaoVK/bLqcgArXhHf5vb7WC8RD+vsQfIO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4vyxDDAAAA2wAAAA8AAAAAAAAAAAAA&#10;AAAAoQIAAGRycy9kb3ducmV2LnhtbFBLBQYAAAAABAAEAPkAAACRAwAAAAA=&#10;" strokeweight="0"/>
            <v:rect id="Rectangle 62" o:spid="_x0000_s1085" style="position:absolute;left:50;top:4513;width:57487;height: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X2LcYA&#10;AADbAAAADwAAAGRycy9kb3ducmV2LnhtbESPzWsCMRTE70L/h/AK3jRbsX5sjVILQi+CXwe9PTev&#10;u4ubl20Sde1f3wiCx2FmfsNMZo2pxIWcLy0reOsmIIgzq0vOFey2i84IhA/IGivLpOBGHmbTl9YE&#10;U22vvKbLJuQiQtinqKAIoU6l9FlBBn3X1sTR+7HOYIjS5VI7vEa4qWQvSQbSYMlxocCavgrKTpuz&#10;UTAfj+a/qz4v/9bHAx32x9N7zyVKtV+bzw8QgZrwDD/a31rBcAD3L/EHy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X2LcYAAADbAAAADwAAAAAAAAAAAAAAAACYAgAAZHJz&#10;L2Rvd25yZXYueG1sUEsFBgAAAAAEAAQA9QAAAIsDAAAAAA==&#10;" fillcolor="black" stroked="f"/>
            <v:line id="Line 63" o:spid="_x0000_s1086" style="position:absolute;visibility:visible" from="57486,50" to="57486,4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Hw/MQAAADbAAAADwAAAGRycy9kb3ducmV2LnhtbESPT2vCQBTE7wW/w/KE3upGQROjGxGp&#10;2N5a/4DHR/aZLMm+Ddmtpt++Wyj0OMzMb5j1ZrCtuFPvjWMF00kCgrh02nCl4Hzav2QgfEDW2Dom&#10;Bd/kYVOMntaYa/fgT7ofQyUihH2OCuoQulxKX9Zk0U9cRxy9m+sthij7SuoeHxFuWzlLkoW0aDgu&#10;1NjRrqayOX5ZBeZjcZi/p5flRb4ewvSaNZmxZ6Wex8N2BSLQEP7Df+03rSBN4fdL/AG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sfD8xAAAANsAAAAPAAAAAAAAAAAA&#10;AAAAAKECAABkcnMvZG93bnJldi54bWxQSwUGAAAAAAQABAD5AAAAkgMAAAAA&#10;" strokeweight="0"/>
            <v:rect id="Rectangle 64" o:spid="_x0000_s1087" style="position:absolute;left:57486;top:50;width:51;height:4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bHxMMA&#10;AADbAAAADwAAAGRycy9kb3ducmV2LnhtbERPz2vCMBS+C/sfwhvspulkOu0aZQ4EL4K6HfT22ry1&#10;xealS6JW/3pzEHb8+H5n88404kzO15YVvA4SEMSF1TWXCn6+l/0JCB+QNTaWScGVPMxnT70MU20v&#10;vKXzLpQihrBPUUEVQptK6YuKDPqBbYkj92udwRChK6V2eInhppHDJBlLgzXHhgpb+qqoOO5ORsFi&#10;Oln8bd54fdvmBzrs8+No6BKlXp67zw8QgbrwL364V1rBexwbv8Qf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bHxMMAAADbAAAADwAAAAAAAAAAAAAAAACYAgAAZHJzL2Rv&#10;d25yZXYueG1sUEsFBgAAAAAEAAQA9QAAAIgDAAAAAA==&#10;" fillcolor="black" stroked="f"/>
            <v:line id="Line 65" o:spid="_x0000_s1088" style="position:absolute;visibility:visible" from="0,29240" to="6,29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YnRsYAAADbAAAADwAAAGRycy9kb3ducmV2LnhtbESPT2vCQBTE74V+h+UVvIhutNDG1I1I&#10;RPDQQ42K19fsa/40+zZkV02/fbcg9DjMzG+Y5WowrbhS72rLCmbTCARxYXXNpYLjYTuJQTiPrLG1&#10;TAp+yMEqfXxYYqLtjfd0zX0pAoRdggoq77tESldUZNBNbUccvC/bG/RB9qXUPd4C3LRyHkUv0mDN&#10;YaHCjrKKiu/8YhSMz/H4GU95k83KeUbNx/vnZu+UGj0N6zcQngb/H763d1rB6wL+voQf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mJ0bGAAAA2wAAAA8AAAAAAAAA&#10;AAAAAAAAoQIAAGRycy9kb3ducmV2LnhtbFBLBQYAAAAABAAEAPkAAACUAwAAAAA=&#10;" strokecolor="#dadcdd" strokeweight="0"/>
            <v:rect id="Rectangle 66" o:spid="_x0000_s1089" style="position:absolute;top:29240;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Wdkb8A&#10;AADbAAAADwAAAGRycy9kb3ducmV2LnhtbERPy4rCMBTdC/5DuII7TZ2FI9UoKswgDAz4xOWluTbB&#10;5qY0GW3/frIQXB7Oe7FqXSUe1ATrWcFknIEgLry2XCo4Hb9GMxAhImusPJOCjgKslv3eAnPtn7yn&#10;xyGWIoVwyFGBibHOpQyFIYdh7GvixN184zAm2JRSN/hM4a6SH1k2lQ4tpwaDNW0NFffDn1Pw013s&#10;eaoneL5efjvz+b2xLtsrNRy06zmISG18i1/unVYwS+vTl/Q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pZ2RvwAAANsAAAAPAAAAAAAAAAAAAAAAAJgCAABkcnMvZG93bnJl&#10;di54bWxQSwUGAAAAAAQABAD1AAAAhAMAAAAA&#10;" fillcolor="#dadcdd" stroked="f"/>
            <v:line id="Line 67" o:spid="_x0000_s1090" style="position:absolute;visibility:visible" from="2311,29240" to="2317,29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VbZ8QAAADbAAAADwAAAGRycy9kb3ducmV2LnhtbESPQWvCQBSE74L/YXlCL6KbWCghuopE&#10;Cj14qLHF6zP7TKLZtyG71fjvXaHgcZiZb5jFqjeNuFLnassK4mkEgriwuuZSwc/+c5KAcB5ZY2OZ&#10;FNzJwWo5HCww1fbGO7rmvhQBwi5FBZX3bSqlKyoy6Ka2JQ7eyXYGfZBdKXWHtwA3jZxF0Yc0WHNY&#10;qLClrKLikv8ZBeNDMn7H3/ycxeUso/P39rjZOaXeRv16DsJT71/h//aXVpDE8PwSf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BVtnxAAAANsAAAAPAAAAAAAAAAAA&#10;AAAAAKECAABkcnMvZG93bnJldi54bWxQSwUGAAAAAAQABAD5AAAAkgMAAAAA&#10;" strokecolor="#dadcdd" strokeweight="0"/>
            <v:rect id="Rectangle 68" o:spid="_x0000_s1091" style="position:absolute;left:2311;top:29240;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umfcMA&#10;AADbAAAADwAAAGRycy9kb3ducmV2LnhtbESPQWsCMRSE74L/ITyhN83qQWVrFBVaCgVBrdLjY/O6&#10;CW5elk2qu//eCILHYWa+YRar1lXiSk2wnhWMRxkI4sJry6WCn+PHcA4iRGSNlWdS0FGA1bLfW2Cu&#10;/Y33dD3EUiQIhxwVmBjrXMpQGHIYRr4mTt6fbxzGJJtS6gZvCe4qOcmyqXRoOS0YrGlrqLgc/p2C&#10;7+5sT1M9xtPvedeZ2efGumyv1NugXb+DiNTGV/jZ/tIK5hN4fEk/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umfcMAAADbAAAADwAAAAAAAAAAAAAAAACYAgAAZHJzL2Rv&#10;d25yZXYueG1sUEsFBgAAAAAEAAQA9QAAAIgDAAAAAA==&#10;" fillcolor="#dadcdd" stroked="f"/>
            <v:line id="Line 69" o:spid="_x0000_s1092" style="position:absolute;visibility:visible" from="5746,29240" to="5753,29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tgi8UAAADbAAAADwAAAGRycy9kb3ducmV2LnhtbESPQWvCQBSE7wX/w/KEXkQ3GighdQ0S&#10;EXrooaYVr8/saxLNvg3ZbZL++26h0OMwM98w22wyrRiod41lBetVBIK4tLrhSsHH+3GZgHAeWWNr&#10;mRR8k4NsN3vYYqrtyCcaCl+JAGGXooLa+y6V0pU1GXQr2xEH79P2Bn2QfSV1j2OAm1ZuouhJGmw4&#10;LNTYUV5TeS++jILFJVnEeC5u+bra5HR7e70eTk6px/m0fwbhafL/4b/2i1aQxPD7JfwA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tgi8UAAADbAAAADwAAAAAAAAAA&#10;AAAAAAChAgAAZHJzL2Rvd25yZXYueG1sUEsFBgAAAAAEAAQA+QAAAJMDAAAAAA==&#10;" strokecolor="#dadcdd" strokeweight="0"/>
            <v:rect id="Rectangle 70" o:spid="_x0000_s1093" style="position:absolute;left:5746;top:29240;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6bksMA&#10;AADbAAAADwAAAGRycy9kb3ducmV2LnhtbESP3WoCMRSE7wu+QzhC72rWIlZWo2hBKRQK/uLlYXPc&#10;BDcnyybq7ts3hYKXw8x8w8wWravEnZpgPSsYDjIQxIXXlksFh/36bQIiRGSNlWdS0FGAxbz3MsNc&#10;+wdv6b6LpUgQDjkqMDHWuZShMOQwDHxNnLyLbxzGJJtS6gYfCe4q+Z5lY+nQclowWNOnoeK6uzkF&#10;393JHsd6iMfz6aczH5uVddlWqdd+u5yCiNTGZ/i//aUVTEbw9yX9A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6bksMAAADbAAAADwAAAAAAAAAAAAAAAACYAgAAZHJzL2Rv&#10;d25yZXYueG1sUEsFBgAAAAAEAAQA9QAAAIgDAAAAAA==&#10;" fillcolor="#dadcdd" stroked="f"/>
            <v:line id="Line 71" o:spid="_x0000_s1094" style="position:absolute;visibility:visible" from="9189,29240" to="9195,29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5dZMUAAADbAAAADwAAAGRycy9kb3ducmV2LnhtbESPQWvCQBSE7wX/w/KEXqRuklIJqatI&#10;SsGDB40Wr8/saxLNvg3Zrab/3i0UPA4z8w0zXw6mFVfqXWNZQTyNQBCXVjdcKTjsP19SEM4ja2wt&#10;k4JfcrBcjJ7mmGl74x1dC1+JAGGXoYLa+y6T0pU1GXRT2xEH79v2Bn2QfSV1j7cAN61MomgmDTYc&#10;FmrsKK+pvBQ/RsHkmE5e8as453GV5HTebk4fO6fU83hYvYPwNPhH+L+91grSN/j7En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D5dZMUAAADbAAAADwAAAAAAAAAA&#10;AAAAAAChAgAAZHJzL2Rvd25yZXYueG1sUEsFBgAAAAAEAAQA+QAAAJMDAAAAAA==&#10;" strokecolor="#dadcdd" strokeweight="0"/>
            <v:rect id="Rectangle 72" o:spid="_x0000_s1095" style="position:absolute;left:9189;top:29240;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CgfsMA&#10;AADbAAAADwAAAGRycy9kb3ducmV2LnhtbESPQWsCMRSE7wX/Q3hCbzVrD1tZjaKCRSgI2ioeH5vn&#10;Jrh5WTZRd/+9KRR6HGbmG2a26Fwt7tQG61nBeJSBIC69tlwp+PnevE1AhIissfZMCnoKsJgPXmZY&#10;aP/gPd0PsRIJwqFABSbGppAylIYchpFviJN38a3DmGRbSd3iI8FdLd+zLJcOLacFgw2tDZXXw80p&#10;+OpP9pjrMR7Pp11vPj5X1mV7pV6H3XIKIlIX/8N/7a1WMMnh90v6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CgfsMAAADbAAAADwAAAAAAAAAAAAAAAACYAgAAZHJzL2Rv&#10;d25yZXYueG1sUEsFBgAAAAAEAAQA9QAAAIgDAAAAAA==&#10;" fillcolor="#dadcdd" stroked="f"/>
            <v:line id="Line 73" o:spid="_x0000_s1096" style="position:absolute;visibility:visible" from="12624,29240" to="12631,29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BmiMUAAADbAAAADwAAAGRycy9kb3ducmV2LnhtbESPQWvCQBSE7wX/w/KEXqRukkINqatI&#10;SsGDB40Wr8/saxLNvg3Zrab/3i0UPA4z8w0zXw6mFVfqXWNZQTyNQBCXVjdcKTjsP19SEM4ja2wt&#10;k4JfcrBcjJ7mmGl74x1dC1+JAGGXoYLa+y6T0pU1GXRT2xEH79v2Bn2QfSV1j7cAN61MouhNGmw4&#10;LNTYUV5TeSl+jILJMZ284ldxzuMqyem83Zw+dk6p5/GwegfhafCP8H97rRWkM/j7En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6BmiMUAAADbAAAADwAAAAAAAAAA&#10;AAAAAAChAgAAZHJzL2Rvd25yZXYueG1sUEsFBgAAAAAEAAQA+QAAAJMDAAAAAA==&#10;" strokecolor="#dadcdd" strokeweight="0"/>
            <v:rect id="Rectangle 74" o:spid="_x0000_s1097" style="position:absolute;left:12624;top:29240;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ORl78A&#10;AADbAAAADwAAAGRycy9kb3ducmV2LnhtbERPy4rCMBTdC/5DuII7TZ2FI9UoKswgDAz4xOWluTbB&#10;5qY0GW3/frIQXB7Oe7FqXSUe1ATrWcFknIEgLry2XCo4Hb9GMxAhImusPJOCjgKslv3eAnPtn7yn&#10;xyGWIoVwyFGBibHOpQyFIYdh7GvixN184zAm2JRSN/hM4a6SH1k2lQ4tpwaDNW0NFffDn1Pw013s&#10;eaoneL5efjvz+b2xLtsrNRy06zmISG18i1/unVYwS2PTl/Q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05GXvwAAANsAAAAPAAAAAAAAAAAAAAAAAJgCAABkcnMvZG93bnJl&#10;di54bWxQSwUGAAAAAAQABAD1AAAAhAMAAAAA&#10;" fillcolor="#dadcdd" stroked="f"/>
            <v:line id="Line 75" o:spid="_x0000_s1098" style="position:absolute;visibility:visible" from="52222,29240" to="52228,29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NXYcUAAADbAAAADwAAAGRycy9kb3ducmV2LnhtbESPQWvCQBSE7wX/w/KEXkQ3SaHE1FUk&#10;peDBg0al19fsaxLNvg3Zrab/3i0UPA4z8w2zWA2mFVfqXWNZQTyLQBCXVjdcKTgePqYpCOeRNbaW&#10;ScEvOVgtR08LzLS98Z6uha9EgLDLUEHtfZdJ6cqaDLqZ7YiD9217gz7IvpK6x1uAm1YmUfQqDTYc&#10;FmrsKK+pvBQ/RsHkM5284Kk453GV5HTebb/e906p5/GwfgPhafCP8H97oxWkc/j7En6AX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NXYcUAAADbAAAADwAAAAAAAAAA&#10;AAAAAAChAgAAZHJzL2Rvd25yZXYueG1sUEsFBgAAAAAEAAQA+QAAAJMDAAAAAA==&#10;" strokecolor="#dadcdd" strokeweight="0"/>
            <v:rect id="Rectangle 76" o:spid="_x0000_s1099" style="position:absolute;left:52222;top:29240;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wLTMEA&#10;AADbAAAADwAAAGRycy9kb3ducmV2LnhtbERPz2vCMBS+C/sfwhvspqke1FWjbMKGIAysUzw+mmcT&#10;bF5Kk2n735vDwOPH93u57lwtbtQG61nBeJSBIC69tlwp+D18DecgQkTWWHsmBT0FWK9eBkvMtb/z&#10;nm5FrEQK4ZCjAhNjk0sZSkMOw8g3xIm7+NZhTLCtpG7xnsJdLSdZNpUOLacGgw1tDJXX4s8p2PUn&#10;e5zqMR7Pp5/ezL4/rcv2Sr29dh8LEJG6+BT/u7dawXtan76k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8C0zBAAAA2wAAAA8AAAAAAAAAAAAAAAAAmAIAAGRycy9kb3du&#10;cmV2LnhtbFBLBQYAAAAABAAEAPUAAACGAwAAAAA=&#10;" fillcolor="#dadcdd" stroked="f"/>
            <v:line id="Line 77" o:spid="_x0000_s1100" style="position:absolute;visibility:visible" from="57486,29240" to="57492,29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zNusUAAADbAAAADwAAAGRycy9kb3ducmV2LnhtbESPQWvCQBSE70L/w/IKXkQ3UZAYXaVE&#10;hB56qGmL12f2mcRm34bsqvHfdwWhx2FmvmFWm9404kqdqy0riCcRCOLC6ppLBd9fu3ECwnlkjY1l&#10;UnAnB5v1y2CFqbY33tM196UIEHYpKqi8b1MpXVGRQTexLXHwTrYz6IPsSqk7vAW4aeQ0iubSYM1h&#10;ocKWsoqK3/xiFIwOyWiGP/k5i8tpRufPj+N275QavvZvSxCeev8ffrbftYJFDI8v4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zNusUAAADbAAAADwAAAAAAAAAA&#10;AAAAAAChAgAAZHJzL2Rvd25yZXYueG1sUEsFBgAAAAAEAAQA+QAAAJMDAAAAAA==&#10;" strokecolor="#dadcdd" strokeweight="0"/>
            <v:rect id="Rectangle 78" o:spid="_x0000_s1101" style="position:absolute;left:57486;top:29240;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IwoMMA&#10;AADbAAAADwAAAGRycy9kb3ducmV2LnhtbESPQWsCMRSE7wX/Q3hCbzWrB7WrUapgKRQEbZUeH5vn&#10;JnTzsmyi7v57Iwgeh5n5hpkvW1eJCzXBelYwHGQgiAuvLZcKfn82b1MQISJrrDyTgo4CLBe9lznm&#10;2l95R5d9LEWCcMhRgYmxzqUMhSGHYeBr4uSdfOMwJtmUUjd4TXBXyVGWjaVDy2nBYE1rQ8X//uwU&#10;fHdHexjrIR7+jtvOTD5X1mU7pV777ccMRKQ2PsOP9pdW8D6C+5f0A+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IwoMMAAADbAAAADwAAAAAAAAAAAAAAAACYAgAAZHJzL2Rv&#10;d25yZXYueG1sUEsFBgAAAAAEAAQA9QAAAIgDAAAAAA==&#10;" fillcolor="#dadcdd" stroked="f"/>
            <v:line id="Line 79" o:spid="_x0000_s1102" style="position:absolute;visibility:visible" from="57537,0" to="575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L2VsUAAADbAAAADwAAAGRycy9kb3ducmV2LnhtbESPQWvCQBSE74L/YXlCL6KbRBCbuopE&#10;Cj14qGmL19fsaxKbfRuy2yT++26h4HGYmW+Y7X40jeipc7VlBfEyAkFcWF1zqeD97XmxAeE8ssbG&#10;Mim4kYP9bjrZYqrtwGfqc1+KAGGXooLK+zaV0hUVGXRL2xIH78t2Bn2QXSl1h0OAm0YmUbSWBmsO&#10;CxW2lFVUfOc/RsH8spmv8CO/ZnGZZHR9PX0ez06ph9l4eALhafT38H/7RSt4XMHfl/AD5O4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L2VsUAAADbAAAADwAAAAAAAAAA&#10;AAAAAAChAgAAZHJzL2Rvd25yZXYueG1sUEsFBgAAAAAEAAQA+QAAAJMDAAAAAA==&#10;" strokecolor="#dadcdd" strokeweight="0"/>
            <v:rect id="Rectangle 80" o:spid="_x0000_s1103" style="position:absolute;left:57537;width:57;height: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NT8QA&#10;AADbAAAADwAAAGRycy9kb3ducmV2LnhtbESPQWsCMRSE7wX/Q3hCbzVrEWtXo2jBUhAEtYrHx+Z1&#10;E7p5WTap7v57IxQ8DjPzDTNbtK4SF2qC9axgOMhAEBdeWy4VfB/WLxMQISJrrDyTgo4CLOa9pxnm&#10;2l95R5d9LEWCcMhRgYmxzqUMhSGHYeBr4uT9+MZhTLIppW7wmuCukq9ZNpYOLacFgzV9GCp+939O&#10;waY72eNYD/F4Pm078/a5si7bKfXcb5dTEJHa+Aj/t7+0gvcR3L+kH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HDU/EAAAA2wAAAA8AAAAAAAAAAAAAAAAAmAIAAGRycy9k&#10;b3ducmV2LnhtbFBLBQYAAAAABAAEAPUAAACJAwAAAAA=&#10;" fillcolor="#dadcdd" stroked="f"/>
            <v:line id="Line 81" o:spid="_x0000_s1104" style="position:absolute;visibility:visible" from="57537,1129" to="57543,1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fLucYAAADbAAAADwAAAGRycy9kb3ducmV2LnhtbESPT2vCQBTE74V+h+UVvIhutLTE1I1I&#10;RPDQQ42K19fsa/40+zZkV02/fbcg9DjMzG+Y5WowrbhS72rLCmbTCARxYXXNpYLjYTuJQTiPrLG1&#10;TAp+yMEqfXxYYqLtjfd0zX0pAoRdggoq77tESldUZNBNbUccvC/bG/RB9qXUPd4C3LRyHkWv0mDN&#10;YaHCjrKKiu/8YhSMz/H4GU95k83KeUbNx/vnZu+UGj0N6zcQngb/H763d1rB4gX+voQf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ny7nGAAAA2wAAAA8AAAAAAAAA&#10;AAAAAAAAoQIAAGRycy9kb3ducmV2LnhtbFBLBQYAAAAABAAEAPkAAACUAwAAAAA=&#10;" strokecolor="#dadcdd" strokeweight="0"/>
            <v:rect id="Rectangle 82" o:spid="_x0000_s1105" style="position:absolute;left:57537;top:1129;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k2o8QA&#10;AADbAAAADwAAAGRycy9kb3ducmV2LnhtbESPQWsCMRSE7wX/Q3iCt5q1h21djaIFpVAoaFU8PjbP&#10;TXDzsmyi7v77plDocZiZb5j5snO1uFMbrGcFk3EGgrj02nKl4PC9eX4DESKyxtozKegpwHIxeJpj&#10;of2Dd3Tfx0okCIcCFZgYm0LKUBpyGMa+IU7exbcOY5JtJXWLjwR3tXzJslw6tJwWDDb0bqi87m9O&#10;wWd/ssdcT/B4Pn315nW7ti7bKTUadqsZiEhd/A//tT+0gmkOv1/SD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ZNqPEAAAA2wAAAA8AAAAAAAAAAAAAAAAAmAIAAGRycy9k&#10;b3ducmV2LnhtbFBLBQYAAAAABAAEAPUAAACJAwAAAAA=&#10;" fillcolor="#dadcdd" stroked="f"/>
            <v:line id="Line 83" o:spid="_x0000_s1106" style="position:absolute;visibility:visible" from="57537,2259" to="57543,2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nwVcYAAADbAAAADwAAAGRycy9kb3ducmV2LnhtbESPT2vCQBTE74V+h+UVvIhutNDG1I1I&#10;RPDQQ42K19fsa/40+zZkV02/fbcg9DjMzG+Y5WowrbhS72rLCmbTCARxYXXNpYLjYTuJQTiPrLG1&#10;TAp+yMEqfXxYYqLtjfd0zX0pAoRdggoq77tESldUZNBNbUccvC/bG/RB9qXUPd4C3LRyHkUv0mDN&#10;YaHCjrKKiu/8YhSMz/H4GU95k83KeUbNx/vnZu+UGj0N6zcQngb/H763d1rB4hX+voQf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58FXGAAAA2wAAAA8AAAAAAAAA&#10;AAAAAAAAoQIAAGRycy9kb3ducmV2LnhtbFBLBQYAAAAABAAEAPkAAACUAwAAAAA=&#10;" strokecolor="#dadcdd" strokeweight="0"/>
            <v:rect id="Rectangle 84" o:spid="_x0000_s1107" style="position:absolute;left:57537;top:2259;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oHSsEA&#10;AADbAAAADwAAAGRycy9kb3ducmV2LnhtbERPz2vCMBS+C/sfwhvspqke1FWjbMKGIAysUzw+mmcT&#10;bF5Kk2n735vDwOPH93u57lwtbtQG61nBeJSBIC69tlwp+D18DecgQkTWWHsmBT0FWK9eBkvMtb/z&#10;nm5FrEQK4ZCjAhNjk0sZSkMOw8g3xIm7+NZhTLCtpG7xnsJdLSdZNpUOLacGgw1tDJXX4s8p2PUn&#10;e5zqMR7Pp5/ezL4/rcv2Sr29dh8LEJG6+BT/u7dawXsam76k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B0rBAAAA2wAAAA8AAAAAAAAAAAAAAAAAmAIAAGRycy9kb3du&#10;cmV2LnhtbFBLBQYAAAAABAAEAPUAAACGAwAAAAA=&#10;" fillcolor="#dadcdd" stroked="f"/>
            <v:line id="Line 85" o:spid="_x0000_s1108" style="position:absolute;visibility:visible" from="57537,3383" to="57543,3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rBvMUAAADbAAAADwAAAGRycy9kb3ducmV2LnhtbESPQWvCQBSE7wX/w/KEXqRuYqEkqWuQ&#10;lEIPPWi0eH1mX5No9m3IbjX9926h4HGYmW+YZT6aTlxocK1lBfE8AkFcWd1yrWC/e39KQDiPrLGz&#10;TAp+yUG+mjwsMdP2ylu6lL4WAcIuQwWN930mpasaMujmticO3rcdDPogh1rqAa8Bbjq5iKIXabDl&#10;sNBgT0VD1bn8MQpmh2T2jF/lqYjrRUGnzefxbeuUepyO61cQnkZ/D/+3P7SCNIW/L+EH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KrBvMUAAADbAAAADwAAAAAAAAAA&#10;AAAAAAChAgAAZHJzL2Rvd25yZXYueG1sUEsFBgAAAAAEAAQA+QAAAJMDAAAAAA==&#10;" strokecolor="#dadcdd" strokeweight="0"/>
            <v:rect id="Rectangle 86" o:spid="_x0000_s1109" style="position:absolute;left:57537;top:338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D4bcUA&#10;AADcAAAADwAAAGRycy9kb3ducmV2LnhtbESPQUsDMRCF70L/Q5hCbzaphypr06KCIhSEVls8Dpvp&#10;JnQzWTax3f33zkHwNsN78943q80QW3WhPofEFhZzA4q4Ti5wY+Hr8/X2AVQuyA7bxGRhpAyb9eRm&#10;hZVLV97RZV8aJSGcK7TgS+kqrXPtKWKep45YtFPqIxZZ+0a7Hq8SHlt9Z8xSRwwsDR47evFUn/c/&#10;0cJ2PIbD0i3w8H38GP3923OIZmftbDo8PYIqNJR/89/1uxN8I/jyjEy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gPhtxQAAANwAAAAPAAAAAAAAAAAAAAAAAJgCAABkcnMv&#10;ZG93bnJldi54bWxQSwUGAAAAAAQABAD1AAAAigMAAAAA&#10;" fillcolor="#dadcdd" stroked="f"/>
            <v:line id="Line 87" o:spid="_x0000_s1110" style="position:absolute;visibility:visible" from="57537,4513" to="57543,4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vmJcIAAADcAAAADwAAAGRycy9kb3ducmV2LnhtbERPTYvCMBC9L/gfwgheRNO6sEg1ilQW&#10;PHhYq+J1bMa22kxKk9X6742wsLd5vM+ZLztTizu1rrKsIB5HIIhzqysuFBz236MpCOeRNdaWScGT&#10;HCwXvY85Jto+eEf3zBcihLBLUEHpfZNI6fKSDLqxbYgDd7GtQR9gW0jd4iOEm1pOouhLGqw4NJTY&#10;UFpSfst+jYLhaTr8xGN2TeNiktL1Z3te75xSg363moHw1Pl/8Z97o8P8KIb3M+EC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vmJcIAAADcAAAADwAAAAAAAAAAAAAA&#10;AAChAgAAZHJzL2Rvd25yZXYueG1sUEsFBgAAAAAEAAQA+QAAAJADAAAAAA==&#10;" strokecolor="#dadcdd" strokeweight="0"/>
            <v:rect id="Rectangle 88" o:spid="_x0000_s1111" style="position:absolute;left:57537;top:4513;width:57;height: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7DgcIA&#10;AADcAAAADwAAAGRycy9kb3ducmV2LnhtbERPS2sCMRC+C/6HMEJvmuhBy9YoWmgpFAQfKz0Om+km&#10;dDNZNqnu/vumUOhtPr7nrLe9b8SNuugCa5jPFAjiKhjHtYbL+WX6CCImZINNYNIwUITtZjxaY2HC&#10;nY90O6Va5BCOBWqwKbWFlLGy5DHOQkucuc/QeUwZdrU0Hd5zuG/kQqml9Og4N1hs6dlS9XX69hre&#10;h6srl2aO5cf1MNjV6955ddT6YdLvnkAk6tO/+M/9ZvJ8tYDfZ/IF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HsOBwgAAANwAAAAPAAAAAAAAAAAAAAAAAJgCAABkcnMvZG93&#10;bnJldi54bWxQSwUGAAAAAAQABAD1AAAAhwMAAAAA&#10;" fillcolor="#dadcdd" stroked="f"/>
            <v:line id="Line 89" o:spid="_x0000_s1112" style="position:absolute;visibility:visible" from="57537,5644" to="57543,5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XdycIAAADcAAAADwAAAGRycy9kb3ducmV2LnhtbERPTYvCMBC9L/gfwgheZE1VEKlGkYrg&#10;wcNaFa+zzdhWm0lponb/vRGEvc3jfc582ZpKPKhxpWUFw0EEgjizuuRcwfGw+Z6CcB5ZY2WZFPyR&#10;g+Wi8zXHWNsn7+mR+lyEEHYxKii8r2MpXVaQQTewNXHgLrYx6ANscqkbfIZwU8lRFE2kwZJDQ4E1&#10;JQVlt/RuFPTP0/4YT+k1GeajhK4/u9/13inV67arGQhPrf8Xf9xbHeZHY3g/Ey6Qi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cXdycIAAADcAAAADwAAAAAAAAAAAAAA&#10;AAChAgAAZHJzL2Rvd25yZXYueG1sUEsFBgAAAAAEAAQA+QAAAJADAAAAAA==&#10;" strokecolor="#dadcdd" strokeweight="0"/>
            <v:rect id="Rectangle 90" o:spid="_x0000_s1113" style="position:absolute;left:57537;top:5644;width:57;height: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v+bsIA&#10;AADcAAAADwAAAGRycy9kb3ducmV2LnhtbERPTWsCMRC9F/wPYYTeaqKIytYoKlQKhYJWpcdhM92E&#10;bibLJtXdf98UhN7m8T5nue58La7URhdYw3ikQBCXwTiuNJw+Xp4WIGJCNlgHJg09RVivBg9LLEy4&#10;8YGux1SJHMKxQA02paaQMpaWPMZRaIgz9xVajynDtpKmxVsO97WcKDWTHh3nBosN7SyV38cfr+Gt&#10;v7jzzIzx/Hl57+18v3VeHbR+HHabZxCJuvQvvrtfTZ6vpvD3TL5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5uwgAAANwAAAAPAAAAAAAAAAAAAAAAAJgCAABkcnMvZG93&#10;bnJldi54bWxQSwUGAAAAAAQABAD1AAAAhwMAAAAA&#10;" fillcolor="#dadcdd" stroked="f"/>
            <v:line id="Line 91" o:spid="_x0000_s1114" style="position:absolute;visibility:visible" from="57537,6774" to="57543,6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DgJsIAAADcAAAADwAAAGRycy9kb3ducmV2LnhtbERPTYvCMBC9L/gfwgheRFNdVqQaRbos&#10;ePCgXcXr2IxttZmUJmr33xtB2Ns83ufMl62pxJ0aV1pWMBpGIIgzq0vOFex/fwZTEM4ja6wsk4I/&#10;crBcdD7mGGv74B3dU5+LEMIuRgWF93UspcsKMuiGtiYO3Nk2Bn2ATS51g48Qbio5jqKJNFhyaCiw&#10;pqSg7JrejIL+cdr/xEN6SUb5OKHLdnP63jmlet12NQPhqfX/4rd7rcP86Atez4QL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DgJsIAAADcAAAADwAAAAAAAAAAAAAA&#10;AAChAgAAZHJzL2Rvd25yZXYueG1sUEsFBgAAAAAEAAQA+QAAAJADAAAAAA==&#10;" strokecolor="#dadcdd" strokeweight="0"/>
            <v:rect id="Rectangle 92" o:spid="_x0000_s1115" style="position:absolute;left:57537;top:6774;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FgsIA&#10;AADcAAAADwAAAGRycy9kb3ducmV2LnhtbERPS2sCMRC+C/0PYQq9aWIP27IaxRZaCoWCTzwOm3ET&#10;3EyWTaq7/74RhN7m43vOfNn7Rlyoiy6whulEgSCugnFca9htP8avIGJCNtgEJg0DRVguHkZzLE24&#10;8poum1SLHMKxRA02pbaUMlaWPMZJaIkzdwqdx5RhV0vT4TWH+0Y+K1VIj45zg8WW3i1V582v1/A9&#10;HNy+MFPcHw8/g335fHNerbV+euxXMxCJ+vQvvru/TJ6vCrg9ky+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JcWCwgAAANwAAAAPAAAAAAAAAAAAAAAAAJgCAABkcnMvZG93&#10;bnJldi54bWxQSwUGAAAAAAQABAD1AAAAhwMAAAAA&#10;" fillcolor="#dadcdd" stroked="f"/>
            <v:line id="Line 93" o:spid="_x0000_s1116" style="position:absolute;visibility:visible" from="57537,7898" to="57543,7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7bysIAAADcAAAADwAAAGRycy9kb3ducmV2LnhtbERPTYvCMBC9L/gfwgheRFNdWKUaRbos&#10;ePCgXcXr2IxttZmUJmr33xtB2Ns83ufMl62pxJ0aV1pWMBpGIIgzq0vOFex/fwZTEM4ja6wsk4I/&#10;crBcdD7mGGv74B3dU5+LEMIuRgWF93UspcsKMuiGtiYO3Nk2Bn2ATS51g48Qbio5jqIvabDk0FBg&#10;TUlB2TW9GQX947T/iYf0kozycUKX7eb0vXNK9brtagbCU+v/xW/3Wof50QRez4QL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7bysIAAADcAAAADwAAAAAAAAAAAAAA&#10;AAChAgAAZHJzL2Rvd25yZXYueG1sUEsFBgAAAAAEAAQA+QAAAJADAAAAAA==&#10;" strokecolor="#dadcdd" strokeweight="0"/>
            <v:rect id="Rectangle 94" o:spid="_x0000_s1117" style="position:absolute;left:57537;top:789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b0a8UA&#10;AADcAAAADwAAAGRycy9kb3ducmV2LnhtbESPQUsDMRCF70L/Q5hCbzaphypr06KCIhSEVls8Dpvp&#10;JnQzWTax3f33zkHwNsN78943q80QW3WhPofEFhZzA4q4Ti5wY+Hr8/X2AVQuyA7bxGRhpAyb9eRm&#10;hZVLV97RZV8aJSGcK7TgS+kqrXPtKWKep45YtFPqIxZZ+0a7Hq8SHlt9Z8xSRwwsDR47evFUn/c/&#10;0cJ2PIbD0i3w8H38GP3923OIZmftbDo8PYIqNJR/89/1uxN8I7TyjEy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9vRrxQAAANwAAAAPAAAAAAAAAAAAAAAAAJgCAABkcnMv&#10;ZG93bnJldi54bWxQSwUGAAAAAAQABAD1AAAAigMAAAAA&#10;" fillcolor="#dadcdd" stroked="f"/>
            <v:line id="Line 95" o:spid="_x0000_s1118" style="position:absolute;visibility:visible" from="57537,9028" to="57543,9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3qI8IAAADcAAAADwAAAGRycy9kb3ducmV2LnhtbERPTYvCMBC9L/gfwgheRFNdWLQaRbos&#10;ePCgXcXr2IxttZmUJmr33xtB2Ns83ufMl62pxJ0aV1pWMBpGIIgzq0vOFex/fwYTEM4ja6wsk4I/&#10;crBcdD7mGGv74B3dU5+LEMIuRgWF93UspcsKMuiGtiYO3Nk2Bn2ATS51g48Qbio5jqIvabDk0FBg&#10;TUlB2TW9GQX946T/iYf0kozycUKX7eb0vXNK9brtagbCU+v/xW/3Wof50RRez4QL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C3qI8IAAADcAAAADwAAAAAAAAAAAAAA&#10;AAChAgAAZHJzL2Rvd25yZXYueG1sUEsFBgAAAAAEAAQA+QAAAJADAAAAAA==&#10;" strokecolor="#dadcdd" strokeweight="0"/>
            <v:rect id="Rectangle 96" o:spid="_x0000_s1119" style="position:absolute;left:57537;top:902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lusMQA&#10;AADcAAAADwAAAGRycy9kb3ducmV2LnhtbESPT0vEMBDF7wt+hzCCt920HlapTRcVFEEQ9i8eh2Zs&#10;gs2kNHG3/fbOQfA2w3vz3m/qzRR6daYx+cgGylUBiriN1nNn4LB/Wd6DShnZYh+ZDMyUYNNcLWqs&#10;bLzwls673CkJ4VShAZfzUGmdWkcB0yoOxKJ9xTFglnXstB3xIuGh17dFsdYBPUuDw4GeHbXfu59g&#10;4H0++ePalnj8PH3M7u71yYdia8zN9fT4ACrTlP/Nf9dvVvBLwZdnZALd/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ZbrDEAAAA3AAAAA8AAAAAAAAAAAAAAAAAmAIAAGRycy9k&#10;b3ducmV2LnhtbFBLBQYAAAAABAAEAPUAAACJAwAAAAA=&#10;" fillcolor="#dadcdd" stroked="f"/>
            <v:line id="Line 97" o:spid="_x0000_s1120" style="position:absolute;visibility:visible" from="57537,10159" to="57543,10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Jw+MIAAADcAAAADwAAAGRycy9kb3ducmV2LnhtbERPTYvCMBC9C/sfwix4kTWtgkg1ytJF&#10;8OBBq7LXsZlt6zaT0kSt/94Igrd5vM+ZLztTiyu1rrKsIB5GIIhzqysuFBz2q68pCOeRNdaWScGd&#10;HCwXH705JtreeEfXzBcihLBLUEHpfZNI6fKSDLqhbYgD92dbgz7AtpC6xVsIN7UcRdFEGqw4NJTY&#10;UFpS/p9djILB73QwxmN2TuNilNJ5uzn97JxS/c/uewbCU+ff4pd7rcP8OIbnM+EC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4Jw+MIAAADcAAAADwAAAAAAAAAAAAAA&#10;AAChAgAAZHJzL2Rvd25yZXYueG1sUEsFBgAAAAAEAAQA+QAAAJADAAAAAA==&#10;" strokecolor="#dadcdd" strokeweight="0"/>
            <v:rect id="Rectangle 98" o:spid="_x0000_s1121" style="position:absolute;left:57537;top:10159;width:57;height: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VXMIA&#10;AADcAAAADwAAAGRycy9kb3ducmV2LnhtbERPTWsCMRC9F/wPYQRvNbserKxGUcEiFAraKh6HzbgJ&#10;bibLJtXdf98UCt7m8T5nsepcLe7UButZQT7OQBCXXluuFHx/7V5nIEJE1lh7JgU9BVgtBy8LLLR/&#10;8IHux1iJFMKhQAUmxqaQMpSGHIaxb4gTd/Wtw5hgW0nd4iOFu1pOsmwqHVpODQYb2hoqb8cfp+Cj&#10;P9vTVOd4upw/e/P2vrEuOyg1GnbrOYhIXXyK/917nebnE/h7Jl0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x1VcwgAAANwAAAAPAAAAAAAAAAAAAAAAAJgCAABkcnMvZG93&#10;bnJldi54bWxQSwUGAAAAAAQABAD1AAAAhwMAAAAA&#10;" fillcolor="#dadcdd" stroked="f"/>
            <v:line id="Line 99" o:spid="_x0000_s1122" style="position:absolute;visibility:visible" from="57537,11289" to="57543,11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xLFMQAAADcAAAADwAAAGRycy9kb3ducmV2LnhtbERPTWvCQBC9F/wPywi9iNnEQAmpq0hE&#10;6KGHmla8jtlpEs3OhuzWpP++Wyj0No/3OevtZDpxp8G1lhUkUQyCuLK65VrBx/thmYFwHlljZ5kU&#10;fJOD7Wb2sMZc25GPdC99LUIIuxwVNN73uZSuasigi2xPHLhPOxj0AQ611AOOIdx0chXHT9Jgy6Gh&#10;wZ6Khqpb+WUULM7ZIsVTeS2SelXQ9e31sj86pR7n0+4ZhKfJ/4v/3C86zE9S+H0mXC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EsUxAAAANwAAAAPAAAAAAAAAAAA&#10;AAAAAKECAABkcnMvZG93bnJldi54bWxQSwUGAAAAAAQABAD5AAAAkgMAAAAA&#10;" strokecolor="#dadcdd" strokeweight="0"/>
            <v:rect id="Rectangle 100" o:spid="_x0000_s1123" style="position:absolute;left:57537;top:11289;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Jos8IA&#10;AADcAAAADwAAAGRycy9kb3ducmV2LnhtbERP32vCMBB+H/g/hBP2NtMOcVKNogNlMBjoVHw8mrMJ&#10;NpfSRG3/+2Uw2Nt9fD9vvuxcLe7UButZQT7KQBCXXluuFBy+Ny9TECEia6w9k4KeAiwXg6c5Fto/&#10;eEf3faxECuFQoAITY1NIGUpDDsPIN8SJu/jWYUywraRu8ZHCXS1fs2wiHVpODQYbejdUXvc3p+Cz&#10;P9njROd4PJ++evO2XVuX7ZR6HnarGYhIXfwX/7k/dJqfj+H3mXSBX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YmizwgAAANwAAAAPAAAAAAAAAAAAAAAAAJgCAABkcnMvZG93&#10;bnJldi54bWxQSwUGAAAAAAQABAD1AAAAhwMAAAAA&#10;" fillcolor="#dadcdd" stroked="f"/>
            <v:line id="Line 101" o:spid="_x0000_s1124" style="position:absolute;visibility:visible" from="57537,12413" to="57543,12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l2+8MAAADcAAAADwAAAGRycy9kb3ducmV2LnhtbERPTWvCQBC9C/0PyxS8iG6iWEJ0lRIR&#10;euihphWvY3ZMYrOzIbtq/PddQehtHu9zluveNOJKnastK4gnEQjiwuqaSwU/39txAsJ5ZI2NZVJw&#10;Jwfr1ctgiam2N97RNfelCCHsUlRQed+mUrqiIoNuYlviwJ1sZ9AH2JVSd3gL4aaR0yh6kwZrDg0V&#10;tpRVVPzmF6NgdEhGM9zn5ywupxmdvz6Pm51Tavjavy9AeOr9v/jp/tBhfjyHxzPhAr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5dvvDAAAA3AAAAA8AAAAAAAAAAAAA&#10;AAAAoQIAAGRycy9kb3ducmV2LnhtbFBLBQYAAAAABAAEAPkAAACRAwAAAAA=&#10;" strokecolor="#dadcdd" strokeweight="0"/>
            <v:rect id="Rectangle 102" o:spid="_x0000_s1125" style="position:absolute;left:57537;top:1241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X8MA&#10;AADcAAAADwAAAGRycy9kb3ducmV2LnhtbERPyWrDMBC9F/oPYgK9NbJzcIsTJTSFhEKgkMWhx8Ga&#10;WqLWyFhKYv99VCj0No+3zmI1uFZcqQ/Ws4J8moEgrr223Cg4HTfPryBCRNbYeiYFIwVYLR8fFlhq&#10;f+M9XQ+xESmEQ4kKTIxdKWWoDTkMU98RJ+7b9w5jgn0jdY+3FO5aOcuyQjq0nBoMdvRuqP45XJyC&#10;3Xi2VaFzrL7On6N52a6ty/ZKPU2GtzmISEP8F/+5P3Sanxfw+0y6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TX8MAAADcAAAADwAAAAAAAAAAAAAAAACYAgAAZHJzL2Rv&#10;d25yZXYueG1sUEsFBgAAAAAEAAQA9QAAAIgDAAAAAA==&#10;" fillcolor="#dadcdd" stroked="f"/>
            <v:line id="Line 103" o:spid="_x0000_s1126" style="position:absolute;visibility:visible" from="57537,13543" to="57543,13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dNF8MAAADcAAAADwAAAGRycy9kb3ducmV2LnhtbERPTWvCQBC9C/0PyxS8iG6iYEN0lRIR&#10;euihphWvY3ZMYrOzIbtq/PddQehtHu9zluveNOJKnastK4gnEQjiwuqaSwU/39txAsJ5ZI2NZVJw&#10;Jwfr1ctgiam2N97RNfelCCHsUlRQed+mUrqiIoNuYlviwJ1sZ9AH2JVSd3gL4aaR0yiaS4M1h4YK&#10;W8oqKn7zi1EwOiSjGe7zcxaX04zOX5/Hzc4pNXzt3xcgPPX+X/x0f+gwP36DxzPhAr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nTRfDAAAA3AAAAA8AAAAAAAAAAAAA&#10;AAAAoQIAAGRycy9kb3ducmV2LnhtbFBLBQYAAAAABAAEAPkAAACRAwAAAAA=&#10;" strokecolor="#dadcdd" strokeweight="0"/>
            <v:rect id="Rectangle 104" o:spid="_x0000_s1127" style="position:absolute;left:57537;top:1354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9itsQA&#10;AADcAAAADwAAAGRycy9kb3ducmV2LnhtbESPT0vEMBDF7wt+hzCCt920HlapTRcVFEEQ9i8eh2Zs&#10;gs2kNHG3/fbOQfA2w3vz3m/qzRR6daYx+cgGylUBiriN1nNn4LB/Wd6DShnZYh+ZDMyUYNNcLWqs&#10;bLzwls673CkJ4VShAZfzUGmdWkcB0yoOxKJ9xTFglnXstB3xIuGh17dFsdYBPUuDw4GeHbXfu59g&#10;4H0++ePalnj8PH3M7u71yYdia8zN9fT4ACrTlP/Nf9dvVvBLoZVnZALd/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vYrbEAAAA3AAAAA8AAAAAAAAAAAAAAAAAmAIAAGRycy9k&#10;b3ducmV2LnhtbFBLBQYAAAAABAAEAPUAAACJAwAAAAA=&#10;" fillcolor="#dadcdd" stroked="f"/>
            <v:line id="Line 105" o:spid="_x0000_s1128" style="position:absolute;visibility:visible" from="57537,14673" to="57543,14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R8/sMAAADcAAAADwAAAGRycy9kb3ducmV2LnhtbERPTWvCQBC9C/0PyxS8iG6iIDG6SokI&#10;PfRQ0xavY3ZMYrOzIbtq/PddQehtHu9zVpveNOJKnastK4gnEQjiwuqaSwXfX7txAsJ5ZI2NZVJw&#10;Jweb9ctgham2N97TNfelCCHsUlRQed+mUrqiIoNuYlviwJ1sZ9AH2JVSd3gL4aaR0yiaS4M1h4YK&#10;W8oqKn7zi1EwOiSjGf7k5ywupxmdPz+O271Tavjavy1BeOr9v/jpftdhfryAxzPhAr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0fP7DAAAA3AAAAA8AAAAAAAAAAAAA&#10;AAAAoQIAAGRycy9kb3ducmV2LnhtbFBLBQYAAAAABAAEAPkAAACRAwAAAAA=&#10;" strokecolor="#dadcdd" strokeweight="0"/>
            <v:rect id="Rectangle 106" o:spid="_x0000_s1129" style="position:absolute;left:57537;top:14673;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kDcUA&#10;AADcAAAADwAAAGRycy9kb3ducmV2LnhtbESPQWsCMRCF7wX/Q5iCt5rVgy1bo1ihpSAU1Coeh824&#10;CW4myybV3X/fORR6m+G9ee+bxaoPjbpRl3xkA9NJAYq4itZzbeD78P70AiplZItNZDIwUILVcvSw&#10;wNLGO+/ots+1khBOJRpwObel1qlyFDBNYkss2iV2AbOsXa1th3cJD42eFcVcB/QsDQ5b2jiqrvuf&#10;YGA7nPxxbqd4PJ++Bvf88eZDsTNm/NivX0Fl6vO/+e/60wr+TPDlGZl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NaQNxQAAANwAAAAPAAAAAAAAAAAAAAAAAJgCAABkcnMv&#10;ZG93bnJldi54bWxQSwUGAAAAAAQABAD1AAAAigMAAAAA&#10;" fillcolor="#dadcdd" stroked="f"/>
            <v:line id="Line 107" o:spid="_x0000_s1130" style="position:absolute;visibility:visible" from="57537,15804" to="57543,15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66RcMAAADcAAAADwAAAGRycy9kb3ducmV2LnhtbERPTWvCQBC9C/0PyxS8iG4SQSS6Skkp&#10;ePCgUfE6ZqdJbHY2ZLca/323IHibx/uc5bo3jbhR52rLCuJJBIK4sLrmUsHx8DWeg3AeWWNjmRQ8&#10;yMF69TZYYqrtnfd0y30pQgi7FBVU3replK6oyKCb2JY4cN+2M+gD7EqpO7yHcNPIJIpm0mDNoaHC&#10;lrKKip/81ygYneejKZ7yaxaXSUbX3fbyuXdKDd/7jwUIT71/iZ/ujQ7zkxj+nwkX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uukXDAAAA3AAAAA8AAAAAAAAAAAAA&#10;AAAAoQIAAGRycy9kb3ducmV2LnhtbFBLBQYAAAAABAAEAPkAAACRAwAAAAA=&#10;" strokecolor="#dadcdd" strokeweight="0"/>
            <v:rect id="Rectangle 108" o:spid="_x0000_s1131" style="position:absolute;left:57537;top:15804;width:57;height: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uf4cIA&#10;AADcAAAADwAAAGRycy9kb3ducmV2LnhtbERPTWsCMRC9F/wPYQRvNeserKxGUcEiFAraKh6HzbgJ&#10;bibLJtXdf98UCt7m8T5nsepcLe7UButZwWScgSAuvbZcKfj+2r3OQISIrLH2TAp6CrBaDl4WWGj/&#10;4APdj7ESKYRDgQpMjE0hZSgNOQxj3xAn7upbhzHBtpK6xUcKd7XMs2wqHVpODQYb2hoqb8cfp+Cj&#10;P9vTVE/wdDl/9ubtfWNddlBqNOzWcxCRuvgU/7v3Os3Pc/h7Jl0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5/hwgAAANwAAAAPAAAAAAAAAAAAAAAAAJgCAABkcnMvZG93&#10;bnJldi54bWxQSwUGAAAAAAQABAD1AAAAhwMAAAAA&#10;" fillcolor="#dadcdd" stroked="f"/>
            <v:line id="Line 109" o:spid="_x0000_s1132" style="position:absolute;visibility:visible" from="57537,16928" to="57543,16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CBqcIAAADcAAAADwAAAGRycy9kb3ducmV2LnhtbERPTYvCMBC9C/sfwix4EU2tsEg1ytJl&#10;wYMHrYrXsRnbus2kNFHrvzfCgrd5vM+ZLztTixu1rrKsYDyKQBDnVldcKNjvfodTEM4ja6wtk4IH&#10;OVguPnpzTLS985ZumS9ECGGXoILS+yaR0uUlGXQj2xAH7mxbgz7AtpC6xXsIN7WMo+hLGqw4NJTY&#10;UFpS/pddjYLBcTqY4CG7pOMiTumyWZ9+tk6p/mf3PQPhqfNv8b97pcP8eAKvZ8IF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CBqcIAAADcAAAADwAAAAAAAAAAAAAA&#10;AAChAgAAZHJzL2Rvd25yZXYueG1sUEsFBgAAAAAEAAQA+QAAAJADAAAAAA==&#10;" strokecolor="#dadcdd" strokeweight="0"/>
            <v:rect id="Rectangle 110" o:spid="_x0000_s1133" style="position:absolute;left:57537;top:1692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6iDsIA&#10;AADcAAAADwAAAGRycy9kb3ducmV2LnhtbERP22oCMRB9L/gPYYS+1awiVlajqFApFApe8XHYjJvg&#10;ZrJsUt39+6ZQ8G0O5zrzZesqcacmWM8KhoMMBHHhteVSwfHw8TYFESKyxsozKegowHLRe5ljrv2D&#10;d3Tfx1KkEA45KjAx1rmUoTDkMAx8TZy4q28cxgSbUuoGHyncVXKUZRPp0HJqMFjTxlBx2/84BV/d&#10;2Z4meoiny/m7M+/btXXZTqnXfruagYjUxqf43/2p0/zRGP6eSRf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DqIOwgAAANwAAAAPAAAAAAAAAAAAAAAAAJgCAABkcnMvZG93&#10;bnJldi54bWxQSwUGAAAAAAQABAD1AAAAhwMAAAAA&#10;" fillcolor="#dadcdd" stroked="f"/>
            <v:line id="Line 111" o:spid="_x0000_s1134" style="position:absolute;visibility:visible" from="57537,17899" to="57543,17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W8RsMAAADcAAAADwAAAGRycy9kb3ducmV2LnhtbERPTWvCQBC9C/0PyxS8iG6MWEJ0lRIR&#10;euihphWvY3ZMYrOzIbtq/PddQehtHu9zluveNOJKnastK5hOIhDEhdU1lwp+vrfjBITzyBoby6Tg&#10;Tg7Wq5fBElNtb7yja+5LEULYpaig8r5NpXRFRQbdxLbEgTvZzqAPsCul7vAWwk0j4yh6kwZrDg0V&#10;tpRVVPzmF6NgdEhGM9zn52xaxhmdvz6Pm51Tavjavy9AeOr9v/jp/tBhfjyHxzPhAr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VvEbDAAAA3AAAAA8AAAAAAAAAAAAA&#10;AAAAoQIAAGRycy9kb3ducmV2LnhtbFBLBQYAAAAABAAEAPkAAACRAwAAAAA=&#10;" strokecolor="#dadcdd" strokeweight="0"/>
            <v:rect id="Rectangle 112" o:spid="_x0000_s1135" style="position:absolute;left:57537;top:17899;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CZ4sIA&#10;AADcAAAADwAAAGRycy9kb3ducmV2LnhtbERPTWsCMRC9F/wPYQRvNauHbVmNooJFEAraKh6HzbgJ&#10;bibLJtXdf28Khd7m8T5nvuxcLe7UButZwWScgSAuvbZcKfj+2r6+gwgRWWPtmRT0FGC5GLzMsdD+&#10;wQe6H2MlUgiHAhWYGJtCylAachjGviFO3NW3DmOCbSV1i48U7mo5zbJcOrScGgw2tDFU3o4/TsG+&#10;P9tTrid4upw/e/P2sbYuOyg1GnarGYhIXfwX/7l3Os2f5vD7TLp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kJniwgAAANwAAAAPAAAAAAAAAAAAAAAAAJgCAABkcnMvZG93&#10;bnJldi54bWxQSwUGAAAAAAQABAD1AAAAhwMAAAAA&#10;" fillcolor="#dadcdd" stroked="f"/>
            <v:line id="Line 113" o:spid="_x0000_s1136" style="position:absolute;visibility:visible" from="57537,19029" to="57543,19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uHqsMAAADcAAAADwAAAGRycy9kb3ducmV2LnhtbERPTWvCQBC9C/0PyxS8iG6MYEN0lRIR&#10;euihphWvY3ZMYrOzIbtq/PddQehtHu9zluveNOJKnastK5hOIhDEhdU1lwp+vrfjBITzyBoby6Tg&#10;Tg7Wq5fBElNtb7yja+5LEULYpaig8r5NpXRFRQbdxLbEgTvZzqAPsCul7vAWwk0j4yiaS4M1h4YK&#10;W8oqKn7zi1EwOiSjGe7zczYt44zOX5/Hzc4pNXzt3xcgPPX+X/x0f+gwP36DxzPhAr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Lh6rDAAAA3AAAAA8AAAAAAAAAAAAA&#10;AAAAoQIAAGRycy9kb3ducmV2LnhtbFBLBQYAAAAABAAEAPkAAACRAwAAAAA=&#10;" strokecolor="#dadcdd" strokeweight="0"/>
            <v:rect id="Rectangle 114" o:spid="_x0000_s1137" style="position:absolute;left:57537;top:19029;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OoC8UA&#10;AADcAAAADwAAAGRycy9kb3ducmV2LnhtbESPQWsCMRCF7wX/Q5iCt5rVgy1bo1ihpSAU1Coeh824&#10;CW4myybV3X/fORR6m+G9ee+bxaoPjbpRl3xkA9NJAYq4itZzbeD78P70AiplZItNZDIwUILVcvSw&#10;wNLGO+/ots+1khBOJRpwObel1qlyFDBNYkss2iV2AbOsXa1th3cJD42eFcVcB/QsDQ5b2jiqrvuf&#10;YGA7nPxxbqd4PJ++Bvf88eZDsTNm/NivX0Fl6vO/+e/60wr+TGjlGZl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6gLxQAAANwAAAAPAAAAAAAAAAAAAAAAAJgCAABkcnMv&#10;ZG93bnJldi54bWxQSwUGAAAAAAQABAD1AAAAigMAAAAA&#10;" fillcolor="#dadcdd" stroked="f"/>
            <v:line id="Line 115" o:spid="_x0000_s1138" style="position:absolute;visibility:visible" from="57537,20153" to="57543,20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2Q8MAAADcAAAADwAAAGRycy9kb3ducmV2LnhtbERPTWvCQBC9C/0PyxS8iG6MIDG6SokI&#10;PfRQ0xavY3ZMYrOzIbtq/PddQehtHu9zVpveNOJKnastK5hOIhDEhdU1lwq+v3bjBITzyBoby6Tg&#10;Tg4265fBClNtb7yna+5LEULYpaig8r5NpXRFRQbdxLbEgTvZzqAPsCul7vAWwk0j4yiaS4M1h4YK&#10;W8oqKn7zi1EwOiSjGf7k52xaxhmdPz+O271Tavjavy1BeOr9v/jpftdhfryAxzPhAr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YtkPDAAAA3AAAAA8AAAAAAAAAAAAA&#10;AAAAoQIAAGRycy9kb3ducmV2LnhtbFBLBQYAAAAABAAEAPkAAACRAwAAAAA=&#10;" strokecolor="#dadcdd" strokeweight="0"/>
            <v:rect id="Rectangle 116" o:spid="_x0000_s1139" style="position:absolute;left:57537;top:20153;width:57;height: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0MUA&#10;AADcAAAADwAAAGRycy9kb3ducmV2LnhtbESPQWsCMRCF70L/Q5hCb5rVgi1bo7RCS0EQ1Co9Dpvp&#10;JnQzWTap7v575yD0NsN78943i1UfGnWmLvnIBqaTAhRxFa3n2sDX4X38DCplZItNZDIwUILV8m60&#10;wNLGC+/ovM+1khBOJRpwObel1qlyFDBNYkss2k/sAmZZu1rbDi8SHho9K4q5DuhZGhy2tHZU/e7/&#10;goHNcPLHuZ3i8fu0HdzTx5sPxc6Yh/v+9QVUpj7/m2/Xn1bwHwVfnpEJ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7DLQxQAAANwAAAAPAAAAAAAAAAAAAAAAAJgCAABkcnMv&#10;ZG93bnJldi54bWxQSwUGAAAAAAQABAD1AAAAigMAAAAA&#10;" fillcolor="#dadcdd" stroked="f"/>
            <v:line id="Line 117" o:spid="_x0000_s1140" style="position:absolute;visibility:visible" from="57537,21284" to="57543,21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csmMQAAADcAAAADwAAAGRycy9kb3ducmV2LnhtbERPTWvCQBC9F/wPywi9iNnEQAmpq0hE&#10;6KGHmla8jtlpEs3OhuzWpP++Wyj0No/3OevtZDpxp8G1lhUkUQyCuLK65VrBx/thmYFwHlljZ5kU&#10;fJOD7Wb2sMZc25GPdC99LUIIuxwVNN73uZSuasigi2xPHLhPOxj0AQ611AOOIdx0chXHT9Jgy6Gh&#10;wZ6Khqpb+WUULM7ZIsVTeS2SelXQ9e31sj86pR7n0+4ZhKfJ/4v/3C86zE8T+H0mXC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NyyYxAAAANwAAAAPAAAAAAAAAAAA&#10;AAAAAKECAABkcnMvZG93bnJldi54bWxQSwUGAAAAAAQABAD5AAAAkgMAAAAA&#10;" strokecolor="#dadcdd" strokeweight="0"/>
            <v:rect id="Rectangle 118" o:spid="_x0000_s1141" style="position:absolute;left:57537;top:21284;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IJPMIA&#10;AADcAAAADwAAAGRycy9kb3ducmV2LnhtbERP22oCMRB9L/gPYYS+1awKVlajqFApFApe8XHYjJvg&#10;ZrJsUt39+6ZQ8G0O5zrzZesqcacmWM8KhoMMBHHhteVSwfHw8TYFESKyxsozKegowHLRe5ljrv2D&#10;d3Tfx1KkEA45KjAx1rmUoTDkMAx8TZy4q28cxgSbUuoGHyncVXKUZRPp0HJqMFjTxlBx2/84BV/d&#10;2Z4meoiny/m7M+/btXXZTqnXfruagYjUxqf43/2p0/zxCP6eSRf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cgk8wgAAANwAAAAPAAAAAAAAAAAAAAAAAJgCAABkcnMvZG93&#10;bnJldi54bWxQSwUGAAAAAAQABAD1AAAAhwMAAAAA&#10;" fillcolor="#dadcdd" stroked="f"/>
            <v:line id="Line 119" o:spid="_x0000_s1142" style="position:absolute;visibility:visible" from="57537,22414" to="57543,22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kXdMQAAADcAAAADwAAAGRycy9kb3ducmV2LnhtbERPS2vCQBC+F/wPywi9iG4eUCR1FUkp&#10;9NBDTStex+w0iWZnQ3abpP/eFQq9zcf3nM1uMq0YqHeNZQXxKgJBXFrdcKXg6/N1uQbhPLLG1jIp&#10;+CUHu+3sYYOZtiMfaCh8JUIIuwwV1N53mZSurMmgW9mOOHDftjfoA+wrqXscQ7hpZRJFT9Jgw6Gh&#10;xo7ymspr8WMULE7rRYrH4pLHVZLT5eP9/HJwSj3Op/0zCE+T/xf/ud90mJ+mcH8mXCC3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qRd0xAAAANwAAAAPAAAAAAAAAAAA&#10;AAAAAKECAABkcnMvZG93bnJldi54bWxQSwUGAAAAAAQABAD5AAAAkgMAAAAA&#10;" strokecolor="#dadcdd" strokeweight="0"/>
            <v:rect id="Rectangle 120" o:spid="_x0000_s1143" style="position:absolute;left:57537;top:22414;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c008MA&#10;AADcAAAADwAAAGRycy9kb3ducmV2LnhtbERP32vCMBB+H+x/CDfwbaa6oaMaZRM2BoJgneLj0dya&#10;sOZSmqjtf78Igm/38f28+bJztThTG6xnBaNhBoK49NpypeBn9/n8BiJEZI21Z1LQU4Dl4vFhjrn2&#10;F97SuYiVSCEcclRgYmxyKUNpyGEY+oY4cb++dRgTbCupW7ykcFfLcZZNpEPLqcFgQytD5V9xcgrW&#10;/cHuJ3qE++Nh05vp14d12VapwVP3PgMRqYt38c39rdP8l1e4PpMu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c008MAAADcAAAADwAAAAAAAAAAAAAAAACYAgAAZHJzL2Rv&#10;d25yZXYueG1sUEsFBgAAAAAEAAQA9QAAAIgDAAAAAA==&#10;" fillcolor="#dadcdd" stroked="f"/>
            <v:line id="Line 121" o:spid="_x0000_s1144" style="position:absolute;visibility:visible" from="57537,23544" to="57543,23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qm8QAAADcAAAADwAAAGRycy9kb3ducmV2LnhtbERPTWvCQBC9F/oflil4Ed0k0iKpq5QU&#10;wUMPmipep9lpEpudDdk1Sf+9Wyh4m8f7nNVmNI3oqXO1ZQXxPAJBXFhdc6ng+LmdLUE4j6yxsUwK&#10;fsnBZv34sMJU24EP1Oe+FCGEXYoKKu/bVEpXVGTQzW1LHLhv2xn0AXal1B0OIdw0MomiF2mw5tBQ&#10;YUtZRcVPfjUKpufldIGn/JLFZZLRZf/x9X5wSk2exrdXEJ5Gfxf/u3c6zF88w98z4QK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CqbxAAAANwAAAAPAAAAAAAAAAAA&#10;AAAAAKECAABkcnMvZG93bnJldi54bWxQSwUGAAAAAAQABAD5AAAAkgMAAAAA&#10;" strokecolor="#dadcdd" strokeweight="0"/>
            <v:rect id="Rectangle 122" o:spid="_x0000_s1145" style="position:absolute;left:57537;top:23544;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kPP8IA&#10;AADcAAAADwAAAGRycy9kb3ducmV2LnhtbERP32vCMBB+H/g/hBP2NlMndFKNooPJYCDoVHw8mrMJ&#10;NpfSZNr+94sw2Nt9fD9vvuxcLW7UButZwXiUgSAuvbZcKTh8f7xMQYSIrLH2TAp6CrBcDJ7mWGh/&#10;5x3d9rESKYRDgQpMjE0hZSgNOQwj3xAn7uJbhzHBtpK6xXsKd7V8zbJcOrScGgw29G6ovO5/nIKv&#10;/mSPuR7j8Xza9uZts7Yu2yn1POxWMxCRuvgv/nN/6jR/ksPjmXSB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SQ8/wgAAANwAAAAPAAAAAAAAAAAAAAAAAJgCAABkcnMvZG93&#10;bnJldi54bWxQSwUGAAAAAAQABAD1AAAAhwMAAAAA&#10;" fillcolor="#dadcdd" stroked="f"/>
            <v:line id="Line 123" o:spid="_x0000_s1146" style="position:absolute;visibility:visible" from="57537,24668" to="57543,2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IRd8QAAADcAAAADwAAAGRycy9kb3ducmV2LnhtbERPTWvCQBC9F/oflil4Ed0kQiupq5QU&#10;wUMPmipep9lpEpudDdk1Sf+9Wyh4m8f7nNVmNI3oqXO1ZQXxPAJBXFhdc6ng+LmdLUE4j6yxsUwK&#10;fsnBZv34sMJU24EP1Oe+FCGEXYoKKu/bVEpXVGTQzW1LHLhv2xn0AXal1B0OIdw0MomiZ2mw5tBQ&#10;YUtZRcVPfjUKpufldIGn/JLFZZLRZf/x9X5wSk2exrdXEJ5Gfxf/u3c6zF+8wN8z4QK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hF3xAAAANwAAAAPAAAAAAAAAAAA&#10;AAAAAKECAABkcnMvZG93bnJldi54bWxQSwUGAAAAAAQABAD5AAAAkgMAAAAA&#10;" strokecolor="#dadcdd" strokeweight="0"/>
            <v:rect id="Rectangle 124" o:spid="_x0000_s1147" style="position:absolute;left:57537;top:2466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o+1sUA&#10;AADcAAAADwAAAGRycy9kb3ducmV2LnhtbESPQWsCMRCF70L/Q5hCb5rVgi1bo7RCS0EQ1Co9Dpvp&#10;JnQzWTap7v575yD0NsN78943i1UfGnWmLvnIBqaTAhRxFa3n2sDX4X38DCplZItNZDIwUILV8m60&#10;wNLGC+/ovM+1khBOJRpwObel1qlyFDBNYkss2k/sAmZZu1rbDi8SHho9K4q5DuhZGhy2tHZU/e7/&#10;goHNcPLHuZ3i8fu0HdzTx5sPxc6Yh/v+9QVUpj7/m2/Xn1bwH4VWnpEJ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mj7WxQAAANwAAAAPAAAAAAAAAAAAAAAAAJgCAABkcnMv&#10;ZG93bnJldi54bWxQSwUGAAAAAAQABAD1AAAAigMAAAAA&#10;" fillcolor="#dadcdd" stroked="f"/>
            <v:line id="Line 125" o:spid="_x0000_s1148" style="position:absolute;visibility:visible" from="57537,25799" to="57543,25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EgnsQAAADcAAAADwAAAGRycy9kb3ducmV2LnhtbERPTWvCQBC9F/oflin0IrpJhGJTVykp&#10;hR560GjxOs2OSTQ7G7LbJP33riB4m8f7nOV6NI3oqXO1ZQXxLAJBXFhdc6lgv/ucLkA4j6yxsUwK&#10;/snBevX4sMRU24G31Oe+FCGEXYoKKu/bVEpXVGTQzWxLHLij7Qz6ALtS6g6HEG4amUTRizRYc2io&#10;sKWsouKc/xkFk8NiMsef/JTFZZLRafP9+7F1Sj0/je9vIDyN/i6+ub90mD9/hesz4QK5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SCexAAAANwAAAAPAAAAAAAAAAAA&#10;AAAAAKECAABkcnMvZG93bnJldi54bWxQSwUGAAAAAAQABAD5AAAAkgMAAAAA&#10;" strokecolor="#dadcdd" strokeweight="0"/>
            <v:rect id="Rectangle 126" o:spid="_x0000_s1149" style="position:absolute;left:57537;top:2579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pBrcUA&#10;AADcAAAADwAAAGRycy9kb3ducmV2LnhtbESPQWsCMRCF70L/Q5hCb5pVii1bo7RCS0EQ1Co9Dpvp&#10;JnQzWTap7v575yD0NsN78943i1UfGnWmLvnIBqaTAhRxFa3n2sDX4X38DCplZItNZDIwUILV8m60&#10;wNLGC+/ovM+1khBOJRpwObel1qlyFDBNYkss2k/sAmZZu1rbDi8SHho9K4q5DuhZGhy2tHZU/e7/&#10;goHNcPLHuZ3i8fu0HdzTx5sPxc6Yh/v+9QVUpj7/m2/Xn1bwHwVfnpEJ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6kGtxQAAANwAAAAPAAAAAAAAAAAAAAAAAJgCAABkcnMv&#10;ZG93bnJldi54bWxQSwUGAAAAAAQABAD1AAAAigMAAAAA&#10;" fillcolor="#dadcdd" stroked="f"/>
            <v:line id="Line 127" o:spid="_x0000_s1150" style="position:absolute;visibility:visible" from="57537,26929" to="57543,2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Ff5cMAAADcAAAADwAAAGRycy9kb3ducmV2LnhtbERPTWvCQBC9C/0PyxS8iG6iUkJ0lRIR&#10;euihphWvY3ZMYrOzIbtq/PddQehtHu9zluveNOJKnastK4gnEQjiwuqaSwU/39txAsJ5ZI2NZVJw&#10;Jwfr1ctgiam2N97RNfelCCHsUlRQed+mUrqiIoNuYlviwJ1sZ9AH2JVSd3gL4aaR0yh6kwZrDg0V&#10;tpRVVPzmF6NgdEhGM9zn5ywupxmdvz6Pm51Tavjavy9AeOr9v/jp/tBh/jyGxzPhAr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xX+XDAAAA3AAAAA8AAAAAAAAAAAAA&#10;AAAAoQIAAGRycy9kb3ducmV2LnhtbFBLBQYAAAAABAAEAPkAAACRAwAAAAA=&#10;" strokecolor="#dadcdd" strokeweight="0"/>
            <v:rect id="Rectangle 128" o:spid="_x0000_s1151" style="position:absolute;left:57537;top:26929;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R6QcIA&#10;AADcAAAADwAAAGRycy9kb3ducmV2LnhtbERP22oCMRB9L/gPYYS+1awiVlajqFApFApe8XHYjJvg&#10;ZrJsUt39+6ZQ8G0O5zrzZesqcacmWM8KhoMMBHHhteVSwfHw8TYFESKyxsozKegowHLRe5ljrv2D&#10;d3Tfx1KkEA45KjAx1rmUoTDkMAx8TZy4q28cxgSbUuoGHyncVXKUZRPp0HJqMFjTxlBx2/84BV/d&#10;2Z4meoiny/m7M+/btXXZTqnXfruagYjUxqf43/2p0/zxCP6eSRf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HpBwgAAANwAAAAPAAAAAAAAAAAAAAAAAJgCAABkcnMvZG93&#10;bnJldi54bWxQSwUGAAAAAAQABAD1AAAAhwMAAAAA&#10;" fillcolor="#dadcdd" stroked="f"/>
            <v:line id="Line 129" o:spid="_x0000_s1152" style="position:absolute;visibility:visible" from="57537,28059" to="57543,28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9kCcQAAADcAAAADwAAAGRycy9kb3ducmV2LnhtbERPTWvCQBC9F/oflil4Ed0kliKpq5QU&#10;wUMPmipep9lpEpudDdk1Sf+9Wyh4m8f7nNVmNI3oqXO1ZQXxPAJBXFhdc6ng+LmdLUE4j6yxsUwK&#10;fsnBZv34sMJU24EP1Oe+FCGEXYoKKu/bVEpXVGTQzW1LHLhv2xn0AXal1B0OIdw0MomiF2mw5tBQ&#10;YUtZRcVPfjUKpufldIGn/JLFZZLRZf/x9X5wSk2exrdXEJ5Gfxf/u3c6zH9ewN8z4QK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r2QJxAAAANwAAAAPAAAAAAAAAAAA&#10;AAAAAKECAABkcnMvZG93bnJldi54bWxQSwUGAAAAAAQABAD5AAAAkgMAAAAA&#10;" strokecolor="#dadcdd" strokeweight="0"/>
            <v:rect id="Rectangle 130" o:spid="_x0000_s1153" style="position:absolute;left:57537;top:28059;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FHrsIA&#10;AADcAAAADwAAAGRycy9kb3ducmV2LnhtbERP22oCMRB9L/gPYQTfatYiVlaj2EJFKBS84uOwGTfB&#10;zWTZRN39+6ZQ8G0O5zrzZesqcacmWM8KRsMMBHHhteVSwWH/9ToFESKyxsozKegowHLRe5ljrv2D&#10;t3TfxVKkEA45KjAx1rmUoTDkMAx9TZy4i28cxgSbUuoGHyncVfItyybSoeXUYLCmT0PFdXdzCr67&#10;kz1O9AiP59NPZ97XH9ZlW6UG/XY1AxGpjU/xv3uj0/zxGP6eSRfI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0UeuwgAAANwAAAAPAAAAAAAAAAAAAAAAAJgCAABkcnMvZG93&#10;bnJldi54bWxQSwUGAAAAAAQABAD1AAAAhwMAAAAA&#10;" fillcolor="#dadcdd" stroked="f"/>
            <v:line id="Line 131" o:spid="_x0000_s1154" style="position:absolute;visibility:visible" from="57537,29189" to="57543,29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pZ5sQAAADcAAAADwAAAGRycy9kb3ducmV2LnhtbERPTWvCQBC9F/oflil4Ed3EthKia5CI&#10;4KGHmla8jtlpEpudDdlV03/fLQi9zeN9zjIbTCuu1LvGsoJ4GoEgLq1uuFLw+bGdJCCcR9bYWiYF&#10;P+QgWz0+LDHV9sZ7uha+EiGEXYoKau+7VEpX1mTQTW1HHLgv2xv0AfaV1D3eQrhp5SyK5tJgw6Gh&#10;xo7ymsrv4mIUjI/J+BkPxTmPq1lO5/e302bvlBo9DesFCE+D/xff3Tsd5r+8wt8z4QK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ClnmxAAAANwAAAAPAAAAAAAAAAAA&#10;AAAAAKECAABkcnMvZG93bnJldi54bWxQSwUGAAAAAAQABAD5AAAAkgMAAAAA&#10;" strokecolor="#dadcdd" strokeweight="0"/>
            <v:rect id="Rectangle 132" o:spid="_x0000_s1155" style="position:absolute;left:57537;top:29189;width:57;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98QsIA&#10;AADcAAAADwAAAGRycy9kb3ducmV2LnhtbERP32vCMBB+H/g/hBP2NlOHdFKNooPJYCDoVHw8mrMJ&#10;NpfSZNr+94sw2Nt9fD9vvuxcLW7UButZwXiUgSAuvbZcKTh8f7xMQYSIrLH2TAp6CrBcDJ7mWGh/&#10;5x3d9rESKYRDgQpMjE0hZSgNOQwj3xAn7uJbhzHBtpK6xXsKd7V8zbJcOrScGgw29G6ovO5/nIKv&#10;/mSPuR7j8Xza9uZts7Yu2yn1POxWMxCRuvgv/nN/6jR/ksPjmXSB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T3xCwgAAANwAAAAPAAAAAAAAAAAAAAAAAJgCAABkcnMvZG93&#10;bnJldi54bWxQSwUGAAAAAAQABAD1AAAAhwMAAAAA&#10;" fillcolor="#dadcdd" stroked="f"/>
            <w10:anchorlock/>
          </v:group>
        </w:pict>
      </w:r>
    </w:p>
    <w:p w:rsidR="000938C1" w:rsidRDefault="000938C1" w:rsidP="00CE5B9C">
      <w:pPr>
        <w:widowControl w:val="0"/>
        <w:autoSpaceDE w:val="0"/>
        <w:autoSpaceDN w:val="0"/>
        <w:adjustRightInd w:val="0"/>
        <w:spacing w:after="120"/>
        <w:ind w:firstLine="708"/>
        <w:jc w:val="both"/>
        <w:rPr>
          <w:lang w:val="en-US"/>
        </w:rPr>
      </w:pPr>
    </w:p>
    <w:p w:rsidR="000938C1" w:rsidRDefault="000938C1" w:rsidP="00CE5B9C">
      <w:pPr>
        <w:widowControl w:val="0"/>
        <w:autoSpaceDE w:val="0"/>
        <w:autoSpaceDN w:val="0"/>
        <w:adjustRightInd w:val="0"/>
        <w:spacing w:after="120"/>
        <w:ind w:firstLine="708"/>
        <w:jc w:val="both"/>
        <w:rPr>
          <w:lang w:val="en-US"/>
        </w:rPr>
      </w:pPr>
    </w:p>
    <w:p w:rsidR="000938C1" w:rsidRPr="00CF1A14" w:rsidRDefault="000938C1" w:rsidP="007C69A5">
      <w:pPr>
        <w:jc w:val="both"/>
        <w:rPr>
          <w:color w:val="0070C0"/>
        </w:rPr>
      </w:pPr>
    </w:p>
    <w:p w:rsidR="000938C1" w:rsidRPr="00CE5B9C" w:rsidRDefault="000938C1" w:rsidP="00CE5B9C">
      <w:pPr>
        <w:widowControl w:val="0"/>
        <w:autoSpaceDE w:val="0"/>
        <w:autoSpaceDN w:val="0"/>
        <w:adjustRightInd w:val="0"/>
        <w:spacing w:after="120"/>
        <w:ind w:firstLine="708"/>
        <w:jc w:val="both"/>
        <w:rPr>
          <w:color w:val="0070C0"/>
          <w:lang w:val="en-US"/>
        </w:rPr>
      </w:pPr>
    </w:p>
    <w:p w:rsidR="000938C1" w:rsidRPr="00104728" w:rsidRDefault="000938C1" w:rsidP="00305984">
      <w:pPr>
        <w:keepNext/>
        <w:jc w:val="center"/>
        <w:outlineLvl w:val="0"/>
        <w:rPr>
          <w:b/>
        </w:rPr>
      </w:pPr>
      <w:bookmarkStart w:id="269" w:name="_Toc136597755"/>
      <w:bookmarkStart w:id="270" w:name="_Toc136601658"/>
      <w:bookmarkStart w:id="271" w:name="_Toc167181042"/>
      <w:bookmarkStart w:id="272" w:name="_Toc324863437"/>
      <w:r w:rsidRPr="00CF1A14">
        <w:rPr>
          <w:color w:val="0070C0"/>
        </w:rPr>
        <w:br w:type="page"/>
      </w:r>
      <w:bookmarkStart w:id="273" w:name="_Toc393728088"/>
      <w:r w:rsidRPr="00104728">
        <w:rPr>
          <w:b/>
        </w:rPr>
        <w:t>III. ИЗПЪЛНЕНИЕ НА КОНСОЛИДИРАНАТА ФИСКАЛНА ПРОГРАМА ПО СЪСТАВНИ БЮДЖЕТИ</w:t>
      </w:r>
      <w:bookmarkEnd w:id="269"/>
      <w:bookmarkEnd w:id="270"/>
      <w:bookmarkEnd w:id="271"/>
      <w:bookmarkEnd w:id="272"/>
      <w:bookmarkEnd w:id="273"/>
    </w:p>
    <w:p w:rsidR="000938C1" w:rsidRPr="00104728" w:rsidRDefault="000938C1" w:rsidP="00FB2174">
      <w:pPr>
        <w:pStyle w:val="Header"/>
        <w:tabs>
          <w:tab w:val="clear" w:pos="4153"/>
          <w:tab w:val="clear" w:pos="8306"/>
          <w:tab w:val="left" w:pos="720"/>
          <w:tab w:val="left" w:pos="969"/>
        </w:tabs>
        <w:ind w:right="57" w:firstLine="540"/>
        <w:jc w:val="both"/>
        <w:rPr>
          <w:highlight w:val="yellow"/>
        </w:rPr>
      </w:pPr>
    </w:p>
    <w:p w:rsidR="000938C1" w:rsidRPr="00104728" w:rsidRDefault="000938C1" w:rsidP="00F30F79">
      <w:pPr>
        <w:pStyle w:val="Heading2"/>
        <w:numPr>
          <w:ilvl w:val="1"/>
          <w:numId w:val="31"/>
        </w:numPr>
        <w:rPr>
          <w:rFonts w:ascii="Times New Roman" w:hAnsi="Times New Roman" w:cs="Times New Roman"/>
          <w:i w:val="0"/>
          <w:iCs w:val="0"/>
          <w:sz w:val="24"/>
        </w:rPr>
      </w:pPr>
      <w:bookmarkStart w:id="274" w:name="_Toc393728089"/>
      <w:r w:rsidRPr="00104728">
        <w:rPr>
          <w:rFonts w:ascii="Times New Roman" w:hAnsi="Times New Roman" w:cs="Times New Roman"/>
          <w:i w:val="0"/>
          <w:iCs w:val="0"/>
          <w:sz w:val="24"/>
        </w:rPr>
        <w:t>Републикански бюджет</w:t>
      </w:r>
      <w:bookmarkEnd w:id="274"/>
    </w:p>
    <w:p w:rsidR="000938C1" w:rsidRPr="00CF1A14" w:rsidRDefault="000938C1" w:rsidP="003F13DB">
      <w:pPr>
        <w:rPr>
          <w:b/>
          <w:color w:val="0070C0"/>
          <w:sz w:val="12"/>
          <w:szCs w:val="12"/>
        </w:rPr>
      </w:pPr>
    </w:p>
    <w:p w:rsidR="000938C1" w:rsidRPr="00104728" w:rsidRDefault="000938C1" w:rsidP="003F13DB">
      <w:pPr>
        <w:numPr>
          <w:ilvl w:val="0"/>
          <w:numId w:val="2"/>
        </w:numPr>
        <w:rPr>
          <w:b/>
        </w:rPr>
      </w:pPr>
      <w:r w:rsidRPr="00104728">
        <w:rPr>
          <w:b/>
        </w:rPr>
        <w:t>Основни параметри на изпълнението на републиканския бюджет за 201</w:t>
      </w:r>
      <w:r w:rsidRPr="002255D3">
        <w:rPr>
          <w:b/>
          <w:lang w:val="ru-RU"/>
        </w:rPr>
        <w:t>3</w:t>
      </w:r>
      <w:r w:rsidRPr="00104728">
        <w:rPr>
          <w:b/>
        </w:rPr>
        <w:t xml:space="preserve"> г.</w:t>
      </w:r>
    </w:p>
    <w:p w:rsidR="000938C1" w:rsidRPr="00CF1A14" w:rsidRDefault="000938C1" w:rsidP="003F13DB">
      <w:pPr>
        <w:rPr>
          <w:b/>
          <w:color w:val="0070C0"/>
        </w:rPr>
      </w:pPr>
    </w:p>
    <w:p w:rsidR="000938C1" w:rsidRPr="00C92267" w:rsidRDefault="000938C1" w:rsidP="00104728">
      <w:pPr>
        <w:ind w:firstLine="540"/>
        <w:jc w:val="both"/>
      </w:pPr>
      <w:bookmarkStart w:id="275" w:name="_Toc324863439"/>
      <w:bookmarkStart w:id="276" w:name="_Toc136597758"/>
      <w:bookmarkStart w:id="277" w:name="_Toc136601661"/>
      <w:bookmarkStart w:id="278" w:name="_Toc136597763"/>
      <w:bookmarkStart w:id="279" w:name="_Toc136601666"/>
      <w:r w:rsidRPr="00C92267">
        <w:t>Изпълнението на основните показатели на републиканския бюджет, на база на отчета за касовото изпълнение към 31.12.2013 г., съпоставено с предходната година и програмата е както следва:</w:t>
      </w:r>
    </w:p>
    <w:p w:rsidR="000938C1" w:rsidRPr="00C92267" w:rsidRDefault="000938C1" w:rsidP="00104728">
      <w:pPr>
        <w:jc w:val="both"/>
        <w:rPr>
          <w:sz w:val="16"/>
          <w:szCs w:val="16"/>
        </w:rPr>
      </w:pPr>
    </w:p>
    <w:p w:rsidR="000938C1" w:rsidRPr="00C92267" w:rsidRDefault="000938C1" w:rsidP="00104728">
      <w:pPr>
        <w:ind w:firstLine="540"/>
        <w:jc w:val="center"/>
        <w:rPr>
          <w:b/>
          <w:i/>
        </w:rPr>
      </w:pPr>
      <w:r w:rsidRPr="00C92267">
        <w:rPr>
          <w:b/>
          <w:i/>
        </w:rPr>
        <w:t>Изпълнение на републиканския бюджет за 2012 г. и 2013 г. и изпълнение на параметрите по ЗИД на ЗДБРБ за 2013 г.</w:t>
      </w:r>
    </w:p>
    <w:p w:rsidR="000938C1" w:rsidRPr="00C92267" w:rsidRDefault="000938C1" w:rsidP="00104728">
      <w:pPr>
        <w:jc w:val="both"/>
        <w:rPr>
          <w:b/>
          <w:sz w:val="18"/>
          <w:szCs w:val="18"/>
        </w:rPr>
      </w:pPr>
      <w:r w:rsidRPr="00C92267">
        <w:rPr>
          <w:b/>
          <w:i/>
          <w:sz w:val="16"/>
          <w:szCs w:val="16"/>
        </w:rPr>
        <w:tab/>
      </w:r>
      <w:r w:rsidRPr="00C92267">
        <w:rPr>
          <w:b/>
          <w:i/>
          <w:sz w:val="16"/>
          <w:szCs w:val="16"/>
        </w:rPr>
        <w:tab/>
      </w:r>
      <w:r w:rsidRPr="00C92267">
        <w:rPr>
          <w:b/>
          <w:i/>
          <w:sz w:val="16"/>
          <w:szCs w:val="16"/>
        </w:rPr>
        <w:tab/>
      </w:r>
      <w:r w:rsidRPr="00C92267">
        <w:rPr>
          <w:b/>
          <w:i/>
          <w:sz w:val="16"/>
          <w:szCs w:val="16"/>
        </w:rPr>
        <w:tab/>
      </w:r>
      <w:r w:rsidRPr="00C92267">
        <w:rPr>
          <w:b/>
          <w:i/>
          <w:sz w:val="16"/>
          <w:szCs w:val="16"/>
        </w:rPr>
        <w:tab/>
      </w:r>
      <w:r w:rsidRPr="00C92267">
        <w:rPr>
          <w:b/>
          <w:i/>
          <w:sz w:val="16"/>
          <w:szCs w:val="16"/>
        </w:rPr>
        <w:tab/>
      </w:r>
      <w:r w:rsidRPr="00C92267">
        <w:rPr>
          <w:b/>
          <w:i/>
          <w:sz w:val="16"/>
          <w:szCs w:val="16"/>
        </w:rPr>
        <w:tab/>
      </w:r>
      <w:r w:rsidRPr="00C92267">
        <w:rPr>
          <w:b/>
          <w:i/>
          <w:sz w:val="16"/>
          <w:szCs w:val="16"/>
        </w:rPr>
        <w:tab/>
      </w:r>
      <w:r w:rsidRPr="00C92267">
        <w:rPr>
          <w:b/>
          <w:i/>
          <w:sz w:val="16"/>
          <w:szCs w:val="16"/>
        </w:rPr>
        <w:tab/>
      </w:r>
      <w:r w:rsidRPr="00C92267">
        <w:rPr>
          <w:b/>
          <w:i/>
          <w:sz w:val="16"/>
          <w:szCs w:val="16"/>
        </w:rPr>
        <w:tab/>
      </w:r>
      <w:r w:rsidRPr="00C92267">
        <w:rPr>
          <w:b/>
          <w:i/>
          <w:sz w:val="16"/>
          <w:szCs w:val="16"/>
        </w:rPr>
        <w:tab/>
      </w:r>
      <w:r w:rsidRPr="00C92267">
        <w:rPr>
          <w:b/>
          <w:sz w:val="18"/>
          <w:szCs w:val="18"/>
        </w:rPr>
        <w:t>(млн. лв.)</w:t>
      </w:r>
    </w:p>
    <w:tbl>
      <w:tblPr>
        <w:tblW w:w="9007" w:type="dxa"/>
        <w:tblInd w:w="47" w:type="dxa"/>
        <w:tblCellMar>
          <w:left w:w="70" w:type="dxa"/>
          <w:right w:w="70" w:type="dxa"/>
        </w:tblCellMar>
        <w:tblLook w:val="0000"/>
      </w:tblPr>
      <w:tblGrid>
        <w:gridCol w:w="3700"/>
        <w:gridCol w:w="943"/>
        <w:gridCol w:w="940"/>
        <w:gridCol w:w="943"/>
        <w:gridCol w:w="1261"/>
        <w:gridCol w:w="1220"/>
      </w:tblGrid>
      <w:tr w:rsidR="000938C1" w:rsidRPr="00C92267" w:rsidTr="00D9479E">
        <w:trPr>
          <w:trHeight w:val="735"/>
        </w:trPr>
        <w:tc>
          <w:tcPr>
            <w:tcW w:w="3700" w:type="dxa"/>
            <w:tcBorders>
              <w:top w:val="double" w:sz="6" w:space="0" w:color="800000"/>
              <w:left w:val="double" w:sz="6" w:space="0" w:color="800000"/>
              <w:bottom w:val="single" w:sz="8" w:space="0" w:color="FFFFFF"/>
              <w:right w:val="single" w:sz="8" w:space="0" w:color="FFFFFF"/>
            </w:tcBorders>
            <w:shd w:val="clear" w:color="auto" w:fill="800000"/>
            <w:vAlign w:val="center"/>
          </w:tcPr>
          <w:p w:rsidR="000938C1" w:rsidRPr="00C92267" w:rsidRDefault="000938C1" w:rsidP="00D9479E">
            <w:pPr>
              <w:jc w:val="center"/>
              <w:rPr>
                <w:b/>
                <w:bCs/>
                <w:sz w:val="20"/>
                <w:szCs w:val="20"/>
              </w:rPr>
            </w:pPr>
            <w:r w:rsidRPr="00C92267">
              <w:rPr>
                <w:b/>
                <w:bCs/>
                <w:sz w:val="20"/>
                <w:szCs w:val="20"/>
              </w:rPr>
              <w:t>РЕПУБЛИКАНСКИ БЮДЖЕТ</w:t>
            </w:r>
          </w:p>
        </w:tc>
        <w:tc>
          <w:tcPr>
            <w:tcW w:w="943" w:type="dxa"/>
            <w:tcBorders>
              <w:top w:val="double" w:sz="6" w:space="0" w:color="800000"/>
              <w:left w:val="nil"/>
              <w:bottom w:val="single" w:sz="8" w:space="0" w:color="FFFFFF"/>
              <w:right w:val="nil"/>
            </w:tcBorders>
            <w:shd w:val="clear" w:color="auto" w:fill="800000"/>
            <w:noWrap/>
            <w:vAlign w:val="center"/>
          </w:tcPr>
          <w:p w:rsidR="000938C1" w:rsidRPr="00C92267" w:rsidRDefault="000938C1" w:rsidP="00D9479E">
            <w:pPr>
              <w:jc w:val="center"/>
              <w:rPr>
                <w:b/>
                <w:bCs/>
                <w:sz w:val="20"/>
                <w:szCs w:val="20"/>
              </w:rPr>
            </w:pPr>
            <w:r w:rsidRPr="00C92267">
              <w:rPr>
                <w:b/>
                <w:bCs/>
                <w:sz w:val="20"/>
                <w:szCs w:val="20"/>
              </w:rPr>
              <w:t>ОТЧЕТ</w:t>
            </w:r>
          </w:p>
          <w:p w:rsidR="000938C1" w:rsidRPr="00C92267" w:rsidRDefault="000938C1" w:rsidP="00D9479E">
            <w:pPr>
              <w:jc w:val="center"/>
              <w:rPr>
                <w:b/>
                <w:bCs/>
                <w:sz w:val="20"/>
                <w:szCs w:val="20"/>
              </w:rPr>
            </w:pPr>
            <w:r w:rsidRPr="00C92267">
              <w:rPr>
                <w:b/>
                <w:bCs/>
                <w:sz w:val="20"/>
                <w:szCs w:val="20"/>
              </w:rPr>
              <w:t>201</w:t>
            </w:r>
            <w:r>
              <w:rPr>
                <w:b/>
                <w:bCs/>
                <w:sz w:val="20"/>
                <w:szCs w:val="20"/>
              </w:rPr>
              <w:t>2</w:t>
            </w:r>
            <w:r w:rsidRPr="00C92267">
              <w:rPr>
                <w:b/>
                <w:bCs/>
                <w:sz w:val="20"/>
                <w:szCs w:val="20"/>
              </w:rPr>
              <w:t xml:space="preserve"> г.</w:t>
            </w:r>
          </w:p>
        </w:tc>
        <w:tc>
          <w:tcPr>
            <w:tcW w:w="940" w:type="dxa"/>
            <w:tcBorders>
              <w:top w:val="double" w:sz="6" w:space="0" w:color="800000"/>
              <w:left w:val="single" w:sz="8" w:space="0" w:color="FFFFFF"/>
              <w:bottom w:val="single" w:sz="8" w:space="0" w:color="FFFFFF"/>
              <w:right w:val="nil"/>
            </w:tcBorders>
            <w:shd w:val="clear" w:color="auto" w:fill="800000"/>
            <w:noWrap/>
            <w:vAlign w:val="center"/>
          </w:tcPr>
          <w:p w:rsidR="000938C1" w:rsidRPr="00C92267" w:rsidRDefault="000938C1" w:rsidP="00D9479E">
            <w:pPr>
              <w:jc w:val="center"/>
              <w:rPr>
                <w:b/>
                <w:bCs/>
                <w:sz w:val="20"/>
                <w:szCs w:val="20"/>
              </w:rPr>
            </w:pPr>
            <w:r w:rsidRPr="00C92267">
              <w:rPr>
                <w:b/>
                <w:bCs/>
                <w:sz w:val="20"/>
                <w:szCs w:val="20"/>
              </w:rPr>
              <w:t>ЗДБРБ</w:t>
            </w:r>
          </w:p>
          <w:p w:rsidR="000938C1" w:rsidRPr="00C92267" w:rsidRDefault="000938C1" w:rsidP="00D9479E">
            <w:pPr>
              <w:jc w:val="center"/>
              <w:rPr>
                <w:b/>
                <w:bCs/>
                <w:sz w:val="20"/>
                <w:szCs w:val="20"/>
              </w:rPr>
            </w:pPr>
            <w:r w:rsidRPr="00C92267">
              <w:rPr>
                <w:b/>
                <w:bCs/>
                <w:sz w:val="20"/>
                <w:szCs w:val="20"/>
              </w:rPr>
              <w:t>201</w:t>
            </w:r>
            <w:r>
              <w:rPr>
                <w:b/>
                <w:bCs/>
                <w:sz w:val="20"/>
                <w:szCs w:val="20"/>
              </w:rPr>
              <w:t>3</w:t>
            </w:r>
            <w:r w:rsidRPr="00C92267">
              <w:rPr>
                <w:b/>
                <w:bCs/>
                <w:sz w:val="20"/>
                <w:szCs w:val="20"/>
              </w:rPr>
              <w:t xml:space="preserve"> г.</w:t>
            </w:r>
          </w:p>
        </w:tc>
        <w:tc>
          <w:tcPr>
            <w:tcW w:w="943" w:type="dxa"/>
            <w:tcBorders>
              <w:top w:val="double" w:sz="6" w:space="0" w:color="800000"/>
              <w:left w:val="single" w:sz="8" w:space="0" w:color="FFFFFF"/>
              <w:bottom w:val="single" w:sz="8" w:space="0" w:color="FFFFFF"/>
              <w:right w:val="nil"/>
            </w:tcBorders>
            <w:shd w:val="clear" w:color="auto" w:fill="800000"/>
            <w:noWrap/>
            <w:vAlign w:val="center"/>
          </w:tcPr>
          <w:p w:rsidR="000938C1" w:rsidRPr="00C92267" w:rsidRDefault="000938C1" w:rsidP="00D9479E">
            <w:pPr>
              <w:jc w:val="center"/>
              <w:rPr>
                <w:b/>
                <w:bCs/>
                <w:sz w:val="20"/>
                <w:szCs w:val="20"/>
              </w:rPr>
            </w:pPr>
            <w:r w:rsidRPr="00C92267">
              <w:rPr>
                <w:b/>
                <w:bCs/>
                <w:sz w:val="20"/>
                <w:szCs w:val="20"/>
              </w:rPr>
              <w:t>ОТЧЕТ</w:t>
            </w:r>
          </w:p>
          <w:p w:rsidR="000938C1" w:rsidRPr="00C92267" w:rsidRDefault="000938C1" w:rsidP="00D9479E">
            <w:pPr>
              <w:jc w:val="center"/>
              <w:rPr>
                <w:b/>
                <w:bCs/>
                <w:sz w:val="20"/>
                <w:szCs w:val="20"/>
              </w:rPr>
            </w:pPr>
            <w:r w:rsidRPr="00C92267">
              <w:rPr>
                <w:b/>
                <w:bCs/>
                <w:sz w:val="20"/>
                <w:szCs w:val="20"/>
              </w:rPr>
              <w:t>201</w:t>
            </w:r>
            <w:r>
              <w:rPr>
                <w:b/>
                <w:bCs/>
                <w:sz w:val="20"/>
                <w:szCs w:val="20"/>
              </w:rPr>
              <w:t>3</w:t>
            </w:r>
            <w:r w:rsidRPr="00C92267">
              <w:rPr>
                <w:b/>
                <w:bCs/>
                <w:sz w:val="20"/>
                <w:szCs w:val="20"/>
              </w:rPr>
              <w:t xml:space="preserve"> г.</w:t>
            </w:r>
          </w:p>
        </w:tc>
        <w:tc>
          <w:tcPr>
            <w:tcW w:w="1261" w:type="dxa"/>
            <w:tcBorders>
              <w:top w:val="double" w:sz="6" w:space="0" w:color="800000"/>
              <w:left w:val="single" w:sz="8" w:space="0" w:color="FFFFFF"/>
              <w:bottom w:val="single" w:sz="8" w:space="0" w:color="FFFFFF"/>
              <w:right w:val="nil"/>
            </w:tcBorders>
            <w:shd w:val="clear" w:color="auto" w:fill="800000"/>
            <w:vAlign w:val="center"/>
          </w:tcPr>
          <w:p w:rsidR="000938C1" w:rsidRPr="00C92267" w:rsidRDefault="000938C1" w:rsidP="00D9479E">
            <w:pPr>
              <w:jc w:val="center"/>
              <w:rPr>
                <w:b/>
                <w:bCs/>
                <w:sz w:val="20"/>
                <w:szCs w:val="20"/>
              </w:rPr>
            </w:pPr>
            <w:r w:rsidRPr="00C92267">
              <w:rPr>
                <w:b/>
                <w:bCs/>
                <w:sz w:val="20"/>
                <w:szCs w:val="20"/>
              </w:rPr>
              <w:t>Отчет 201</w:t>
            </w:r>
            <w:r>
              <w:rPr>
                <w:b/>
                <w:bCs/>
                <w:sz w:val="20"/>
                <w:szCs w:val="20"/>
              </w:rPr>
              <w:t>3</w:t>
            </w:r>
            <w:r w:rsidRPr="00C92267">
              <w:rPr>
                <w:b/>
                <w:bCs/>
                <w:sz w:val="20"/>
                <w:szCs w:val="20"/>
              </w:rPr>
              <w:br/>
              <w:t>към 201</w:t>
            </w:r>
            <w:r>
              <w:rPr>
                <w:b/>
                <w:bCs/>
                <w:sz w:val="20"/>
                <w:szCs w:val="20"/>
              </w:rPr>
              <w:t>2</w:t>
            </w:r>
          </w:p>
        </w:tc>
        <w:tc>
          <w:tcPr>
            <w:tcW w:w="1220" w:type="dxa"/>
            <w:tcBorders>
              <w:top w:val="double" w:sz="6" w:space="0" w:color="800000"/>
              <w:left w:val="single" w:sz="8" w:space="0" w:color="FFFFFF"/>
              <w:bottom w:val="single" w:sz="8" w:space="0" w:color="FFFFFF"/>
              <w:right w:val="double" w:sz="6" w:space="0" w:color="800000"/>
            </w:tcBorders>
            <w:shd w:val="clear" w:color="auto" w:fill="800000"/>
            <w:vAlign w:val="center"/>
          </w:tcPr>
          <w:p w:rsidR="000938C1" w:rsidRPr="00C92267" w:rsidRDefault="000938C1" w:rsidP="00D9479E">
            <w:pPr>
              <w:jc w:val="center"/>
              <w:rPr>
                <w:b/>
                <w:bCs/>
                <w:sz w:val="20"/>
                <w:szCs w:val="20"/>
              </w:rPr>
            </w:pPr>
            <w:r w:rsidRPr="00C92267">
              <w:rPr>
                <w:b/>
                <w:bCs/>
                <w:sz w:val="20"/>
                <w:szCs w:val="20"/>
              </w:rPr>
              <w:t>Отчет 201</w:t>
            </w:r>
            <w:r>
              <w:rPr>
                <w:b/>
                <w:bCs/>
                <w:sz w:val="20"/>
                <w:szCs w:val="20"/>
              </w:rPr>
              <w:t>3</w:t>
            </w:r>
            <w:r w:rsidRPr="00C92267">
              <w:rPr>
                <w:b/>
                <w:bCs/>
                <w:sz w:val="20"/>
                <w:szCs w:val="20"/>
              </w:rPr>
              <w:br/>
              <w:t>към ЗДБРБ</w:t>
            </w:r>
          </w:p>
        </w:tc>
      </w:tr>
      <w:tr w:rsidR="000938C1" w:rsidRPr="00C92267" w:rsidTr="00D9479E">
        <w:trPr>
          <w:trHeight w:val="186"/>
        </w:trPr>
        <w:tc>
          <w:tcPr>
            <w:tcW w:w="3700" w:type="dxa"/>
            <w:tcBorders>
              <w:top w:val="nil"/>
              <w:left w:val="double" w:sz="6" w:space="0" w:color="800000"/>
              <w:bottom w:val="double" w:sz="6" w:space="0" w:color="800000"/>
              <w:right w:val="single" w:sz="8" w:space="0" w:color="FFFFFF"/>
            </w:tcBorders>
            <w:shd w:val="clear" w:color="auto" w:fill="800000"/>
            <w:noWrap/>
            <w:vAlign w:val="bottom"/>
          </w:tcPr>
          <w:p w:rsidR="000938C1" w:rsidRPr="00C92267" w:rsidRDefault="000938C1" w:rsidP="00D9479E">
            <w:pPr>
              <w:jc w:val="center"/>
              <w:rPr>
                <w:b/>
                <w:bCs/>
                <w:sz w:val="14"/>
                <w:szCs w:val="14"/>
              </w:rPr>
            </w:pPr>
            <w:r w:rsidRPr="00C92267">
              <w:rPr>
                <w:b/>
                <w:bCs/>
                <w:sz w:val="14"/>
                <w:szCs w:val="14"/>
              </w:rPr>
              <w:t>К. 1</w:t>
            </w:r>
          </w:p>
        </w:tc>
        <w:tc>
          <w:tcPr>
            <w:tcW w:w="943" w:type="dxa"/>
            <w:tcBorders>
              <w:top w:val="single" w:sz="8" w:space="0" w:color="FFFFFF"/>
              <w:left w:val="nil"/>
              <w:bottom w:val="nil"/>
              <w:right w:val="nil"/>
            </w:tcBorders>
            <w:shd w:val="clear" w:color="auto" w:fill="800000"/>
            <w:noWrap/>
            <w:vAlign w:val="bottom"/>
          </w:tcPr>
          <w:p w:rsidR="000938C1" w:rsidRPr="00C92267" w:rsidRDefault="000938C1" w:rsidP="00D9479E">
            <w:pPr>
              <w:jc w:val="center"/>
              <w:rPr>
                <w:b/>
                <w:bCs/>
                <w:sz w:val="14"/>
                <w:szCs w:val="14"/>
              </w:rPr>
            </w:pPr>
            <w:r w:rsidRPr="00C92267">
              <w:rPr>
                <w:b/>
                <w:bCs/>
                <w:sz w:val="14"/>
                <w:szCs w:val="14"/>
              </w:rPr>
              <w:t>К. 2</w:t>
            </w:r>
          </w:p>
        </w:tc>
        <w:tc>
          <w:tcPr>
            <w:tcW w:w="940" w:type="dxa"/>
            <w:tcBorders>
              <w:top w:val="single" w:sz="8" w:space="0" w:color="FFFFFF"/>
              <w:left w:val="single" w:sz="8" w:space="0" w:color="FFFFFF"/>
              <w:bottom w:val="nil"/>
              <w:right w:val="single" w:sz="8" w:space="0" w:color="FFFFFF"/>
            </w:tcBorders>
            <w:shd w:val="clear" w:color="auto" w:fill="800000"/>
            <w:noWrap/>
            <w:vAlign w:val="bottom"/>
          </w:tcPr>
          <w:p w:rsidR="000938C1" w:rsidRPr="00C92267" w:rsidRDefault="000938C1" w:rsidP="00D9479E">
            <w:pPr>
              <w:jc w:val="center"/>
              <w:rPr>
                <w:b/>
                <w:bCs/>
                <w:sz w:val="14"/>
                <w:szCs w:val="14"/>
              </w:rPr>
            </w:pPr>
            <w:r w:rsidRPr="00C92267">
              <w:rPr>
                <w:b/>
                <w:bCs/>
                <w:sz w:val="14"/>
                <w:szCs w:val="14"/>
              </w:rPr>
              <w:t>К. 3</w:t>
            </w:r>
          </w:p>
        </w:tc>
        <w:tc>
          <w:tcPr>
            <w:tcW w:w="943" w:type="dxa"/>
            <w:tcBorders>
              <w:top w:val="single" w:sz="8" w:space="0" w:color="FFFFFF"/>
              <w:left w:val="nil"/>
              <w:bottom w:val="nil"/>
              <w:right w:val="nil"/>
            </w:tcBorders>
            <w:shd w:val="clear" w:color="auto" w:fill="800000"/>
            <w:noWrap/>
            <w:vAlign w:val="bottom"/>
          </w:tcPr>
          <w:p w:rsidR="000938C1" w:rsidRPr="00C92267" w:rsidRDefault="000938C1" w:rsidP="00D9479E">
            <w:pPr>
              <w:jc w:val="center"/>
              <w:rPr>
                <w:b/>
                <w:bCs/>
                <w:sz w:val="14"/>
                <w:szCs w:val="14"/>
              </w:rPr>
            </w:pPr>
            <w:r w:rsidRPr="00C92267">
              <w:rPr>
                <w:b/>
                <w:bCs/>
                <w:sz w:val="14"/>
                <w:szCs w:val="14"/>
              </w:rPr>
              <w:t>К. 4</w:t>
            </w:r>
          </w:p>
        </w:tc>
        <w:tc>
          <w:tcPr>
            <w:tcW w:w="1261" w:type="dxa"/>
            <w:tcBorders>
              <w:top w:val="single" w:sz="8" w:space="0" w:color="FFFFFF"/>
              <w:left w:val="single" w:sz="8" w:space="0" w:color="FFFFFF"/>
              <w:bottom w:val="nil"/>
              <w:right w:val="nil"/>
            </w:tcBorders>
            <w:shd w:val="clear" w:color="auto" w:fill="800000"/>
            <w:noWrap/>
            <w:vAlign w:val="bottom"/>
          </w:tcPr>
          <w:p w:rsidR="000938C1" w:rsidRPr="00C92267" w:rsidRDefault="000938C1" w:rsidP="00D9479E">
            <w:pPr>
              <w:jc w:val="center"/>
              <w:rPr>
                <w:b/>
                <w:bCs/>
                <w:sz w:val="14"/>
                <w:szCs w:val="14"/>
              </w:rPr>
            </w:pPr>
            <w:r w:rsidRPr="00C92267">
              <w:rPr>
                <w:b/>
                <w:bCs/>
                <w:sz w:val="14"/>
                <w:szCs w:val="14"/>
              </w:rPr>
              <w:t>К. 5=</w:t>
            </w:r>
            <w:r w:rsidRPr="00C92267">
              <w:rPr>
                <w:b/>
                <w:bCs/>
                <w:sz w:val="20"/>
                <w:szCs w:val="20"/>
              </w:rPr>
              <w:t xml:space="preserve"> к.4:к.2</w:t>
            </w:r>
          </w:p>
        </w:tc>
        <w:tc>
          <w:tcPr>
            <w:tcW w:w="1220" w:type="dxa"/>
            <w:tcBorders>
              <w:top w:val="single" w:sz="8" w:space="0" w:color="FFFFFF"/>
              <w:left w:val="single" w:sz="8" w:space="0" w:color="FFFFFF"/>
              <w:bottom w:val="nil"/>
              <w:right w:val="double" w:sz="6" w:space="0" w:color="800000"/>
            </w:tcBorders>
            <w:shd w:val="clear" w:color="auto" w:fill="800000"/>
            <w:noWrap/>
            <w:vAlign w:val="bottom"/>
          </w:tcPr>
          <w:p w:rsidR="000938C1" w:rsidRPr="00C92267" w:rsidRDefault="000938C1" w:rsidP="00D9479E">
            <w:pPr>
              <w:jc w:val="center"/>
              <w:rPr>
                <w:b/>
                <w:bCs/>
                <w:sz w:val="14"/>
                <w:szCs w:val="14"/>
              </w:rPr>
            </w:pPr>
            <w:r w:rsidRPr="00C92267">
              <w:rPr>
                <w:b/>
                <w:bCs/>
                <w:sz w:val="14"/>
                <w:szCs w:val="14"/>
              </w:rPr>
              <w:t>К. 6=</w:t>
            </w:r>
            <w:r w:rsidRPr="00C92267">
              <w:rPr>
                <w:b/>
                <w:bCs/>
                <w:sz w:val="20"/>
                <w:szCs w:val="20"/>
              </w:rPr>
              <w:t xml:space="preserve"> к.4:к.3</w:t>
            </w:r>
          </w:p>
        </w:tc>
      </w:tr>
      <w:tr w:rsidR="000938C1" w:rsidRPr="00CF1A14" w:rsidTr="00D9479E">
        <w:trPr>
          <w:trHeight w:val="35"/>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b/>
                <w:bCs/>
                <w:sz w:val="18"/>
                <w:szCs w:val="18"/>
              </w:rPr>
            </w:pPr>
            <w:r w:rsidRPr="00C92267">
              <w:rPr>
                <w:b/>
                <w:bCs/>
                <w:sz w:val="18"/>
                <w:szCs w:val="18"/>
              </w:rPr>
              <w:t xml:space="preserve">   ПРИХОДИ</w:t>
            </w:r>
          </w:p>
        </w:tc>
        <w:tc>
          <w:tcPr>
            <w:tcW w:w="943" w:type="dxa"/>
            <w:tcBorders>
              <w:top w:val="double" w:sz="6" w:space="0" w:color="800000"/>
              <w:left w:val="nil"/>
              <w:bottom w:val="nil"/>
              <w:right w:val="single" w:sz="8"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17 283,8</w:t>
            </w:r>
          </w:p>
        </w:tc>
        <w:tc>
          <w:tcPr>
            <w:tcW w:w="940" w:type="dxa"/>
            <w:tcBorders>
              <w:top w:val="double" w:sz="6" w:space="0" w:color="800000"/>
              <w:left w:val="nil"/>
              <w:bottom w:val="nil"/>
              <w:right w:val="single" w:sz="8"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18 196,2</w:t>
            </w:r>
          </w:p>
        </w:tc>
        <w:tc>
          <w:tcPr>
            <w:tcW w:w="943" w:type="dxa"/>
            <w:tcBorders>
              <w:top w:val="double" w:sz="6" w:space="0" w:color="800000"/>
              <w:left w:val="nil"/>
              <w:bottom w:val="nil"/>
              <w:right w:val="single" w:sz="8" w:space="0" w:color="800000"/>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17 943,9</w:t>
            </w:r>
          </w:p>
        </w:tc>
        <w:tc>
          <w:tcPr>
            <w:tcW w:w="1261" w:type="dxa"/>
            <w:tcBorders>
              <w:top w:val="double" w:sz="6" w:space="0" w:color="800000"/>
              <w:left w:val="nil"/>
              <w:bottom w:val="nil"/>
              <w:right w:val="single" w:sz="8"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103,8%</w:t>
            </w:r>
          </w:p>
        </w:tc>
        <w:tc>
          <w:tcPr>
            <w:tcW w:w="1220" w:type="dxa"/>
            <w:tcBorders>
              <w:top w:val="double" w:sz="6" w:space="0" w:color="800000"/>
              <w:left w:val="nil"/>
              <w:bottom w:val="nil"/>
              <w:right w:val="double" w:sz="6"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98,6%</w:t>
            </w:r>
          </w:p>
        </w:tc>
      </w:tr>
      <w:tr w:rsidR="000938C1" w:rsidRPr="00CF1A14" w:rsidTr="00D9479E">
        <w:trPr>
          <w:trHeight w:val="115"/>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sz w:val="18"/>
                <w:szCs w:val="18"/>
              </w:rPr>
            </w:pPr>
            <w:r w:rsidRPr="00C92267">
              <w:rPr>
                <w:sz w:val="18"/>
                <w:szCs w:val="18"/>
              </w:rPr>
              <w:t xml:space="preserve">     Данъчни приходи</w:t>
            </w:r>
          </w:p>
        </w:tc>
        <w:tc>
          <w:tcPr>
            <w:tcW w:w="943" w:type="dxa"/>
            <w:tcBorders>
              <w:top w:val="nil"/>
              <w:left w:val="nil"/>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15 289,5</w:t>
            </w:r>
          </w:p>
        </w:tc>
        <w:tc>
          <w:tcPr>
            <w:tcW w:w="940"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16 084,9</w:t>
            </w:r>
          </w:p>
        </w:tc>
        <w:tc>
          <w:tcPr>
            <w:tcW w:w="943" w:type="dxa"/>
            <w:tcBorders>
              <w:top w:val="nil"/>
              <w:left w:val="single" w:sz="8" w:space="0" w:color="800000"/>
              <w:bottom w:val="nil"/>
              <w:right w:val="nil"/>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15 621,1</w:t>
            </w:r>
          </w:p>
        </w:tc>
        <w:tc>
          <w:tcPr>
            <w:tcW w:w="1261"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102,2%</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97,1%</w:t>
            </w:r>
          </w:p>
        </w:tc>
      </w:tr>
      <w:tr w:rsidR="000938C1" w:rsidRPr="00CF1A14" w:rsidTr="00D9479E">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sz w:val="18"/>
                <w:szCs w:val="18"/>
              </w:rPr>
            </w:pPr>
            <w:r w:rsidRPr="00C92267">
              <w:rPr>
                <w:sz w:val="18"/>
                <w:szCs w:val="18"/>
              </w:rPr>
              <w:t xml:space="preserve">     Неданъчни приходи</w:t>
            </w:r>
          </w:p>
        </w:tc>
        <w:tc>
          <w:tcPr>
            <w:tcW w:w="943" w:type="dxa"/>
            <w:tcBorders>
              <w:top w:val="nil"/>
              <w:left w:val="nil"/>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1 892,4</w:t>
            </w:r>
          </w:p>
        </w:tc>
        <w:tc>
          <w:tcPr>
            <w:tcW w:w="940" w:type="dxa"/>
            <w:tcBorders>
              <w:top w:val="nil"/>
              <w:left w:val="single" w:sz="8" w:space="0" w:color="800000"/>
              <w:bottom w:val="nil"/>
              <w:right w:val="single" w:sz="8"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2 067,1</w:t>
            </w:r>
          </w:p>
        </w:tc>
        <w:tc>
          <w:tcPr>
            <w:tcW w:w="943" w:type="dxa"/>
            <w:tcBorders>
              <w:top w:val="nil"/>
              <w:left w:val="nil"/>
              <w:bottom w:val="nil"/>
              <w:right w:val="nil"/>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2 218,1</w:t>
            </w:r>
          </w:p>
        </w:tc>
        <w:tc>
          <w:tcPr>
            <w:tcW w:w="1261"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117,2%</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107,3%</w:t>
            </w:r>
          </w:p>
        </w:tc>
      </w:tr>
      <w:tr w:rsidR="000938C1" w:rsidRPr="00CF1A14" w:rsidTr="00D9479E">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sz w:val="18"/>
                <w:szCs w:val="18"/>
              </w:rPr>
            </w:pPr>
            <w:r w:rsidRPr="00C92267">
              <w:rPr>
                <w:sz w:val="18"/>
                <w:szCs w:val="18"/>
              </w:rPr>
              <w:t xml:space="preserve">     Помощи</w:t>
            </w:r>
          </w:p>
        </w:tc>
        <w:tc>
          <w:tcPr>
            <w:tcW w:w="943" w:type="dxa"/>
            <w:tcBorders>
              <w:top w:val="nil"/>
              <w:left w:val="nil"/>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101,9</w:t>
            </w:r>
          </w:p>
        </w:tc>
        <w:tc>
          <w:tcPr>
            <w:tcW w:w="940" w:type="dxa"/>
            <w:tcBorders>
              <w:top w:val="nil"/>
              <w:left w:val="single" w:sz="8" w:space="0" w:color="800000"/>
              <w:bottom w:val="nil"/>
              <w:right w:val="single" w:sz="8"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44,3</w:t>
            </w:r>
          </w:p>
        </w:tc>
        <w:tc>
          <w:tcPr>
            <w:tcW w:w="943" w:type="dxa"/>
            <w:tcBorders>
              <w:top w:val="nil"/>
              <w:left w:val="nil"/>
              <w:bottom w:val="nil"/>
              <w:right w:val="nil"/>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104,7</w:t>
            </w:r>
          </w:p>
        </w:tc>
        <w:tc>
          <w:tcPr>
            <w:tcW w:w="1261"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102,8%</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236,6%</w:t>
            </w:r>
          </w:p>
        </w:tc>
      </w:tr>
      <w:tr w:rsidR="000938C1" w:rsidRPr="00CF1A14" w:rsidTr="00D9479E">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sz w:val="4"/>
                <w:szCs w:val="4"/>
              </w:rPr>
            </w:pPr>
            <w:r w:rsidRPr="00C92267">
              <w:rPr>
                <w:sz w:val="4"/>
                <w:szCs w:val="4"/>
              </w:rPr>
              <w:t> </w:t>
            </w:r>
          </w:p>
        </w:tc>
        <w:tc>
          <w:tcPr>
            <w:tcW w:w="943" w:type="dxa"/>
            <w:tcBorders>
              <w:top w:val="nil"/>
              <w:left w:val="nil"/>
              <w:bottom w:val="nil"/>
              <w:right w:val="nil"/>
            </w:tcBorders>
            <w:shd w:val="clear" w:color="auto" w:fill="FFFFCC"/>
            <w:noWrap/>
            <w:vAlign w:val="bottom"/>
          </w:tcPr>
          <w:p w:rsidR="000938C1" w:rsidRPr="003A7181" w:rsidRDefault="000938C1" w:rsidP="00D9479E">
            <w:pPr>
              <w:rPr>
                <w:sz w:val="18"/>
                <w:szCs w:val="18"/>
              </w:rPr>
            </w:pPr>
            <w:r w:rsidRPr="003A7181">
              <w:rPr>
                <w:sz w:val="18"/>
                <w:szCs w:val="18"/>
              </w:rPr>
              <w:t> </w:t>
            </w:r>
          </w:p>
        </w:tc>
        <w:tc>
          <w:tcPr>
            <w:tcW w:w="940" w:type="dxa"/>
            <w:tcBorders>
              <w:top w:val="nil"/>
              <w:left w:val="single" w:sz="8" w:space="0" w:color="800000"/>
              <w:bottom w:val="nil"/>
              <w:right w:val="nil"/>
            </w:tcBorders>
            <w:shd w:val="clear" w:color="auto" w:fill="FFFFCC"/>
            <w:noWrap/>
            <w:vAlign w:val="bottom"/>
          </w:tcPr>
          <w:p w:rsidR="000938C1" w:rsidRPr="003A7181" w:rsidRDefault="000938C1" w:rsidP="00D9479E">
            <w:pPr>
              <w:rPr>
                <w:sz w:val="18"/>
                <w:szCs w:val="18"/>
              </w:rPr>
            </w:pPr>
            <w:r w:rsidRPr="003A7181">
              <w:rPr>
                <w:sz w:val="18"/>
                <w:szCs w:val="18"/>
              </w:rPr>
              <w:t> </w:t>
            </w:r>
          </w:p>
        </w:tc>
        <w:tc>
          <w:tcPr>
            <w:tcW w:w="943" w:type="dxa"/>
            <w:tcBorders>
              <w:top w:val="nil"/>
              <w:left w:val="single" w:sz="8" w:space="0" w:color="800000"/>
              <w:bottom w:val="nil"/>
              <w:right w:val="nil"/>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 </w:t>
            </w:r>
          </w:p>
        </w:tc>
        <w:tc>
          <w:tcPr>
            <w:tcW w:w="1261" w:type="dxa"/>
            <w:tcBorders>
              <w:top w:val="nil"/>
              <w:left w:val="single" w:sz="8" w:space="0" w:color="800000"/>
              <w:bottom w:val="nil"/>
              <w:right w:val="nil"/>
            </w:tcBorders>
            <w:shd w:val="clear" w:color="auto" w:fill="FFFFCC"/>
            <w:noWrap/>
            <w:vAlign w:val="bottom"/>
          </w:tcPr>
          <w:p w:rsidR="000938C1" w:rsidRPr="003A7181" w:rsidRDefault="000938C1" w:rsidP="00D9479E">
            <w:pPr>
              <w:rPr>
                <w:sz w:val="18"/>
                <w:szCs w:val="18"/>
              </w:rPr>
            </w:pPr>
            <w:r w:rsidRPr="003A7181">
              <w:rPr>
                <w:sz w:val="18"/>
                <w:szCs w:val="18"/>
              </w:rPr>
              <w:t> </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rPr>
                <w:sz w:val="18"/>
                <w:szCs w:val="18"/>
              </w:rPr>
            </w:pPr>
            <w:r w:rsidRPr="003A7181">
              <w:rPr>
                <w:sz w:val="18"/>
                <w:szCs w:val="18"/>
              </w:rPr>
              <w:t> </w:t>
            </w:r>
          </w:p>
        </w:tc>
      </w:tr>
      <w:tr w:rsidR="000938C1" w:rsidRPr="00CF1A14" w:rsidTr="00D9479E">
        <w:trPr>
          <w:trHeight w:val="255"/>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ind w:left="133" w:hanging="133"/>
              <w:rPr>
                <w:b/>
                <w:bCs/>
                <w:sz w:val="18"/>
                <w:szCs w:val="18"/>
              </w:rPr>
            </w:pPr>
            <w:r w:rsidRPr="00C92267">
              <w:rPr>
                <w:b/>
                <w:bCs/>
                <w:sz w:val="18"/>
                <w:szCs w:val="18"/>
              </w:rPr>
              <w:t xml:space="preserve">   РАЗХОДИ, ТРАНСФЕРИ И ВНОСКА В   БЮДЖЕТА НА ЕС</w:t>
            </w:r>
          </w:p>
        </w:tc>
        <w:tc>
          <w:tcPr>
            <w:tcW w:w="943" w:type="dxa"/>
            <w:tcBorders>
              <w:top w:val="nil"/>
              <w:left w:val="nil"/>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18 221,2</w:t>
            </w:r>
          </w:p>
        </w:tc>
        <w:tc>
          <w:tcPr>
            <w:tcW w:w="940" w:type="dxa"/>
            <w:tcBorders>
              <w:top w:val="nil"/>
              <w:left w:val="single" w:sz="8" w:space="0" w:color="800000"/>
              <w:bottom w:val="nil"/>
              <w:right w:val="single" w:sz="8"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19 492,2</w:t>
            </w:r>
          </w:p>
        </w:tc>
        <w:tc>
          <w:tcPr>
            <w:tcW w:w="943" w:type="dxa"/>
            <w:tcBorders>
              <w:top w:val="nil"/>
              <w:left w:val="nil"/>
              <w:bottom w:val="nil"/>
              <w:right w:val="single" w:sz="8" w:space="0" w:color="800000"/>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19 060,9</w:t>
            </w:r>
          </w:p>
        </w:tc>
        <w:tc>
          <w:tcPr>
            <w:tcW w:w="1261" w:type="dxa"/>
            <w:tcBorders>
              <w:top w:val="nil"/>
              <w:left w:val="nil"/>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104,6%</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97,8%</w:t>
            </w:r>
          </w:p>
        </w:tc>
      </w:tr>
      <w:tr w:rsidR="000938C1" w:rsidRPr="00CF1A14" w:rsidTr="00D9479E">
        <w:trPr>
          <w:trHeight w:val="100"/>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b/>
                <w:bCs/>
                <w:sz w:val="18"/>
                <w:szCs w:val="18"/>
              </w:rPr>
            </w:pPr>
            <w:r w:rsidRPr="00C92267">
              <w:rPr>
                <w:b/>
                <w:bCs/>
                <w:sz w:val="18"/>
                <w:szCs w:val="18"/>
              </w:rPr>
              <w:t xml:space="preserve">    Разходи</w:t>
            </w:r>
          </w:p>
        </w:tc>
        <w:tc>
          <w:tcPr>
            <w:tcW w:w="943" w:type="dxa"/>
            <w:tcBorders>
              <w:top w:val="nil"/>
              <w:left w:val="nil"/>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7 400,3</w:t>
            </w:r>
          </w:p>
        </w:tc>
        <w:tc>
          <w:tcPr>
            <w:tcW w:w="940" w:type="dxa"/>
            <w:tcBorders>
              <w:top w:val="nil"/>
              <w:left w:val="single" w:sz="8" w:space="0" w:color="800000"/>
              <w:bottom w:val="nil"/>
              <w:right w:val="single" w:sz="8"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8 485,0</w:t>
            </w:r>
          </w:p>
        </w:tc>
        <w:tc>
          <w:tcPr>
            <w:tcW w:w="943" w:type="dxa"/>
            <w:tcBorders>
              <w:top w:val="nil"/>
              <w:left w:val="nil"/>
              <w:bottom w:val="nil"/>
              <w:right w:val="single" w:sz="8" w:space="0" w:color="800000"/>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7 841,5</w:t>
            </w:r>
          </w:p>
        </w:tc>
        <w:tc>
          <w:tcPr>
            <w:tcW w:w="1261" w:type="dxa"/>
            <w:tcBorders>
              <w:top w:val="nil"/>
              <w:left w:val="nil"/>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106,0%</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92,4%</w:t>
            </w:r>
          </w:p>
        </w:tc>
      </w:tr>
      <w:tr w:rsidR="000938C1" w:rsidRPr="00CF1A14" w:rsidTr="00D9479E">
        <w:trPr>
          <w:trHeight w:val="208"/>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sz w:val="18"/>
                <w:szCs w:val="18"/>
              </w:rPr>
            </w:pPr>
            <w:r w:rsidRPr="00C92267">
              <w:rPr>
                <w:sz w:val="18"/>
                <w:szCs w:val="18"/>
              </w:rPr>
              <w:t xml:space="preserve">     Текущи нелихвени разходи</w:t>
            </w:r>
          </w:p>
        </w:tc>
        <w:tc>
          <w:tcPr>
            <w:tcW w:w="943" w:type="dxa"/>
            <w:tcBorders>
              <w:top w:val="nil"/>
              <w:left w:val="nil"/>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5 967,8</w:t>
            </w:r>
          </w:p>
        </w:tc>
        <w:tc>
          <w:tcPr>
            <w:tcW w:w="940"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6 539,7</w:t>
            </w:r>
          </w:p>
        </w:tc>
        <w:tc>
          <w:tcPr>
            <w:tcW w:w="943" w:type="dxa"/>
            <w:tcBorders>
              <w:top w:val="nil"/>
              <w:left w:val="single" w:sz="8" w:space="0" w:color="800000"/>
              <w:bottom w:val="nil"/>
              <w:right w:val="nil"/>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6 312,2</w:t>
            </w:r>
          </w:p>
        </w:tc>
        <w:tc>
          <w:tcPr>
            <w:tcW w:w="1261"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105,8%</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96,5%</w:t>
            </w:r>
          </w:p>
        </w:tc>
      </w:tr>
      <w:tr w:rsidR="000938C1" w:rsidRPr="00CF1A14" w:rsidTr="00D9479E">
        <w:trPr>
          <w:trHeight w:val="179"/>
        </w:trPr>
        <w:tc>
          <w:tcPr>
            <w:tcW w:w="3700" w:type="dxa"/>
            <w:tcBorders>
              <w:top w:val="nil"/>
              <w:left w:val="double" w:sz="6" w:space="0" w:color="800000"/>
              <w:bottom w:val="nil"/>
              <w:right w:val="nil"/>
            </w:tcBorders>
            <w:shd w:val="clear" w:color="auto" w:fill="FFFFCC"/>
            <w:noWrap/>
            <w:vAlign w:val="bottom"/>
          </w:tcPr>
          <w:p w:rsidR="000938C1" w:rsidRPr="00C92267" w:rsidRDefault="000938C1" w:rsidP="00D9479E">
            <w:pPr>
              <w:rPr>
                <w:sz w:val="20"/>
                <w:szCs w:val="20"/>
              </w:rPr>
            </w:pPr>
            <w:r w:rsidRPr="00C92267">
              <w:rPr>
                <w:sz w:val="20"/>
                <w:szCs w:val="20"/>
              </w:rPr>
              <w:t xml:space="preserve">     Капиталови разходи</w:t>
            </w:r>
          </w:p>
        </w:tc>
        <w:tc>
          <w:tcPr>
            <w:tcW w:w="943"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906,0</w:t>
            </w:r>
          </w:p>
        </w:tc>
        <w:tc>
          <w:tcPr>
            <w:tcW w:w="940"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1 104,2</w:t>
            </w:r>
          </w:p>
        </w:tc>
        <w:tc>
          <w:tcPr>
            <w:tcW w:w="943" w:type="dxa"/>
            <w:tcBorders>
              <w:top w:val="nil"/>
              <w:left w:val="single" w:sz="8" w:space="0" w:color="800000"/>
              <w:bottom w:val="nil"/>
              <w:right w:val="nil"/>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877,3</w:t>
            </w:r>
          </w:p>
        </w:tc>
        <w:tc>
          <w:tcPr>
            <w:tcW w:w="1261"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96,8%</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79,5%</w:t>
            </w:r>
          </w:p>
        </w:tc>
      </w:tr>
      <w:tr w:rsidR="000938C1" w:rsidRPr="00CF1A14" w:rsidTr="00D9479E">
        <w:trPr>
          <w:trHeight w:val="92"/>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sz w:val="18"/>
                <w:szCs w:val="18"/>
              </w:rPr>
            </w:pPr>
            <w:r w:rsidRPr="00C92267">
              <w:rPr>
                <w:sz w:val="18"/>
                <w:szCs w:val="18"/>
              </w:rPr>
              <w:t xml:space="preserve">     Лихвени разходи</w:t>
            </w:r>
          </w:p>
        </w:tc>
        <w:tc>
          <w:tcPr>
            <w:tcW w:w="943" w:type="dxa"/>
            <w:tcBorders>
              <w:top w:val="nil"/>
              <w:left w:val="nil"/>
              <w:bottom w:val="nil"/>
              <w:right w:val="single" w:sz="8"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526,5</w:t>
            </w:r>
          </w:p>
        </w:tc>
        <w:tc>
          <w:tcPr>
            <w:tcW w:w="940" w:type="dxa"/>
            <w:tcBorders>
              <w:top w:val="nil"/>
              <w:left w:val="nil"/>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841,2</w:t>
            </w:r>
          </w:p>
        </w:tc>
        <w:tc>
          <w:tcPr>
            <w:tcW w:w="943" w:type="dxa"/>
            <w:tcBorders>
              <w:top w:val="nil"/>
              <w:left w:val="single" w:sz="8" w:space="0" w:color="800000"/>
              <w:bottom w:val="nil"/>
              <w:right w:val="nil"/>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652,0</w:t>
            </w:r>
          </w:p>
        </w:tc>
        <w:tc>
          <w:tcPr>
            <w:tcW w:w="1261"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sz w:val="18"/>
                <w:szCs w:val="18"/>
              </w:rPr>
            </w:pPr>
            <w:r w:rsidRPr="003A7181">
              <w:rPr>
                <w:sz w:val="18"/>
                <w:szCs w:val="18"/>
              </w:rPr>
              <w:t>123,8%</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sz w:val="18"/>
                <w:szCs w:val="18"/>
              </w:rPr>
            </w:pPr>
            <w:r w:rsidRPr="003A7181">
              <w:rPr>
                <w:sz w:val="18"/>
                <w:szCs w:val="18"/>
              </w:rPr>
              <w:t>77,5%</w:t>
            </w:r>
          </w:p>
        </w:tc>
      </w:tr>
      <w:tr w:rsidR="000938C1" w:rsidRPr="00CF1A14" w:rsidTr="00D9479E">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b/>
                <w:bCs/>
                <w:sz w:val="18"/>
                <w:szCs w:val="18"/>
              </w:rPr>
            </w:pPr>
            <w:r w:rsidRPr="00C92267">
              <w:rPr>
                <w:b/>
                <w:bCs/>
                <w:sz w:val="18"/>
                <w:szCs w:val="18"/>
              </w:rPr>
              <w:t xml:space="preserve">    Трансфери</w:t>
            </w:r>
          </w:p>
        </w:tc>
        <w:tc>
          <w:tcPr>
            <w:tcW w:w="943" w:type="dxa"/>
            <w:tcBorders>
              <w:top w:val="nil"/>
              <w:left w:val="nil"/>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10 011,5</w:t>
            </w:r>
          </w:p>
        </w:tc>
        <w:tc>
          <w:tcPr>
            <w:tcW w:w="940"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10 099,0</w:t>
            </w:r>
          </w:p>
        </w:tc>
        <w:tc>
          <w:tcPr>
            <w:tcW w:w="943" w:type="dxa"/>
            <w:tcBorders>
              <w:top w:val="nil"/>
              <w:left w:val="single" w:sz="8" w:space="0" w:color="800000"/>
              <w:bottom w:val="nil"/>
              <w:right w:val="single" w:sz="8" w:space="0" w:color="800000"/>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10 285,3</w:t>
            </w:r>
          </w:p>
        </w:tc>
        <w:tc>
          <w:tcPr>
            <w:tcW w:w="1261" w:type="dxa"/>
            <w:tcBorders>
              <w:top w:val="nil"/>
              <w:left w:val="nil"/>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102,7%</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101,8%</w:t>
            </w:r>
          </w:p>
        </w:tc>
      </w:tr>
      <w:tr w:rsidR="000938C1" w:rsidRPr="00CF1A14" w:rsidTr="00D9479E">
        <w:trPr>
          <w:trHeight w:val="255"/>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b/>
                <w:bCs/>
                <w:sz w:val="18"/>
                <w:szCs w:val="18"/>
              </w:rPr>
            </w:pPr>
            <w:r w:rsidRPr="00C92267">
              <w:rPr>
                <w:b/>
                <w:bCs/>
                <w:sz w:val="18"/>
                <w:szCs w:val="18"/>
              </w:rPr>
              <w:t xml:space="preserve">    Вноска в бюджета на ЕС</w:t>
            </w:r>
          </w:p>
        </w:tc>
        <w:tc>
          <w:tcPr>
            <w:tcW w:w="943" w:type="dxa"/>
            <w:tcBorders>
              <w:top w:val="nil"/>
              <w:left w:val="nil"/>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809,3</w:t>
            </w:r>
          </w:p>
        </w:tc>
        <w:tc>
          <w:tcPr>
            <w:tcW w:w="940" w:type="dxa"/>
            <w:tcBorders>
              <w:top w:val="nil"/>
              <w:left w:val="single" w:sz="8" w:space="0" w:color="800000"/>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908,2</w:t>
            </w:r>
          </w:p>
        </w:tc>
        <w:tc>
          <w:tcPr>
            <w:tcW w:w="943" w:type="dxa"/>
            <w:tcBorders>
              <w:top w:val="nil"/>
              <w:left w:val="single" w:sz="8" w:space="0" w:color="800000"/>
              <w:bottom w:val="nil"/>
              <w:right w:val="single" w:sz="8" w:space="0" w:color="800000"/>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934,1</w:t>
            </w:r>
          </w:p>
        </w:tc>
        <w:tc>
          <w:tcPr>
            <w:tcW w:w="1261" w:type="dxa"/>
            <w:tcBorders>
              <w:top w:val="nil"/>
              <w:left w:val="nil"/>
              <w:bottom w:val="nil"/>
              <w:right w:val="nil"/>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115,4%</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102,9%</w:t>
            </w:r>
          </w:p>
        </w:tc>
      </w:tr>
      <w:tr w:rsidR="000938C1" w:rsidRPr="00CF1A14" w:rsidTr="00D9479E">
        <w:trPr>
          <w:trHeight w:val="80"/>
        </w:trPr>
        <w:tc>
          <w:tcPr>
            <w:tcW w:w="3700" w:type="dxa"/>
            <w:tcBorders>
              <w:top w:val="nil"/>
              <w:left w:val="double" w:sz="6" w:space="0" w:color="800000"/>
              <w:bottom w:val="nil"/>
              <w:right w:val="single" w:sz="8" w:space="0" w:color="800000"/>
            </w:tcBorders>
            <w:shd w:val="clear" w:color="auto" w:fill="FFFFCC"/>
            <w:noWrap/>
            <w:vAlign w:val="bottom"/>
          </w:tcPr>
          <w:p w:rsidR="000938C1" w:rsidRPr="00C92267" w:rsidRDefault="000938C1" w:rsidP="00D9479E">
            <w:pPr>
              <w:rPr>
                <w:b/>
                <w:bCs/>
                <w:sz w:val="4"/>
                <w:szCs w:val="4"/>
              </w:rPr>
            </w:pPr>
            <w:r w:rsidRPr="00C92267">
              <w:rPr>
                <w:b/>
                <w:bCs/>
                <w:sz w:val="4"/>
                <w:szCs w:val="4"/>
              </w:rPr>
              <w:t> </w:t>
            </w:r>
          </w:p>
        </w:tc>
        <w:tc>
          <w:tcPr>
            <w:tcW w:w="943" w:type="dxa"/>
            <w:tcBorders>
              <w:top w:val="nil"/>
              <w:left w:val="nil"/>
              <w:bottom w:val="nil"/>
              <w:right w:val="nil"/>
            </w:tcBorders>
            <w:shd w:val="clear" w:color="auto" w:fill="FFFFCC"/>
            <w:noWrap/>
            <w:vAlign w:val="bottom"/>
          </w:tcPr>
          <w:p w:rsidR="000938C1" w:rsidRPr="003A7181" w:rsidRDefault="000938C1" w:rsidP="00D9479E">
            <w:pPr>
              <w:rPr>
                <w:sz w:val="18"/>
                <w:szCs w:val="18"/>
              </w:rPr>
            </w:pPr>
            <w:r w:rsidRPr="003A7181">
              <w:rPr>
                <w:sz w:val="18"/>
                <w:szCs w:val="18"/>
              </w:rPr>
              <w:t> </w:t>
            </w:r>
          </w:p>
        </w:tc>
        <w:tc>
          <w:tcPr>
            <w:tcW w:w="940" w:type="dxa"/>
            <w:tcBorders>
              <w:top w:val="nil"/>
              <w:left w:val="single" w:sz="8" w:space="0" w:color="800000"/>
              <w:bottom w:val="nil"/>
              <w:right w:val="nil"/>
            </w:tcBorders>
            <w:shd w:val="clear" w:color="auto" w:fill="FFFFCC"/>
            <w:noWrap/>
            <w:vAlign w:val="bottom"/>
          </w:tcPr>
          <w:p w:rsidR="000938C1" w:rsidRPr="003A7181" w:rsidRDefault="000938C1" w:rsidP="00D9479E">
            <w:pPr>
              <w:rPr>
                <w:sz w:val="18"/>
                <w:szCs w:val="18"/>
              </w:rPr>
            </w:pPr>
            <w:r w:rsidRPr="003A7181">
              <w:rPr>
                <w:sz w:val="18"/>
                <w:szCs w:val="18"/>
              </w:rPr>
              <w:t> </w:t>
            </w:r>
          </w:p>
        </w:tc>
        <w:tc>
          <w:tcPr>
            <w:tcW w:w="943" w:type="dxa"/>
            <w:tcBorders>
              <w:top w:val="nil"/>
              <w:left w:val="single" w:sz="8" w:space="0" w:color="800000"/>
              <w:bottom w:val="nil"/>
              <w:right w:val="nil"/>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 </w:t>
            </w:r>
          </w:p>
        </w:tc>
        <w:tc>
          <w:tcPr>
            <w:tcW w:w="1261" w:type="dxa"/>
            <w:tcBorders>
              <w:top w:val="nil"/>
              <w:left w:val="single" w:sz="8" w:space="0" w:color="800000"/>
              <w:bottom w:val="nil"/>
              <w:right w:val="nil"/>
            </w:tcBorders>
            <w:shd w:val="clear" w:color="auto" w:fill="FFFFCC"/>
            <w:noWrap/>
            <w:vAlign w:val="bottom"/>
          </w:tcPr>
          <w:p w:rsidR="000938C1" w:rsidRPr="003A7181" w:rsidRDefault="000938C1" w:rsidP="00D9479E">
            <w:pPr>
              <w:rPr>
                <w:sz w:val="18"/>
                <w:szCs w:val="18"/>
              </w:rPr>
            </w:pPr>
            <w:r w:rsidRPr="003A7181">
              <w:rPr>
                <w:sz w:val="18"/>
                <w:szCs w:val="18"/>
              </w:rPr>
              <w:t> </w:t>
            </w:r>
          </w:p>
        </w:tc>
        <w:tc>
          <w:tcPr>
            <w:tcW w:w="1220" w:type="dxa"/>
            <w:tcBorders>
              <w:top w:val="nil"/>
              <w:left w:val="single" w:sz="8" w:space="0" w:color="800000"/>
              <w:bottom w:val="nil"/>
              <w:right w:val="double" w:sz="6" w:space="0" w:color="800000"/>
            </w:tcBorders>
            <w:shd w:val="clear" w:color="auto" w:fill="FFFFCC"/>
            <w:noWrap/>
            <w:vAlign w:val="bottom"/>
          </w:tcPr>
          <w:p w:rsidR="000938C1" w:rsidRPr="003A7181" w:rsidRDefault="000938C1" w:rsidP="00D9479E">
            <w:pPr>
              <w:rPr>
                <w:b/>
                <w:bCs/>
                <w:sz w:val="18"/>
                <w:szCs w:val="18"/>
              </w:rPr>
            </w:pPr>
            <w:r w:rsidRPr="003A7181">
              <w:rPr>
                <w:b/>
                <w:bCs/>
                <w:sz w:val="18"/>
                <w:szCs w:val="18"/>
              </w:rPr>
              <w:t> </w:t>
            </w:r>
          </w:p>
        </w:tc>
      </w:tr>
      <w:tr w:rsidR="000938C1" w:rsidRPr="00CF1A14" w:rsidTr="00D9479E">
        <w:trPr>
          <w:trHeight w:val="270"/>
        </w:trPr>
        <w:tc>
          <w:tcPr>
            <w:tcW w:w="3700" w:type="dxa"/>
            <w:tcBorders>
              <w:top w:val="nil"/>
              <w:left w:val="double" w:sz="6" w:space="0" w:color="800000"/>
              <w:bottom w:val="double" w:sz="6" w:space="0" w:color="800000"/>
              <w:right w:val="single" w:sz="8" w:space="0" w:color="800000"/>
            </w:tcBorders>
            <w:shd w:val="clear" w:color="auto" w:fill="FFFFCC"/>
            <w:noWrap/>
            <w:vAlign w:val="bottom"/>
          </w:tcPr>
          <w:p w:rsidR="000938C1" w:rsidRPr="00C92267" w:rsidRDefault="000938C1" w:rsidP="00D9479E">
            <w:pPr>
              <w:rPr>
                <w:b/>
                <w:bCs/>
                <w:sz w:val="20"/>
                <w:szCs w:val="20"/>
              </w:rPr>
            </w:pPr>
            <w:r w:rsidRPr="00C92267">
              <w:rPr>
                <w:b/>
                <w:bCs/>
                <w:sz w:val="20"/>
                <w:szCs w:val="20"/>
              </w:rPr>
              <w:t xml:space="preserve">   ДЕФИЦИТ (-)/ИЗЛИШЪК (+)</w:t>
            </w:r>
          </w:p>
        </w:tc>
        <w:tc>
          <w:tcPr>
            <w:tcW w:w="943" w:type="dxa"/>
            <w:tcBorders>
              <w:top w:val="nil"/>
              <w:left w:val="nil"/>
              <w:bottom w:val="double" w:sz="6" w:space="0" w:color="800000"/>
              <w:right w:val="single" w:sz="8"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-937,3</w:t>
            </w:r>
          </w:p>
        </w:tc>
        <w:tc>
          <w:tcPr>
            <w:tcW w:w="940" w:type="dxa"/>
            <w:tcBorders>
              <w:top w:val="nil"/>
              <w:left w:val="nil"/>
              <w:bottom w:val="double" w:sz="6" w:space="0" w:color="800000"/>
              <w:right w:val="single" w:sz="8" w:space="0" w:color="800000"/>
            </w:tcBorders>
            <w:shd w:val="clear" w:color="auto" w:fill="FFFFCC"/>
            <w:noWrap/>
            <w:vAlign w:val="bottom"/>
          </w:tcPr>
          <w:p w:rsidR="000938C1" w:rsidRPr="003A7181" w:rsidRDefault="000938C1" w:rsidP="00D9479E">
            <w:pPr>
              <w:jc w:val="right"/>
              <w:rPr>
                <w:b/>
                <w:bCs/>
                <w:sz w:val="18"/>
                <w:szCs w:val="18"/>
              </w:rPr>
            </w:pPr>
            <w:r w:rsidRPr="003A7181">
              <w:rPr>
                <w:b/>
                <w:bCs/>
                <w:sz w:val="18"/>
                <w:szCs w:val="18"/>
              </w:rPr>
              <w:t>-1 296,0</w:t>
            </w:r>
          </w:p>
        </w:tc>
        <w:tc>
          <w:tcPr>
            <w:tcW w:w="943" w:type="dxa"/>
            <w:tcBorders>
              <w:top w:val="nil"/>
              <w:left w:val="nil"/>
              <w:bottom w:val="double" w:sz="6" w:space="0" w:color="800000"/>
              <w:right w:val="single" w:sz="8" w:space="0" w:color="800000"/>
            </w:tcBorders>
            <w:shd w:val="clear" w:color="auto" w:fill="FFFFCC"/>
            <w:noWrap/>
            <w:vAlign w:val="bottom"/>
          </w:tcPr>
          <w:p w:rsidR="000938C1" w:rsidRPr="00F07D49" w:rsidRDefault="000938C1" w:rsidP="00D9479E">
            <w:pPr>
              <w:jc w:val="right"/>
              <w:rPr>
                <w:b/>
                <w:bCs/>
                <w:sz w:val="18"/>
                <w:szCs w:val="18"/>
              </w:rPr>
            </w:pPr>
            <w:r w:rsidRPr="00F07D49">
              <w:rPr>
                <w:b/>
                <w:bCs/>
                <w:sz w:val="18"/>
                <w:szCs w:val="18"/>
              </w:rPr>
              <w:t>-1 117,1</w:t>
            </w:r>
          </w:p>
        </w:tc>
        <w:tc>
          <w:tcPr>
            <w:tcW w:w="1261" w:type="dxa"/>
            <w:tcBorders>
              <w:top w:val="nil"/>
              <w:left w:val="nil"/>
              <w:bottom w:val="double" w:sz="6" w:space="0" w:color="800000"/>
              <w:right w:val="single" w:sz="8" w:space="0" w:color="800000"/>
            </w:tcBorders>
            <w:shd w:val="clear" w:color="auto" w:fill="FFFFCC"/>
            <w:noWrap/>
            <w:vAlign w:val="bottom"/>
          </w:tcPr>
          <w:p w:rsidR="000938C1" w:rsidRPr="003A7181" w:rsidRDefault="000938C1" w:rsidP="00D9479E">
            <w:pPr>
              <w:rPr>
                <w:sz w:val="18"/>
                <w:szCs w:val="18"/>
              </w:rPr>
            </w:pPr>
            <w:r w:rsidRPr="003A7181">
              <w:rPr>
                <w:sz w:val="18"/>
                <w:szCs w:val="18"/>
              </w:rPr>
              <w:t> </w:t>
            </w:r>
          </w:p>
        </w:tc>
        <w:tc>
          <w:tcPr>
            <w:tcW w:w="1220" w:type="dxa"/>
            <w:tcBorders>
              <w:top w:val="nil"/>
              <w:left w:val="nil"/>
              <w:bottom w:val="double" w:sz="6" w:space="0" w:color="800000"/>
              <w:right w:val="double" w:sz="6" w:space="0" w:color="800000"/>
            </w:tcBorders>
            <w:shd w:val="clear" w:color="auto" w:fill="FFFFCC"/>
            <w:noWrap/>
            <w:vAlign w:val="bottom"/>
          </w:tcPr>
          <w:p w:rsidR="000938C1" w:rsidRPr="003A7181" w:rsidRDefault="000938C1" w:rsidP="00D9479E">
            <w:pPr>
              <w:rPr>
                <w:sz w:val="18"/>
                <w:szCs w:val="18"/>
              </w:rPr>
            </w:pPr>
            <w:r w:rsidRPr="003A7181">
              <w:rPr>
                <w:sz w:val="18"/>
                <w:szCs w:val="18"/>
              </w:rPr>
              <w:t> </w:t>
            </w:r>
          </w:p>
        </w:tc>
      </w:tr>
    </w:tbl>
    <w:p w:rsidR="000938C1" w:rsidRPr="00CF1A14" w:rsidRDefault="000938C1" w:rsidP="00104728">
      <w:pPr>
        <w:pStyle w:val="BodyTextIndent"/>
        <w:rPr>
          <w:color w:val="0070C0"/>
          <w:lang w:val="bg-BG"/>
        </w:rPr>
      </w:pPr>
    </w:p>
    <w:p w:rsidR="000938C1" w:rsidRPr="00F07D49" w:rsidRDefault="000938C1" w:rsidP="00104728">
      <w:pPr>
        <w:ind w:firstLine="720"/>
        <w:jc w:val="both"/>
      </w:pPr>
      <w:r w:rsidRPr="00F07D49">
        <w:t xml:space="preserve">Планираните в ЗИД на ЗДБРБ за 2013 г. </w:t>
      </w:r>
      <w:r w:rsidRPr="00F07D49">
        <w:rPr>
          <w:b/>
        </w:rPr>
        <w:t>приходи</w:t>
      </w:r>
      <w:r w:rsidRPr="00F07D49">
        <w:t xml:space="preserve"> по републиканския бюджет са в размер на 18 196,2 млн. лв., като отчетените касови постъпления за 2013 г. са 17 943,9 млн. лв. или изпълнението на приходната част на републиканския бюджет е 98,6 % от разчета. Спрямо</w:t>
      </w:r>
      <w:r w:rsidRPr="00F07D49">
        <w:rPr>
          <w:bCs/>
        </w:rPr>
        <w:t xml:space="preserve"> 2012 г. са събрани с 660,1 млн. лв. повече. </w:t>
      </w:r>
    </w:p>
    <w:p w:rsidR="000938C1" w:rsidRPr="008C38D5" w:rsidRDefault="000938C1" w:rsidP="00104728">
      <w:pPr>
        <w:pStyle w:val="BodyText"/>
        <w:ind w:right="-62"/>
        <w:jc w:val="both"/>
      </w:pPr>
      <w:r w:rsidRPr="00F07D49">
        <w:tab/>
        <w:t xml:space="preserve">Постъпленията от </w:t>
      </w:r>
      <w:r w:rsidRPr="00F07D49">
        <w:rPr>
          <w:b/>
        </w:rPr>
        <w:t>данъци</w:t>
      </w:r>
      <w:r w:rsidRPr="00F07D49">
        <w:t xml:space="preserve"> по републиканския бюджет за 2013 г. са в размер на 15 6</w:t>
      </w:r>
      <w:r>
        <w:t>2</w:t>
      </w:r>
      <w:r w:rsidRPr="00F07D49">
        <w:t>1,1 млн. лв., което представлява изпълнение от 97,1 % на планираните нива за  2013 г. и увеличение от</w:t>
      </w:r>
      <w:r w:rsidRPr="00F07D49">
        <w:rPr>
          <w:bCs/>
        </w:rPr>
        <w:t xml:space="preserve"> 2,2 % или 331,5 млн. лв. спрямо 2012 г.</w:t>
      </w:r>
      <w:r w:rsidRPr="00F07D49">
        <w:t xml:space="preserve"> Постъпленията от </w:t>
      </w:r>
      <w:r w:rsidRPr="00F07D49">
        <w:rPr>
          <w:b/>
        </w:rPr>
        <w:t>косвени данъци</w:t>
      </w:r>
      <w:r>
        <w:rPr>
          <w:b/>
        </w:rPr>
        <w:t xml:space="preserve"> </w:t>
      </w:r>
      <w:r w:rsidRPr="008C38D5">
        <w:t>за 2013 г. възлизат на 11 590,7 млн. лв. или 97,3 % от предвидените в ЗИД на ЗДБРБ за 2013 г., като съпоставени с 2012 г. са се увеличили с 248,0 млн. лв. (2,2 %).</w:t>
      </w:r>
    </w:p>
    <w:p w:rsidR="000938C1" w:rsidRPr="00205B4C" w:rsidRDefault="000938C1" w:rsidP="00104728">
      <w:pPr>
        <w:pStyle w:val="BodyText"/>
        <w:ind w:right="-62"/>
        <w:jc w:val="both"/>
      </w:pPr>
      <w:r w:rsidRPr="00CF1A14">
        <w:rPr>
          <w:bCs/>
          <w:color w:val="0070C0"/>
        </w:rPr>
        <w:tab/>
      </w:r>
      <w:r w:rsidRPr="008C38D5">
        <w:rPr>
          <w:bCs/>
        </w:rPr>
        <w:t xml:space="preserve">Приходите от </w:t>
      </w:r>
      <w:r w:rsidRPr="008C38D5">
        <w:rPr>
          <w:b/>
          <w:bCs/>
        </w:rPr>
        <w:t>преки данъци</w:t>
      </w:r>
      <w:r w:rsidRPr="008C38D5">
        <w:t xml:space="preserve"> за 2013 г. са в размер на 3 887,2 млн. лв. или 96,4 % от актуализирания разчет за годината. Спрямо 2012 г. се отчита увеличение на приходите от </w:t>
      </w:r>
      <w:r w:rsidRPr="00205B4C">
        <w:t xml:space="preserve">преки данъци с 3,4 % или 126,9 млн. лева. Постъпленията от </w:t>
      </w:r>
      <w:r w:rsidRPr="00205B4C">
        <w:rPr>
          <w:b/>
          <w:bCs/>
        </w:rPr>
        <w:t xml:space="preserve">други данъци </w:t>
      </w:r>
      <w:r w:rsidRPr="00205B4C">
        <w:t>са в</w:t>
      </w:r>
      <w:r>
        <w:t xml:space="preserve"> </w:t>
      </w:r>
      <w:r w:rsidRPr="00205B4C">
        <w:t>размер на 143,1 млн. лв. или 107,8 % спрямо разчета за годината, като основната част (90,6 %) са формирани от окончателния данък върху залози за хазартни игри и хазартни съоръжения.</w:t>
      </w:r>
    </w:p>
    <w:p w:rsidR="000938C1" w:rsidRPr="007D6A25" w:rsidRDefault="000938C1" w:rsidP="00104728">
      <w:pPr>
        <w:tabs>
          <w:tab w:val="left" w:pos="900"/>
        </w:tabs>
        <w:ind w:firstLine="540"/>
        <w:jc w:val="both"/>
      </w:pPr>
      <w:r w:rsidRPr="007D6A25">
        <w:rPr>
          <w:b/>
          <w:bCs/>
        </w:rPr>
        <w:t>Неданъчните приходи</w:t>
      </w:r>
      <w:r w:rsidRPr="007D6A25">
        <w:t xml:space="preserve"> по републиканския бюджет за 2013 г. са в размер на 2 218,1 млн. лв., което представлява увеличение от</w:t>
      </w:r>
      <w:r w:rsidRPr="007D6A25">
        <w:rPr>
          <w:bCs/>
        </w:rPr>
        <w:t xml:space="preserve"> 17,2 % или 325,7 млн. лв. спрямо 2012 г.</w:t>
      </w:r>
      <w:r w:rsidRPr="007D6A25">
        <w:t xml:space="preserve"> Изпълнението спрямо разчета за годината е 107,3 %.  </w:t>
      </w:r>
    </w:p>
    <w:p w:rsidR="000938C1" w:rsidRPr="00D37621" w:rsidRDefault="000938C1" w:rsidP="00104728">
      <w:pPr>
        <w:tabs>
          <w:tab w:val="left" w:pos="900"/>
        </w:tabs>
        <w:ind w:firstLine="540"/>
        <w:jc w:val="both"/>
      </w:pPr>
      <w:r w:rsidRPr="00D37621">
        <w:t xml:space="preserve">Основната част от неданъчните приходи по републиканския бюджет се формира по бюджетите на министерствата и ведомствата - 1 481,6 млн. лева. Според характера на приходите с най-голям принос са постъпленията от държавни такси – 780,0 млн. лв., следвани от приходите и доходи от собственост – 311,4 млн. лв., 130,4 млн. лв. постъпления от продажби на нефинансови активи и 99,1 млн. лв. приходи от концесии. </w:t>
      </w:r>
    </w:p>
    <w:p w:rsidR="000938C1" w:rsidRPr="002F130B" w:rsidRDefault="000938C1" w:rsidP="00104728">
      <w:pPr>
        <w:tabs>
          <w:tab w:val="left" w:pos="900"/>
        </w:tabs>
        <w:ind w:firstLine="540"/>
        <w:jc w:val="both"/>
      </w:pPr>
      <w:r w:rsidRPr="002F130B">
        <w:t xml:space="preserve">Изпълнението на неданъчните приходи по централния бюджет е в размер на 736,5 млн. лв. или 86,7 % от предвидените за годината. </w:t>
      </w:r>
    </w:p>
    <w:p w:rsidR="000938C1" w:rsidRPr="00CF1A14" w:rsidRDefault="000938C1" w:rsidP="00104728">
      <w:pPr>
        <w:ind w:firstLine="540"/>
        <w:jc w:val="both"/>
        <w:rPr>
          <w:color w:val="0070C0"/>
          <w:sz w:val="8"/>
          <w:szCs w:val="8"/>
        </w:rPr>
      </w:pPr>
    </w:p>
    <w:p w:rsidR="000938C1" w:rsidRPr="009A4529" w:rsidRDefault="000938C1" w:rsidP="00104728">
      <w:pPr>
        <w:ind w:firstLine="540"/>
        <w:jc w:val="both"/>
      </w:pPr>
      <w:r w:rsidRPr="009A4529">
        <w:t xml:space="preserve">Постъпилите </w:t>
      </w:r>
      <w:r w:rsidRPr="009A4529">
        <w:rPr>
          <w:b/>
        </w:rPr>
        <w:t xml:space="preserve">помощи </w:t>
      </w:r>
      <w:r w:rsidRPr="009A4529">
        <w:t>по републиканския бюджет през 2013 г. са в размер на 104,7 млн. лв., главно по бюджетите на министерствата и ведомствата.</w:t>
      </w:r>
    </w:p>
    <w:p w:rsidR="000938C1" w:rsidRPr="00CF1A14" w:rsidRDefault="000938C1" w:rsidP="00104728">
      <w:pPr>
        <w:ind w:firstLine="540"/>
        <w:jc w:val="both"/>
        <w:rPr>
          <w:color w:val="0070C0"/>
          <w:sz w:val="8"/>
          <w:szCs w:val="8"/>
        </w:rPr>
      </w:pPr>
    </w:p>
    <w:p w:rsidR="000938C1" w:rsidRPr="00227BCF" w:rsidRDefault="000938C1" w:rsidP="00104728">
      <w:pPr>
        <w:ind w:firstLine="540"/>
        <w:jc w:val="both"/>
      </w:pPr>
      <w:r w:rsidRPr="0035106D">
        <w:rPr>
          <w:b/>
        </w:rPr>
        <w:t>Разходите</w:t>
      </w:r>
      <w:r w:rsidRPr="0035106D">
        <w:t xml:space="preserve"> по републиканския бюджет (вкл. трансферите за др. бюджети и вноската в бюджета на ЕС) за 2013 г. са в размер на 19 060,9 млн. лв., което представлява 97,8 % изпълнение на разчетите в ЗИД на ЗДБРБ за 2013 г. При съпоставяне на разходите по републиканския бюджет през 2013 г. с предходната година се наблюдава ръст на разходите с 6,0 % или 441,2 млн. </w:t>
      </w:r>
      <w:r w:rsidRPr="00227BCF">
        <w:t xml:space="preserve">лева. </w:t>
      </w:r>
    </w:p>
    <w:p w:rsidR="000938C1" w:rsidRPr="00033E0F" w:rsidRDefault="000938C1" w:rsidP="00104728">
      <w:pPr>
        <w:pStyle w:val="BodyTextIndent"/>
        <w:spacing w:after="0"/>
        <w:ind w:left="0" w:firstLine="540"/>
        <w:jc w:val="both"/>
        <w:rPr>
          <w:b/>
          <w:bCs/>
          <w:sz w:val="12"/>
          <w:szCs w:val="12"/>
          <w:lang w:val="bg-BG"/>
        </w:rPr>
      </w:pPr>
      <w:r w:rsidRPr="00227BCF">
        <w:rPr>
          <w:i/>
          <w:lang w:val="bg-BG"/>
        </w:rPr>
        <w:t>Н</w:t>
      </w:r>
      <w:r w:rsidRPr="00227BCF">
        <w:rPr>
          <w:bCs/>
          <w:i/>
          <w:lang w:val="bg-BG"/>
        </w:rPr>
        <w:t>елихвените разходи</w:t>
      </w:r>
      <w:r>
        <w:rPr>
          <w:bCs/>
          <w:i/>
          <w:lang w:val="bg-BG"/>
        </w:rPr>
        <w:t xml:space="preserve"> </w:t>
      </w:r>
      <w:r w:rsidRPr="00227BCF">
        <w:rPr>
          <w:bCs/>
          <w:lang w:val="bg-BG"/>
        </w:rPr>
        <w:t>по републиканския бюджет</w:t>
      </w:r>
      <w:r>
        <w:rPr>
          <w:bCs/>
          <w:lang w:val="bg-BG"/>
        </w:rPr>
        <w:t xml:space="preserve"> </w:t>
      </w:r>
      <w:r w:rsidRPr="00227BCF">
        <w:rPr>
          <w:lang w:val="bg-BG"/>
        </w:rPr>
        <w:t xml:space="preserve">(без трансферите за др. бюджети и вноската в ЕС), извършени през 2013 г., са в размер 7 189,5 млн. лв., което представлява 94,1 % от предвидените в ЗИД на ЗДБРБ за 2013 г. средства. Съпоставено с данните за 2012 г. нелихвените разходи са нараснали с 4,6 % (315,6 млн. лв.). Текущите нелихвени разходи представляват 96,5 % от планираните с разчета за годината и са в размер на 6 312,2 млн. лева. Капиталовите разходи и нетният прираст на държавния резерв са в </w:t>
      </w:r>
      <w:r w:rsidRPr="00033E0F">
        <w:rPr>
          <w:lang w:val="bg-BG"/>
        </w:rPr>
        <w:t>размер на 877,3 млн. лв. или 79,5 % от разчета за годината.</w:t>
      </w:r>
    </w:p>
    <w:p w:rsidR="000938C1" w:rsidRPr="00EE5C4D" w:rsidRDefault="000938C1" w:rsidP="00104728">
      <w:pPr>
        <w:spacing w:after="120"/>
        <w:ind w:firstLine="540"/>
        <w:jc w:val="both"/>
      </w:pPr>
      <w:r w:rsidRPr="00033E0F">
        <w:rPr>
          <w:i/>
        </w:rPr>
        <w:t>Лихвените плащания</w:t>
      </w:r>
      <w:r w:rsidRPr="00033E0F">
        <w:t xml:space="preserve"> по републиканския бюджет за 2013 г. са в общ размер на 652,0</w:t>
      </w:r>
      <w:r w:rsidRPr="00033E0F">
        <w:rPr>
          <w:bCs/>
        </w:rPr>
        <w:t xml:space="preserve"> млн. лв</w:t>
      </w:r>
      <w:r w:rsidRPr="00033E0F">
        <w:t>. или 77,5 % от предвидените за годината. В основната си част това са разходи за лихви по външни заеми, които за отчетния п</w:t>
      </w:r>
      <w:r w:rsidRPr="00506C36">
        <w:t xml:space="preserve">ериод са в размер на 469,4 млн. лв. От тях 415,8 млн. лв. са разходите, направени по централния бюджет и 53,6 млн. лв. тези по държавни инвестиционни заеми (ДИЗ), в т.ч. 44,0 млн. лв. са по заемите, управлявани от министерства и ведомства и 9,6 млн. лв. по заемите с краен бенефициент търговско дружество. Лихвите по вътрешни заеми по републиканския бюджет за 2013 г. са в размер на 182,6 млн. лв. (73,9 % от годишния уточнен размер) и представляват главно лихви по </w:t>
      </w:r>
      <w:r w:rsidRPr="00EE5C4D">
        <w:t>ДЦК.</w:t>
      </w:r>
    </w:p>
    <w:p w:rsidR="000938C1" w:rsidRPr="00EE5C4D" w:rsidRDefault="000938C1" w:rsidP="00104728">
      <w:pPr>
        <w:spacing w:after="120"/>
        <w:jc w:val="both"/>
      </w:pPr>
      <w:r w:rsidRPr="00EE5C4D">
        <w:tab/>
        <w:t xml:space="preserve">Предоставените </w:t>
      </w:r>
      <w:r w:rsidRPr="00EE5C4D">
        <w:rPr>
          <w:b/>
        </w:rPr>
        <w:t>трансфери/субсидии</w:t>
      </w:r>
      <w:r w:rsidRPr="00EE5C4D">
        <w:t xml:space="preserve"> от републиканския бюджет за други бюджети (нето) са в размер на </w:t>
      </w:r>
      <w:r w:rsidRPr="00EE5C4D">
        <w:rPr>
          <w:lang w:val="ru-RU"/>
        </w:rPr>
        <w:t>10</w:t>
      </w:r>
      <w:r w:rsidRPr="00EE5C4D">
        <w:rPr>
          <w:lang w:val="en-US"/>
        </w:rPr>
        <w:t> </w:t>
      </w:r>
      <w:r>
        <w:rPr>
          <w:lang w:val="ru-RU"/>
        </w:rPr>
        <w:t>285,3</w:t>
      </w:r>
      <w:r w:rsidRPr="00EE5C4D">
        <w:t xml:space="preserve"> млн. лв. или 101,8 % спрямо планираните в ЗИД на ЗДБРБ за 2013 г.</w:t>
      </w:r>
    </w:p>
    <w:p w:rsidR="000938C1" w:rsidRPr="003F0EB5" w:rsidRDefault="000938C1" w:rsidP="00104728">
      <w:pPr>
        <w:ind w:firstLine="360"/>
        <w:jc w:val="both"/>
      </w:pPr>
      <w:r w:rsidRPr="003F0EB5">
        <w:t xml:space="preserve">- </w:t>
      </w:r>
      <w:r w:rsidRPr="003F0EB5">
        <w:rPr>
          <w:b/>
          <w:i/>
        </w:rPr>
        <w:t>Нетните трансфери/субсидии и временни безлихвени заеми, предоставени на общините,</w:t>
      </w:r>
      <w:r>
        <w:t xml:space="preserve"> са в размер на 2 </w:t>
      </w:r>
      <w:r>
        <w:rPr>
          <w:lang w:val="en-US"/>
        </w:rPr>
        <w:t>658</w:t>
      </w:r>
      <w:r w:rsidRPr="003F0EB5">
        <w:t>,</w:t>
      </w:r>
      <w:r>
        <w:rPr>
          <w:lang w:val="en-US"/>
        </w:rPr>
        <w:t>8</w:t>
      </w:r>
      <w:r w:rsidRPr="003F0EB5">
        <w:t xml:space="preserve"> млн. лева. </w:t>
      </w:r>
    </w:p>
    <w:p w:rsidR="000938C1" w:rsidRPr="003F0EB5" w:rsidRDefault="000938C1" w:rsidP="00104728">
      <w:pPr>
        <w:widowControl w:val="0"/>
        <w:ind w:firstLine="737"/>
        <w:jc w:val="both"/>
      </w:pPr>
      <w:r w:rsidRPr="003F0EB5">
        <w:rPr>
          <w:i/>
        </w:rPr>
        <w:t xml:space="preserve">- бюджетните взаимоотношения </w:t>
      </w:r>
      <w:r w:rsidRPr="003F0EB5">
        <w:rPr>
          <w:b/>
          <w:i/>
        </w:rPr>
        <w:t>на общините с централния бюджет</w:t>
      </w:r>
      <w:r w:rsidRPr="003F0EB5">
        <w:rPr>
          <w:i/>
        </w:rPr>
        <w:t xml:space="preserve"> по отчет  </w:t>
      </w:r>
      <w:r w:rsidRPr="003F0EB5">
        <w:t>за 2013 г. възлизат на 2 594,5 млн. лв., в т.ч. обща субсидия за делегирани от държавата дейности 2 006,5 млн. лв., общо изравнителна субсидия и други трансфери за местни дейности 259,6 млн. лв., целеви трансфери (субсидии) за капиталови разходи в размер на 171,8 млн. лв., получени от общини други целеви трансфери (субвенции) от ЦБ – 160,</w:t>
      </w:r>
      <w:r>
        <w:t xml:space="preserve">2 </w:t>
      </w:r>
      <w:r w:rsidRPr="003F0EB5">
        <w:t>млн. лв. и възстановени трансфери (субсидии) за ЦБ в размер на 3,5 млн. лева.</w:t>
      </w:r>
    </w:p>
    <w:p w:rsidR="000938C1" w:rsidRPr="00082D52" w:rsidRDefault="000938C1" w:rsidP="00104728">
      <w:pPr>
        <w:widowControl w:val="0"/>
        <w:ind w:firstLine="737"/>
        <w:jc w:val="both"/>
      </w:pPr>
      <w:r w:rsidRPr="00C13638">
        <w:t>Спрямо утвърдените в ЗДБРБ за 2013 г. бюджетни взаимоотношения на общините с ЦБ – 2</w:t>
      </w:r>
      <w:r>
        <w:rPr>
          <w:lang w:val="en-US"/>
        </w:rPr>
        <w:t> </w:t>
      </w:r>
      <w:r w:rsidRPr="00C13638">
        <w:t>303</w:t>
      </w:r>
      <w:r>
        <w:t>,3</w:t>
      </w:r>
      <w:r w:rsidRPr="00C13638">
        <w:t xml:space="preserve"> млн. лв., отчетът показва увеличение от 291</w:t>
      </w:r>
      <w:r>
        <w:t>,</w:t>
      </w:r>
      <w:r>
        <w:rPr>
          <w:lang w:val="ru-RU"/>
        </w:rPr>
        <w:t>2</w:t>
      </w:r>
      <w:r w:rsidRPr="00C13638">
        <w:t xml:space="preserve"> млн. лв. или 1</w:t>
      </w:r>
      <w:r w:rsidRPr="00C13638">
        <w:rPr>
          <w:lang w:val="ru-RU"/>
        </w:rPr>
        <w:t>2</w:t>
      </w:r>
      <w:r>
        <w:rPr>
          <w:lang w:val="ru-RU"/>
        </w:rPr>
        <w:t>,</w:t>
      </w:r>
      <w:r w:rsidRPr="00C13638">
        <w:rPr>
          <w:lang w:val="ru-RU"/>
        </w:rPr>
        <w:t>6</w:t>
      </w:r>
      <w:r w:rsidRPr="00C13638">
        <w:t xml:space="preserve"> %, което произтича от увеличение на общата субсидия за делегирани от държавата дейности с 64</w:t>
      </w:r>
      <w:r>
        <w:t>,</w:t>
      </w:r>
      <w:r w:rsidRPr="00C13638">
        <w:t>8 млн. лв. и на целевата субсидия за капиталови разходи с 69</w:t>
      </w:r>
      <w:r>
        <w:t>,</w:t>
      </w:r>
      <w:r w:rsidRPr="00C13638">
        <w:t>9 млн. лв., предоставени целеви трансфери от ЦБ по §</w:t>
      </w:r>
      <w:r>
        <w:t xml:space="preserve"> </w:t>
      </w:r>
      <w:r w:rsidRPr="00C13638">
        <w:t>31-18 – 58</w:t>
      </w:r>
      <w:r>
        <w:t>,</w:t>
      </w:r>
      <w:r w:rsidRPr="00C13638">
        <w:t>9 млн.лв. и по §</w:t>
      </w:r>
      <w:r>
        <w:t xml:space="preserve"> </w:t>
      </w:r>
      <w:r w:rsidRPr="00C13638">
        <w:t>31-28 – 101</w:t>
      </w:r>
      <w:r>
        <w:t>,</w:t>
      </w:r>
      <w:r w:rsidRPr="00C13638">
        <w:t>2 млн.лв. и възстановени в ЦБ трансфери в размер на 3</w:t>
      </w:r>
      <w:r>
        <w:t>,</w:t>
      </w:r>
      <w:r w:rsidRPr="00C13638">
        <w:t>5 млн.</w:t>
      </w:r>
      <w:r>
        <w:t xml:space="preserve"> </w:t>
      </w:r>
      <w:r w:rsidRPr="00C13638">
        <w:t xml:space="preserve">лева. Увеличенията се дължат основно на направените корекции на бюджетните взаимоотношения на общините с ЦБ през 2013 г., с които са им предоставени допълнително средства над предвидените по чл. 10, ал. 1 от </w:t>
      </w:r>
      <w:r w:rsidRPr="00082D52">
        <w:t xml:space="preserve">ЗДБРБ за 2013 година. </w:t>
      </w:r>
    </w:p>
    <w:p w:rsidR="000938C1" w:rsidRPr="00082D52" w:rsidRDefault="000938C1" w:rsidP="00104728">
      <w:pPr>
        <w:pStyle w:val="BodyText"/>
        <w:widowControl w:val="0"/>
        <w:spacing w:after="0"/>
        <w:ind w:firstLine="720"/>
        <w:jc w:val="both"/>
      </w:pPr>
      <w:r w:rsidRPr="00082D52">
        <w:t>Общият компенсиран размер на допълнителните средства през 2013 г. е 193,9 млн. лв., предоставени както следва:</w:t>
      </w:r>
    </w:p>
    <w:p w:rsidR="000938C1" w:rsidRPr="00226BA8" w:rsidRDefault="000938C1" w:rsidP="00104728">
      <w:pPr>
        <w:widowControl w:val="0"/>
        <w:ind w:firstLine="737"/>
        <w:jc w:val="both"/>
      </w:pPr>
      <w:r w:rsidRPr="00226BA8">
        <w:t>1. Като обща субсидия за делегирани от държавата дейности – 64,8 млн. лева. Средствата са предоставени в изпълнение на разпоредбите на ЗДБРБ за 2013 г., на ПМС №1/2013 г. за изпълнението на държавния бюджет на Република България за 2013 г., както и в изпълнение на Закона за народната просвета, Закона за закрила на детето, Закона за закрила и развитие на културата, Закона за физическото възпитание и спорта, Закона за социалното подпомагане, както и подзаконовата уредба, приета на основание на тези закони. Основните направления на разпределение на средствата са за промяна в броя на децата в детските градини и детските ясли, промяна в броя на учениците в училищата, промяна на местата в институциите за социална грижа и подкрепа, за целодневна организация на учебния ден за учениците от първи клас, за национални програми в областта на средното образование, за изплащане на стипендии на деца с изявени дарби, за национални прояви и чествания на събития, за физическо възпитание и спорт.</w:t>
      </w:r>
    </w:p>
    <w:p w:rsidR="000938C1" w:rsidRPr="008F7655" w:rsidRDefault="000938C1" w:rsidP="00104728">
      <w:pPr>
        <w:widowControl w:val="0"/>
        <w:ind w:firstLine="737"/>
        <w:jc w:val="both"/>
      </w:pPr>
      <w:r w:rsidRPr="00226BA8">
        <w:t>2. Като целева субсидия за капиталови разходи и получени от общините целеви трансфери от ЦБ – 230</w:t>
      </w:r>
      <w:r>
        <w:rPr>
          <w:lang w:val="ru-RU"/>
        </w:rPr>
        <w:t>,</w:t>
      </w:r>
      <w:r w:rsidRPr="00226BA8">
        <w:t>0 млн.лв. Средствата са преведени в изпълнение на разпоредбите на Закона за държавния бюджет на Република България за 2013 г., на Постановление № 1 от 2013 г. на Министерския съвет за изпълнението на държавния бюджет на Република България за 2013 г., както и в изпълнение на Закона за народната просвета, Национална програма „Оптимизация на училищна мрежа</w:t>
      </w:r>
      <w:r>
        <w:t>“</w:t>
      </w:r>
      <w:r w:rsidRPr="00226BA8">
        <w:t>, решения на Междуведомствената комисия за възстановяване и подпомагане към Министерския съвет в случаите на стихийни бедствия и аварии, редица постановления на Министерския съвет за предоставяне на допълнителни средства по бюджетите на общини за финансиране на инфраструктурни обекти (ПМС</w:t>
      </w:r>
      <w:r>
        <w:t xml:space="preserve"> </w:t>
      </w:r>
      <w:r w:rsidRPr="00226BA8">
        <w:t>№</w:t>
      </w:r>
      <w:r>
        <w:t xml:space="preserve"> </w:t>
      </w:r>
      <w:r w:rsidRPr="00226BA8">
        <w:t>17, ПМС</w:t>
      </w:r>
      <w:r>
        <w:t xml:space="preserve"> </w:t>
      </w:r>
      <w:r w:rsidRPr="00226BA8">
        <w:t>№</w:t>
      </w:r>
      <w:r>
        <w:t xml:space="preserve"> </w:t>
      </w:r>
      <w:r w:rsidRPr="00226BA8">
        <w:t>24, ПМС</w:t>
      </w:r>
      <w:r>
        <w:t xml:space="preserve"> </w:t>
      </w:r>
      <w:r w:rsidRPr="00226BA8">
        <w:t>№</w:t>
      </w:r>
      <w:r>
        <w:t xml:space="preserve"> </w:t>
      </w:r>
      <w:r w:rsidRPr="00226BA8">
        <w:t>31, ПМС</w:t>
      </w:r>
      <w:r>
        <w:t xml:space="preserve"> </w:t>
      </w:r>
      <w:r w:rsidRPr="00226BA8">
        <w:t>№</w:t>
      </w:r>
      <w:r>
        <w:t xml:space="preserve"> </w:t>
      </w:r>
      <w:r w:rsidRPr="00226BA8">
        <w:t>61, ПМС</w:t>
      </w:r>
      <w:r>
        <w:t xml:space="preserve"> </w:t>
      </w:r>
      <w:r w:rsidRPr="00226BA8">
        <w:t>№</w:t>
      </w:r>
      <w:r>
        <w:t xml:space="preserve"> </w:t>
      </w:r>
      <w:r w:rsidRPr="00226BA8">
        <w:t>66, ПМС</w:t>
      </w:r>
      <w:r>
        <w:t xml:space="preserve"> </w:t>
      </w:r>
      <w:r w:rsidRPr="00226BA8">
        <w:t>№</w:t>
      </w:r>
      <w:r>
        <w:t xml:space="preserve"> </w:t>
      </w:r>
      <w:r w:rsidRPr="00226BA8">
        <w:t>70, ПМС</w:t>
      </w:r>
      <w:r>
        <w:t xml:space="preserve"> </w:t>
      </w:r>
      <w:r w:rsidRPr="00226BA8">
        <w:t>№</w:t>
      </w:r>
      <w:r>
        <w:t xml:space="preserve"> </w:t>
      </w:r>
      <w:r w:rsidRPr="00226BA8">
        <w:t>254, ПМС</w:t>
      </w:r>
      <w:r>
        <w:t xml:space="preserve"> </w:t>
      </w:r>
      <w:r w:rsidRPr="00226BA8">
        <w:t>№</w:t>
      </w:r>
      <w:r>
        <w:t xml:space="preserve"> </w:t>
      </w:r>
      <w:r w:rsidRPr="00226BA8">
        <w:t>270</w:t>
      </w:r>
      <w:r>
        <w:t>,</w:t>
      </w:r>
      <w:r w:rsidRPr="00226BA8">
        <w:t xml:space="preserve"> ПМС</w:t>
      </w:r>
      <w:r>
        <w:t xml:space="preserve"> </w:t>
      </w:r>
      <w:r w:rsidRPr="00226BA8">
        <w:t>№</w:t>
      </w:r>
      <w:r>
        <w:t xml:space="preserve"> </w:t>
      </w:r>
      <w:r w:rsidRPr="00226BA8">
        <w:t>273, ПМС</w:t>
      </w:r>
      <w:r>
        <w:t xml:space="preserve"> </w:t>
      </w:r>
      <w:r w:rsidRPr="00226BA8">
        <w:t>№</w:t>
      </w:r>
      <w:r>
        <w:t xml:space="preserve"> </w:t>
      </w:r>
      <w:r w:rsidRPr="00226BA8">
        <w:t>288 ПМС</w:t>
      </w:r>
      <w:r>
        <w:t xml:space="preserve"> </w:t>
      </w:r>
      <w:r w:rsidRPr="00226BA8">
        <w:t>№</w:t>
      </w:r>
      <w:r>
        <w:t xml:space="preserve"> </w:t>
      </w:r>
      <w:r w:rsidRPr="00226BA8">
        <w:t>301 ПМС</w:t>
      </w:r>
      <w:r>
        <w:t xml:space="preserve"> </w:t>
      </w:r>
      <w:r w:rsidRPr="00226BA8">
        <w:t>№3</w:t>
      </w:r>
      <w:r>
        <w:t xml:space="preserve"> </w:t>
      </w:r>
      <w:r w:rsidRPr="00226BA8">
        <w:t>02), ПМС №</w:t>
      </w:r>
      <w:r>
        <w:t xml:space="preserve"> </w:t>
      </w:r>
      <w:r w:rsidRPr="00226BA8">
        <w:t xml:space="preserve">117 от 2013 г. за определяне условията, критериите и реда за финансово подпомагане на общините за достъпа им до финансиране от ФЛАГ, за обезщетения на собственици на недвижими имоти, отчуждени по реда на Закона за собствеността, субсидиране на градския транспорт за безплатни и по </w:t>
      </w:r>
      <w:r w:rsidRPr="008F7655">
        <w:t>намалени цени пътувания на ученици и други.</w:t>
      </w:r>
    </w:p>
    <w:p w:rsidR="000938C1" w:rsidRPr="008F7655" w:rsidRDefault="000938C1" w:rsidP="00104728">
      <w:pPr>
        <w:ind w:firstLine="540"/>
        <w:jc w:val="both"/>
      </w:pPr>
      <w:r w:rsidRPr="008F7655">
        <w:t xml:space="preserve">- на </w:t>
      </w:r>
      <w:r w:rsidRPr="008F7655">
        <w:rPr>
          <w:b/>
          <w:i/>
        </w:rPr>
        <w:t>здравните и социалноосигурителните фондове</w:t>
      </w:r>
      <w:r>
        <w:rPr>
          <w:b/>
          <w:i/>
        </w:rPr>
        <w:t xml:space="preserve"> </w:t>
      </w:r>
      <w:r w:rsidRPr="008F7655">
        <w:t>– 5 </w:t>
      </w:r>
      <w:r w:rsidRPr="002255D3">
        <w:rPr>
          <w:lang w:val="ru-RU"/>
        </w:rPr>
        <w:t>587</w:t>
      </w:r>
      <w:r>
        <w:rPr>
          <w:lang w:val="ru-RU"/>
        </w:rPr>
        <w:t>,</w:t>
      </w:r>
      <w:r w:rsidRPr="002255D3">
        <w:rPr>
          <w:lang w:val="ru-RU"/>
        </w:rPr>
        <w:t>3</w:t>
      </w:r>
      <w:r w:rsidRPr="008F7655">
        <w:t xml:space="preserve"> млн. лв., което представлява 98,</w:t>
      </w:r>
      <w:r w:rsidRPr="002255D3">
        <w:rPr>
          <w:lang w:val="ru-RU"/>
        </w:rPr>
        <w:t>4</w:t>
      </w:r>
      <w:r w:rsidRPr="008F7655">
        <w:t> % от годишния разчет;</w:t>
      </w:r>
    </w:p>
    <w:p w:rsidR="000938C1" w:rsidRPr="00B51513" w:rsidRDefault="000938C1" w:rsidP="00104728">
      <w:pPr>
        <w:ind w:firstLine="540"/>
        <w:jc w:val="both"/>
      </w:pPr>
      <w:r w:rsidRPr="00B51513">
        <w:t xml:space="preserve">-  на </w:t>
      </w:r>
      <w:r w:rsidRPr="00B51513">
        <w:rPr>
          <w:b/>
          <w:i/>
        </w:rPr>
        <w:t>съдебната власт</w:t>
      </w:r>
      <w:r w:rsidRPr="00B51513">
        <w:t xml:space="preserve"> – нетна сума 275,7 млн. лв., от които 275,2 млн. лв. субсидия за органите на съдебната власт;</w:t>
      </w:r>
    </w:p>
    <w:p w:rsidR="000938C1" w:rsidRPr="00B51513" w:rsidRDefault="000938C1" w:rsidP="00104728">
      <w:pPr>
        <w:ind w:firstLine="540"/>
        <w:jc w:val="both"/>
      </w:pPr>
      <w:r w:rsidRPr="00B51513">
        <w:t xml:space="preserve">- на </w:t>
      </w:r>
      <w:r w:rsidRPr="00B51513">
        <w:rPr>
          <w:b/>
          <w:i/>
        </w:rPr>
        <w:t>извънбюджетните фондове и сметки</w:t>
      </w:r>
      <w:r w:rsidRPr="00B51513">
        <w:t xml:space="preserve"> – нетният размер на трансферите от ЦБ за извънбюджетните сметки и фондове е 1 145,7 млн. лв. (1 146,5 млн. лв. предоставени и 0,8 млн. лв. получени). Предоставените средства за Национален фонд – 591,2 млн. лв. и за Държавен фонд „Земеделие”- 554,6 млн. лева.  </w:t>
      </w:r>
    </w:p>
    <w:p w:rsidR="000938C1" w:rsidRPr="00B51513" w:rsidRDefault="000938C1" w:rsidP="00104728">
      <w:pPr>
        <w:ind w:firstLine="540"/>
        <w:jc w:val="both"/>
        <w:rPr>
          <w:b/>
          <w:sz w:val="12"/>
          <w:szCs w:val="12"/>
        </w:rPr>
      </w:pPr>
    </w:p>
    <w:p w:rsidR="000938C1" w:rsidRPr="00CF1A14" w:rsidRDefault="000938C1" w:rsidP="00104728">
      <w:pPr>
        <w:ind w:firstLine="720"/>
        <w:jc w:val="both"/>
        <w:rPr>
          <w:b/>
          <w:color w:val="0070C0"/>
        </w:rPr>
      </w:pPr>
      <w:r w:rsidRPr="009A4529">
        <w:rPr>
          <w:b/>
        </w:rPr>
        <w:t>Бюджетното салдо</w:t>
      </w:r>
      <w:r>
        <w:rPr>
          <w:b/>
        </w:rPr>
        <w:t xml:space="preserve"> </w:t>
      </w:r>
      <w:r w:rsidRPr="009A4529">
        <w:rPr>
          <w:b/>
        </w:rPr>
        <w:t>по републиканския бюджет за 2013 г. е отрицателно в размер на 1 117,1 млн. лева</w:t>
      </w:r>
      <w:r w:rsidRPr="00CF1A14">
        <w:rPr>
          <w:b/>
          <w:color w:val="0070C0"/>
        </w:rPr>
        <w:t>.</w:t>
      </w:r>
    </w:p>
    <w:p w:rsidR="000938C1" w:rsidRPr="00B123FA" w:rsidRDefault="000938C1" w:rsidP="00F30F79">
      <w:pPr>
        <w:pStyle w:val="Heading2"/>
        <w:numPr>
          <w:ilvl w:val="1"/>
          <w:numId w:val="31"/>
        </w:numPr>
        <w:rPr>
          <w:rFonts w:ascii="Times New Roman" w:hAnsi="Times New Roman" w:cs="Times New Roman"/>
          <w:i w:val="0"/>
          <w:iCs w:val="0"/>
          <w:sz w:val="24"/>
        </w:rPr>
      </w:pPr>
      <w:bookmarkStart w:id="280" w:name="_Toc393728090"/>
      <w:r w:rsidRPr="00B123FA">
        <w:rPr>
          <w:rFonts w:ascii="Times New Roman" w:hAnsi="Times New Roman" w:cs="Times New Roman"/>
          <w:i w:val="0"/>
          <w:iCs w:val="0"/>
          <w:sz w:val="24"/>
        </w:rPr>
        <w:t>Съдебна власт</w:t>
      </w:r>
      <w:bookmarkEnd w:id="275"/>
      <w:bookmarkEnd w:id="280"/>
    </w:p>
    <w:p w:rsidR="000938C1" w:rsidRPr="00B123FA" w:rsidRDefault="000938C1" w:rsidP="00B123FA">
      <w:pPr>
        <w:spacing w:after="120"/>
        <w:ind w:right="-108" w:firstLine="720"/>
        <w:jc w:val="both"/>
      </w:pPr>
      <w:r w:rsidRPr="00B123FA">
        <w:t>Със ЗДБРБ за 2013 г. по бюджета на съдебната власт са одобрени общо неданъчни приходи в размер на 1</w:t>
      </w:r>
      <w:r w:rsidRPr="00B123FA">
        <w:rPr>
          <w:lang w:val="ru-RU"/>
        </w:rPr>
        <w:t>40,0</w:t>
      </w:r>
      <w:r w:rsidRPr="00B123FA">
        <w:t xml:space="preserve"> млн. лв., в т.ч. приходи от съдебни такси – </w:t>
      </w:r>
      <w:r w:rsidRPr="00B123FA">
        <w:rPr>
          <w:lang w:val="ru-RU"/>
        </w:rPr>
        <w:t>120,</w:t>
      </w:r>
      <w:r w:rsidRPr="00B123FA">
        <w:t>0 млн. лв. През годината постъпилите по бюджета на съдебната власт неданъчни приходи и помощи са в размер на 14</w:t>
      </w:r>
      <w:r w:rsidRPr="00B123FA">
        <w:rPr>
          <w:lang w:val="ru-RU"/>
        </w:rPr>
        <w:t>0,6</w:t>
      </w:r>
      <w:r w:rsidRPr="00B123FA">
        <w:t xml:space="preserve"> млн. лв. Приходите от съдебни такси са 120,</w:t>
      </w:r>
      <w:r w:rsidRPr="00B123FA">
        <w:rPr>
          <w:lang w:val="ru-RU"/>
        </w:rPr>
        <w:t>0</w:t>
      </w:r>
      <w:r w:rsidRPr="00B123FA">
        <w:t xml:space="preserve"> млн. лв. (1</w:t>
      </w:r>
      <w:r w:rsidRPr="00B123FA">
        <w:rPr>
          <w:lang w:val="ru-RU"/>
        </w:rPr>
        <w:t>00,0</w:t>
      </w:r>
      <w:r w:rsidRPr="00B123FA">
        <w:t xml:space="preserve"> % спрямо одобрените със ЗДБРБ за 2013 г. параметри), като техния</w:t>
      </w:r>
      <w:r>
        <w:t>т</w:t>
      </w:r>
      <w:r w:rsidRPr="00B123FA">
        <w:t xml:space="preserve"> дял в общия обем на приходите е 85,</w:t>
      </w:r>
      <w:r w:rsidRPr="00B123FA">
        <w:rPr>
          <w:lang w:val="ru-RU"/>
        </w:rPr>
        <w:t>3</w:t>
      </w:r>
      <w:r w:rsidRPr="00B123FA">
        <w:t xml:space="preserve"> % и включват съдебни такси, събирани по Тарифа №1 от Закона за държавните такси; държавни такси, събирани в съдебното производство по ГПК; държавни такси за регистрации и промени по фирмени дела на дружества с нестопанска цел и кооперации; приходи, събирани по дела с голям материален интерес, чиято държавна такса е 4</w:t>
      </w:r>
      <w:r>
        <w:t xml:space="preserve"> </w:t>
      </w:r>
      <w:r w:rsidRPr="00B123FA">
        <w:t>% от иска. От другите неданъчни приходи (10,9 % от общия размер) най-голям относителен дял заемат приходите от вземания по изпълнителни листове, издавани в полза на органите на съдебната власт и събирани от Националната агенция за приходите, от разноски по дела, приходи от предоставяне на обществена информация по Закона за достъп до обществена информация и др</w:t>
      </w:r>
      <w:r>
        <w:t>уги</w:t>
      </w:r>
      <w:r w:rsidRPr="00B123FA">
        <w:t>.</w:t>
      </w:r>
    </w:p>
    <w:p w:rsidR="000938C1" w:rsidRPr="00B123FA" w:rsidRDefault="000938C1" w:rsidP="00B123FA">
      <w:pPr>
        <w:spacing w:before="120" w:after="120"/>
        <w:ind w:firstLine="708"/>
        <w:jc w:val="both"/>
        <w:rPr>
          <w:color w:val="0070C0"/>
        </w:rPr>
      </w:pPr>
      <w:r w:rsidRPr="00B123FA">
        <w:t>Одобрените със ЗДБРБ за 20</w:t>
      </w:r>
      <w:r w:rsidRPr="002255D3">
        <w:rPr>
          <w:lang w:val="ru-RU"/>
        </w:rPr>
        <w:t xml:space="preserve">13 </w:t>
      </w:r>
      <w:r w:rsidRPr="00B123FA">
        <w:t>г. средства по бюджета на съдебната власт са предвидени за финансово осигуряване на основните политики, заложени в Стратегията за реформа на българската съдебна система. При изпълнението на бюджета приоритетно се финансират дейностите, насочени за продължаващото изграждане на добре функционираща съдебна система, която да гарантира ефективно прилагане на законите, постигането на равен достъп до правосъдие и достигане на европейските стандарти в областта на правната помощ, съдебното изпълнение и алтернативното решаване на спорове.</w:t>
      </w:r>
    </w:p>
    <w:p w:rsidR="000938C1" w:rsidRPr="00B123FA" w:rsidRDefault="000938C1" w:rsidP="00B123FA">
      <w:pPr>
        <w:spacing w:before="120" w:after="120"/>
        <w:ind w:firstLine="708"/>
        <w:jc w:val="both"/>
        <w:rPr>
          <w:color w:val="0070C0"/>
        </w:rPr>
      </w:pPr>
      <w:r w:rsidRPr="00B123FA">
        <w:t xml:space="preserve">През 2013 г. по бюджета на съдебната власт са отчетени разходи в размер на 441,5 млн. лв., които представляват 109,3 % спрямо определените с годишния закон </w:t>
      </w:r>
      <w:r w:rsidRPr="00B123FA">
        <w:rPr>
          <w:lang w:val="ru-RU"/>
        </w:rPr>
        <w:t>404</w:t>
      </w:r>
      <w:r>
        <w:rPr>
          <w:lang w:val="ru-RU"/>
        </w:rPr>
        <w:t>,</w:t>
      </w:r>
      <w:r w:rsidRPr="00B123FA">
        <w:rPr>
          <w:lang w:val="ru-RU"/>
        </w:rPr>
        <w:t>0</w:t>
      </w:r>
      <w:r w:rsidRPr="00B123FA">
        <w:t xml:space="preserve"> млн. лв. В отчета са включени извършени разходи за сметка на наличностите по сметки от предходни години съгласно чл. 2, ал. 5 от ЗДБРБ за 2013 г., като с корекции на основание чл. 34, ал. 1 и 2 от ЗУДБ и в изпълнение  на ПМС №</w:t>
      </w:r>
      <w:r>
        <w:t xml:space="preserve"> </w:t>
      </w:r>
      <w:r w:rsidRPr="00B123FA">
        <w:t xml:space="preserve">36/2001 г. за изграждане на Комплексна автоматизирана система (КАС) за управление, ПМС № 109/2013 г., ПМС № 146/2013 г., ПМС № 231/2013 г. и ПМС № 268/2013 г. са одобрени допълнителни бюджетни кредити по бюджета на съдебната власт за 2013 г. От така отчетените общи разходи – 286,2 млн. лв. са за заплати и възнаграждения на персонала (105,5 % спрямо разчетите към ЗДБРБ за 2013 г.); 79,1 млн. лв. са осигурителните вноски (112,4 % изпълнение) и 35,6 млн. лв. (178,1 % спрямо разчетите към ЗДБРБ за 2013 г.) – другите възнаграждения и плащания за персонала. Отчетените разходи за издръжка са 39,1 млн. лв. или 98,1 % от разчета в закона. </w:t>
      </w:r>
      <w:r>
        <w:t>Извършени</w:t>
      </w:r>
      <w:r w:rsidRPr="00B123FA">
        <w:t xml:space="preserve"> са капиталови разходи  </w:t>
      </w:r>
      <w:r>
        <w:t xml:space="preserve">в размер на </w:t>
      </w:r>
      <w:r w:rsidRPr="00B123FA">
        <w:t xml:space="preserve"> 1,4 млн. лв. или 58,3 % от годишния разчет. </w:t>
      </w:r>
    </w:p>
    <w:p w:rsidR="000938C1" w:rsidRPr="00B123FA" w:rsidRDefault="000938C1" w:rsidP="00B123FA">
      <w:pPr>
        <w:spacing w:before="120" w:after="120"/>
        <w:ind w:firstLine="708"/>
        <w:jc w:val="both"/>
      </w:pPr>
      <w:r w:rsidRPr="00B123FA">
        <w:t xml:space="preserve">Получената субсидия от централния бюджет е в размер на 275,2 млн. лв. (104,2 % </w:t>
      </w:r>
      <w:r>
        <w:t xml:space="preserve">спрямо одобрената със </w:t>
      </w:r>
      <w:r w:rsidRPr="00B123FA">
        <w:t>ЗДБРБ за 2013 г.).</w:t>
      </w:r>
    </w:p>
    <w:p w:rsidR="000938C1" w:rsidRDefault="000938C1" w:rsidP="00B123FA">
      <w:pPr>
        <w:spacing w:after="120"/>
        <w:ind w:right="-108" w:firstLine="720"/>
        <w:jc w:val="both"/>
      </w:pPr>
      <w:r w:rsidRPr="00B123FA">
        <w:t>Органите на съдебната власт завършват годината с наличност по депозити и сметки в размер на 4,0 млн. лв. в сравнение с 29,7 млн. лв. през предходната година.</w:t>
      </w:r>
    </w:p>
    <w:p w:rsidR="000938C1" w:rsidRPr="00104728" w:rsidRDefault="000938C1" w:rsidP="00F30F79">
      <w:pPr>
        <w:pStyle w:val="Heading2"/>
        <w:numPr>
          <w:ilvl w:val="1"/>
          <w:numId w:val="31"/>
        </w:numPr>
        <w:rPr>
          <w:rFonts w:ascii="Times New Roman" w:hAnsi="Times New Roman" w:cs="Times New Roman"/>
          <w:i w:val="0"/>
          <w:iCs w:val="0"/>
          <w:sz w:val="24"/>
        </w:rPr>
      </w:pPr>
      <w:bookmarkStart w:id="281" w:name="_Toc261276603"/>
      <w:bookmarkStart w:id="282" w:name="_Toc324863440"/>
      <w:bookmarkStart w:id="283" w:name="_Toc393728091"/>
      <w:r w:rsidRPr="00104728">
        <w:rPr>
          <w:rFonts w:ascii="Times New Roman" w:hAnsi="Times New Roman" w:cs="Times New Roman"/>
          <w:i w:val="0"/>
          <w:iCs w:val="0"/>
          <w:sz w:val="24"/>
        </w:rPr>
        <w:t>Социалноосигурителни фондове</w:t>
      </w:r>
      <w:bookmarkEnd w:id="276"/>
      <w:bookmarkEnd w:id="277"/>
      <w:bookmarkEnd w:id="281"/>
      <w:bookmarkEnd w:id="282"/>
      <w:bookmarkEnd w:id="283"/>
    </w:p>
    <w:p w:rsidR="000938C1" w:rsidRPr="00104728" w:rsidRDefault="000938C1" w:rsidP="008F31EF">
      <w:pPr>
        <w:pStyle w:val="Heading3"/>
        <w:numPr>
          <w:ilvl w:val="0"/>
          <w:numId w:val="3"/>
        </w:numPr>
        <w:tabs>
          <w:tab w:val="clear" w:pos="360"/>
          <w:tab w:val="num" w:pos="1080"/>
        </w:tabs>
        <w:ind w:firstLine="360"/>
        <w:rPr>
          <w:rFonts w:ascii="Times New Roman" w:hAnsi="Times New Roman"/>
          <w:sz w:val="24"/>
          <w:lang w:val="bg-BG"/>
        </w:rPr>
      </w:pPr>
      <w:bookmarkStart w:id="284" w:name="_Toc136597759"/>
      <w:bookmarkStart w:id="285" w:name="_Toc136601662"/>
      <w:bookmarkStart w:id="286" w:name="_Toc261276604"/>
      <w:bookmarkStart w:id="287" w:name="_Toc324863441"/>
      <w:bookmarkStart w:id="288" w:name="_Toc393728092"/>
      <w:r w:rsidRPr="00104728">
        <w:rPr>
          <w:rFonts w:ascii="Times New Roman" w:hAnsi="Times New Roman"/>
          <w:sz w:val="24"/>
          <w:lang w:val="bg-BG"/>
        </w:rPr>
        <w:t>Държавно обществено осигуряване</w:t>
      </w:r>
      <w:bookmarkEnd w:id="284"/>
      <w:bookmarkEnd w:id="285"/>
      <w:bookmarkEnd w:id="286"/>
      <w:bookmarkEnd w:id="287"/>
      <w:bookmarkEnd w:id="288"/>
    </w:p>
    <w:p w:rsidR="000938C1" w:rsidRPr="00CF1A14" w:rsidRDefault="000938C1" w:rsidP="00A76D85">
      <w:pPr>
        <w:rPr>
          <w:color w:val="0070C0"/>
          <w:sz w:val="8"/>
          <w:szCs w:val="8"/>
        </w:rPr>
      </w:pPr>
    </w:p>
    <w:p w:rsidR="000938C1" w:rsidRPr="00C86F99" w:rsidRDefault="000938C1" w:rsidP="00104728">
      <w:pPr>
        <w:pStyle w:val="BodyText2"/>
        <w:spacing w:line="240" w:lineRule="auto"/>
        <w:jc w:val="both"/>
        <w:rPr>
          <w:b/>
          <w:bCs/>
        </w:rPr>
      </w:pPr>
      <w:bookmarkStart w:id="289" w:name="_Toc324863445"/>
      <w:bookmarkStart w:id="290" w:name="_Toc136597769"/>
      <w:bookmarkStart w:id="291" w:name="_Toc136601672"/>
      <w:bookmarkEnd w:id="278"/>
      <w:bookmarkEnd w:id="279"/>
      <w:r w:rsidRPr="00364226">
        <w:rPr>
          <w:b/>
        </w:rPr>
        <w:t xml:space="preserve">Общата сума на приходите </w:t>
      </w:r>
      <w:r w:rsidRPr="00104728">
        <w:rPr>
          <w:color w:val="000000"/>
        </w:rPr>
        <w:t xml:space="preserve">по бюджета на </w:t>
      </w:r>
      <w:r>
        <w:rPr>
          <w:color w:val="000000"/>
        </w:rPr>
        <w:t>д</w:t>
      </w:r>
      <w:r w:rsidRPr="00104728">
        <w:rPr>
          <w:color w:val="000000"/>
        </w:rPr>
        <w:t>ържавното обществено осигуряване (ДОО) за 201</w:t>
      </w:r>
      <w:r w:rsidRPr="002255D3">
        <w:rPr>
          <w:color w:val="000000"/>
          <w:lang w:val="ru-RU"/>
        </w:rPr>
        <w:t>3</w:t>
      </w:r>
      <w:r w:rsidRPr="00104728">
        <w:rPr>
          <w:color w:val="000000"/>
        </w:rPr>
        <w:t xml:space="preserve"> г. възлиза на </w:t>
      </w:r>
      <w:r w:rsidRPr="002255D3">
        <w:rPr>
          <w:color w:val="000000"/>
          <w:lang w:val="ru-RU"/>
        </w:rPr>
        <w:t>4</w:t>
      </w:r>
      <w:r w:rsidRPr="00104728">
        <w:rPr>
          <w:color w:val="000000"/>
          <w:lang w:val="en-US"/>
        </w:rPr>
        <w:t> </w:t>
      </w:r>
      <w:r w:rsidRPr="002255D3">
        <w:rPr>
          <w:color w:val="000000"/>
          <w:lang w:val="ru-RU"/>
        </w:rPr>
        <w:t>273</w:t>
      </w:r>
      <w:r w:rsidRPr="00104728">
        <w:rPr>
          <w:color w:val="000000"/>
        </w:rPr>
        <w:t>,</w:t>
      </w:r>
      <w:r w:rsidRPr="002255D3">
        <w:rPr>
          <w:color w:val="000000"/>
          <w:lang w:val="ru-RU"/>
        </w:rPr>
        <w:t>1</w:t>
      </w:r>
      <w:r w:rsidRPr="00104728">
        <w:rPr>
          <w:color w:val="000000"/>
        </w:rPr>
        <w:t xml:space="preserve"> млн. лв., което представлява 99,1 % от заложените по Закона за бюджета на </w:t>
      </w:r>
      <w:r>
        <w:rPr>
          <w:color w:val="000000"/>
        </w:rPr>
        <w:t>д</w:t>
      </w:r>
      <w:r w:rsidRPr="00104728">
        <w:rPr>
          <w:color w:val="000000"/>
        </w:rPr>
        <w:t>ържавното обществено осигуряване за 201</w:t>
      </w:r>
      <w:r w:rsidRPr="002255D3">
        <w:rPr>
          <w:color w:val="000000"/>
          <w:lang w:val="ru-RU"/>
        </w:rPr>
        <w:t>3</w:t>
      </w:r>
      <w:r w:rsidRPr="00104728">
        <w:rPr>
          <w:color w:val="000000"/>
        </w:rPr>
        <w:t xml:space="preserve"> г. (ЗБДОО) 4 311,2  млн. лева. </w:t>
      </w:r>
      <w:r w:rsidRPr="00104728">
        <w:rPr>
          <w:bCs/>
          <w:color w:val="000000"/>
        </w:rPr>
        <w:t xml:space="preserve">Най-голям е делът на приходите от осигурителни вноски, които са в размер на 4 220,2 млн. лв. и представляват 98,8 % от общите приходи. От тях: осигурителни вноски за работници и служители от работодатели - 2 589,7 млн. лв.; лични вноски от работници и служители - 1 410,0 млн. лв.; вноски от самоосигуряващи се лица – 199,5 млн. лева. През 2013 г. се запазиха размерите и съотношенията на осигурителните вноски за фондовете на ДОО и участието на държавата в осигуряването за фонд “Пенсии” чрез трансфер в размер и по ред, определени в чл. 21, т. 5 на Кодекса за социално осигуряване (КСО), на нивата от 2012 г. Само за работещите в специалните ведомства, които се пенсионират при условията на чл. 69 от КСО, осигурителната вноска за фонд </w:t>
      </w:r>
      <w:r>
        <w:rPr>
          <w:bCs/>
          <w:color w:val="000000"/>
        </w:rPr>
        <w:t>“</w:t>
      </w:r>
      <w:r w:rsidRPr="00104728">
        <w:rPr>
          <w:bCs/>
          <w:color w:val="000000"/>
        </w:rPr>
        <w:t>Пенсии“, е увеличена с 20 процентни пункта.</w:t>
      </w:r>
      <w:r w:rsidRPr="00C86F99">
        <w:t>Съпоставени с 2012 г. са постъпили с 387</w:t>
      </w:r>
      <w:r>
        <w:t>,</w:t>
      </w:r>
      <w:r w:rsidRPr="00C86F99">
        <w:t>9 млн. лв. (10</w:t>
      </w:r>
      <w:r>
        <w:t>,</w:t>
      </w:r>
      <w:r w:rsidRPr="00C86F99">
        <w:t>1 %) повече приходи от осигурителни вноски. Върху състоянието на приходите през 2013 г. влияние оказват следните фактори:</w:t>
      </w:r>
    </w:p>
    <w:p w:rsidR="000938C1" w:rsidRPr="00734AEA" w:rsidRDefault="000938C1" w:rsidP="00104728">
      <w:pPr>
        <w:numPr>
          <w:ilvl w:val="0"/>
          <w:numId w:val="56"/>
        </w:numPr>
        <w:tabs>
          <w:tab w:val="num" w:pos="1499"/>
          <w:tab w:val="num" w:pos="2148"/>
        </w:tabs>
        <w:jc w:val="both"/>
        <w:rPr>
          <w:bCs/>
        </w:rPr>
      </w:pPr>
      <w:r w:rsidRPr="00734AEA">
        <w:rPr>
          <w:bCs/>
        </w:rPr>
        <w:t>Увеличението на минималните осигурителни прагове по основните икономически дейности и групи професии от 1 януари 2013 г. средно с 3</w:t>
      </w:r>
      <w:r>
        <w:rPr>
          <w:bCs/>
        </w:rPr>
        <w:t>,</w:t>
      </w:r>
      <w:r w:rsidRPr="00734AEA">
        <w:rPr>
          <w:bCs/>
        </w:rPr>
        <w:t>3 % спрямо 2012 година. За 2013 г. са договорени минималните осигурителни прагове за 58 икономически дейности със средно увеличение спрямо 2012 г. от 4</w:t>
      </w:r>
      <w:r>
        <w:rPr>
          <w:bCs/>
        </w:rPr>
        <w:t>,</w:t>
      </w:r>
      <w:r w:rsidRPr="00734AEA">
        <w:rPr>
          <w:bCs/>
        </w:rPr>
        <w:t>5 %. За останалите икономически дейности, където не са постигнати споразумения се запазват минималните осигурителни прагове за 2012 г</w:t>
      </w:r>
      <w:r>
        <w:rPr>
          <w:bCs/>
        </w:rPr>
        <w:t>одина</w:t>
      </w:r>
      <w:r w:rsidRPr="00734AEA">
        <w:rPr>
          <w:bCs/>
        </w:rPr>
        <w:t>;</w:t>
      </w:r>
    </w:p>
    <w:p w:rsidR="000938C1" w:rsidRPr="00734AEA" w:rsidRDefault="000938C1" w:rsidP="00104728">
      <w:pPr>
        <w:numPr>
          <w:ilvl w:val="0"/>
          <w:numId w:val="56"/>
        </w:numPr>
        <w:tabs>
          <w:tab w:val="num" w:pos="1499"/>
          <w:tab w:val="num" w:pos="2148"/>
        </w:tabs>
        <w:jc w:val="both"/>
        <w:rPr>
          <w:bCs/>
        </w:rPr>
      </w:pPr>
      <w:r w:rsidRPr="00734AEA">
        <w:rPr>
          <w:bCs/>
        </w:rPr>
        <w:t>Увеличението на максималния месечен размер на осигурителния доход от 2 000 лв.  на  2 200 лева;</w:t>
      </w:r>
    </w:p>
    <w:p w:rsidR="000938C1" w:rsidRPr="00734AEA" w:rsidRDefault="000938C1" w:rsidP="00104728">
      <w:pPr>
        <w:numPr>
          <w:ilvl w:val="0"/>
          <w:numId w:val="56"/>
        </w:numPr>
        <w:tabs>
          <w:tab w:val="num" w:pos="1499"/>
          <w:tab w:val="num" w:pos="2148"/>
        </w:tabs>
        <w:jc w:val="both"/>
        <w:rPr>
          <w:bCs/>
        </w:rPr>
      </w:pPr>
      <w:r w:rsidRPr="00734AEA">
        <w:rPr>
          <w:bCs/>
        </w:rPr>
        <w:t>Увеличението на осигурителната вноска за фонд „Пенсии” с 20 процентни пункта само за  работещите в специалните ведомства, които се пенсионират при условията на чл. 69 от КСО;</w:t>
      </w:r>
    </w:p>
    <w:p w:rsidR="000938C1" w:rsidRPr="00364226" w:rsidRDefault="000938C1" w:rsidP="00104728">
      <w:pPr>
        <w:numPr>
          <w:ilvl w:val="0"/>
          <w:numId w:val="56"/>
        </w:numPr>
        <w:tabs>
          <w:tab w:val="num" w:pos="1499"/>
          <w:tab w:val="num" w:pos="2148"/>
        </w:tabs>
        <w:jc w:val="both"/>
      </w:pPr>
      <w:r w:rsidRPr="002B727E">
        <w:rPr>
          <w:bCs/>
        </w:rPr>
        <w:t>Промяна в сроковете,</w:t>
      </w:r>
      <w:r>
        <w:rPr>
          <w:bCs/>
        </w:rPr>
        <w:t xml:space="preserve"> </w:t>
      </w:r>
      <w:r w:rsidRPr="002B727E">
        <w:rPr>
          <w:bCs/>
        </w:rPr>
        <w:t>касаещи внасянето на осигурителни</w:t>
      </w:r>
      <w:r>
        <w:rPr>
          <w:bCs/>
        </w:rPr>
        <w:t>те</w:t>
      </w:r>
      <w:r w:rsidRPr="002B727E">
        <w:rPr>
          <w:bCs/>
        </w:rPr>
        <w:t xml:space="preserve"> вноски.</w:t>
      </w:r>
      <w:r>
        <w:rPr>
          <w:bCs/>
        </w:rPr>
        <w:t xml:space="preserve"> </w:t>
      </w:r>
      <w:r w:rsidRPr="002B727E">
        <w:rPr>
          <w:bCs/>
        </w:rPr>
        <w:t>Сроковете</w:t>
      </w:r>
      <w:r>
        <w:rPr>
          <w:bCs/>
        </w:rPr>
        <w:t xml:space="preserve"> с</w:t>
      </w:r>
      <w:r w:rsidRPr="002B727E">
        <w:rPr>
          <w:bCs/>
        </w:rPr>
        <w:t>а</w:t>
      </w:r>
      <w:r>
        <w:rPr>
          <w:bCs/>
        </w:rPr>
        <w:t xml:space="preserve"> </w:t>
      </w:r>
      <w:r w:rsidRPr="002B727E">
        <w:rPr>
          <w:bCs/>
        </w:rPr>
        <w:t>определени императивно и с точно определени дати.</w:t>
      </w:r>
      <w:r>
        <w:rPr>
          <w:bCs/>
        </w:rPr>
        <w:t xml:space="preserve"> </w:t>
      </w:r>
      <w:r w:rsidRPr="002B727E">
        <w:rPr>
          <w:bCs/>
        </w:rPr>
        <w:t>За трудови и приравнени на тях отношения – до 25</w:t>
      </w:r>
      <w:r>
        <w:rPr>
          <w:bCs/>
        </w:rPr>
        <w:t>-то</w:t>
      </w:r>
      <w:r w:rsidRPr="002B727E">
        <w:rPr>
          <w:bCs/>
        </w:rPr>
        <w:t xml:space="preserve"> число на месеца,</w:t>
      </w:r>
      <w:r>
        <w:rPr>
          <w:bCs/>
        </w:rPr>
        <w:t xml:space="preserve"> </w:t>
      </w:r>
      <w:r w:rsidRPr="002B727E">
        <w:rPr>
          <w:bCs/>
        </w:rPr>
        <w:t>следващ месеца през който е положен труда,</w:t>
      </w:r>
      <w:r>
        <w:rPr>
          <w:bCs/>
        </w:rPr>
        <w:t xml:space="preserve"> </w:t>
      </w:r>
      <w:r w:rsidRPr="002B727E">
        <w:rPr>
          <w:bCs/>
        </w:rPr>
        <w:t xml:space="preserve">за </w:t>
      </w:r>
      <w:r>
        <w:rPr>
          <w:bCs/>
        </w:rPr>
        <w:t>самоосигуряващите се лица</w:t>
      </w:r>
      <w:r w:rsidRPr="002B727E">
        <w:rPr>
          <w:bCs/>
        </w:rPr>
        <w:t xml:space="preserve"> – до 25</w:t>
      </w:r>
      <w:r>
        <w:rPr>
          <w:bCs/>
        </w:rPr>
        <w:t>-то</w:t>
      </w:r>
      <w:r w:rsidRPr="002B727E">
        <w:rPr>
          <w:bCs/>
        </w:rPr>
        <w:t xml:space="preserve"> число на месеца</w:t>
      </w:r>
      <w:r>
        <w:rPr>
          <w:bCs/>
        </w:rPr>
        <w:t xml:space="preserve"> </w:t>
      </w:r>
      <w:r w:rsidRPr="002B727E">
        <w:rPr>
          <w:bCs/>
        </w:rPr>
        <w:t>следващ месеца</w:t>
      </w:r>
      <w:r>
        <w:rPr>
          <w:bCs/>
        </w:rPr>
        <w:t>,</w:t>
      </w:r>
      <w:r w:rsidRPr="002B727E">
        <w:rPr>
          <w:bCs/>
        </w:rPr>
        <w:t xml:space="preserve"> за който се отнасят,</w:t>
      </w:r>
      <w:r>
        <w:rPr>
          <w:bCs/>
        </w:rPr>
        <w:t xml:space="preserve"> з</w:t>
      </w:r>
      <w:r w:rsidRPr="002B727E">
        <w:rPr>
          <w:bCs/>
        </w:rPr>
        <w:t>а извънтрудови правоотношения – до 25</w:t>
      </w:r>
      <w:r>
        <w:rPr>
          <w:bCs/>
        </w:rPr>
        <w:t>-то</w:t>
      </w:r>
      <w:r w:rsidRPr="002B727E">
        <w:rPr>
          <w:bCs/>
        </w:rPr>
        <w:t xml:space="preserve"> число на месеца,</w:t>
      </w:r>
      <w:r>
        <w:rPr>
          <w:bCs/>
        </w:rPr>
        <w:t xml:space="preserve"> </w:t>
      </w:r>
      <w:r w:rsidRPr="002B727E">
        <w:rPr>
          <w:bCs/>
        </w:rPr>
        <w:t>следващ месеца</w:t>
      </w:r>
      <w:r>
        <w:rPr>
          <w:bCs/>
        </w:rPr>
        <w:t>,</w:t>
      </w:r>
      <w:r w:rsidRPr="002B727E">
        <w:rPr>
          <w:bCs/>
        </w:rPr>
        <w:t xml:space="preserve"> в който са изплатени възнагражденията.</w:t>
      </w:r>
      <w:r>
        <w:rPr>
          <w:bCs/>
        </w:rPr>
        <w:t xml:space="preserve"> </w:t>
      </w:r>
      <w:r w:rsidRPr="002B727E">
        <w:rPr>
          <w:bCs/>
        </w:rPr>
        <w:t xml:space="preserve">При така определените срокове </w:t>
      </w:r>
      <w:r>
        <w:rPr>
          <w:bCs/>
        </w:rPr>
        <w:t xml:space="preserve">има </w:t>
      </w:r>
      <w:r w:rsidRPr="002B727E">
        <w:rPr>
          <w:bCs/>
        </w:rPr>
        <w:t xml:space="preserve">изместване на приходите с </w:t>
      </w:r>
      <w:r>
        <w:rPr>
          <w:bCs/>
        </w:rPr>
        <w:t xml:space="preserve">до </w:t>
      </w:r>
      <w:r w:rsidRPr="002B727E">
        <w:rPr>
          <w:bCs/>
        </w:rPr>
        <w:t>един месец,</w:t>
      </w:r>
      <w:r>
        <w:rPr>
          <w:bCs/>
        </w:rPr>
        <w:t xml:space="preserve"> </w:t>
      </w:r>
      <w:r w:rsidRPr="002B727E">
        <w:rPr>
          <w:bCs/>
        </w:rPr>
        <w:t>т.е. приходите от осигуровки за м.</w:t>
      </w:r>
      <w:r>
        <w:rPr>
          <w:bCs/>
        </w:rPr>
        <w:t xml:space="preserve"> </w:t>
      </w:r>
      <w:r w:rsidRPr="002B727E">
        <w:rPr>
          <w:bCs/>
        </w:rPr>
        <w:t xml:space="preserve">декември 2013 г. </w:t>
      </w:r>
      <w:r>
        <w:rPr>
          <w:bCs/>
        </w:rPr>
        <w:t>са</w:t>
      </w:r>
      <w:r w:rsidRPr="002B727E">
        <w:rPr>
          <w:bCs/>
        </w:rPr>
        <w:t xml:space="preserve"> изискуеми </w:t>
      </w:r>
      <w:r>
        <w:rPr>
          <w:bCs/>
        </w:rPr>
        <w:t xml:space="preserve">през </w:t>
      </w:r>
      <w:r w:rsidRPr="002B727E">
        <w:rPr>
          <w:bCs/>
        </w:rPr>
        <w:t>м.</w:t>
      </w:r>
      <w:r>
        <w:rPr>
          <w:bCs/>
        </w:rPr>
        <w:t xml:space="preserve"> </w:t>
      </w:r>
      <w:r w:rsidRPr="002B727E">
        <w:rPr>
          <w:bCs/>
        </w:rPr>
        <w:t>януари 2014 г</w:t>
      </w:r>
      <w:r>
        <w:rPr>
          <w:bCs/>
        </w:rPr>
        <w:t>одина</w:t>
      </w:r>
      <w:r w:rsidRPr="002B727E">
        <w:rPr>
          <w:bCs/>
        </w:rPr>
        <w:t>.</w:t>
      </w:r>
    </w:p>
    <w:p w:rsidR="000938C1" w:rsidRDefault="000938C1" w:rsidP="00104728">
      <w:pPr>
        <w:numPr>
          <w:ilvl w:val="0"/>
          <w:numId w:val="56"/>
        </w:numPr>
        <w:tabs>
          <w:tab w:val="num" w:pos="1499"/>
          <w:tab w:val="num" w:pos="2148"/>
        </w:tabs>
        <w:jc w:val="both"/>
      </w:pPr>
      <w:r w:rsidRPr="00364226">
        <w:rPr>
          <w:bCs/>
        </w:rPr>
        <w:t>Размерът  на лихвата  за  забава  върху  невнесени  в  срок осигурителни вноски е   изравнена с лихвата за забава върху данъчните задължения и е в размер на 10 пункта над основния лихвен процент</w:t>
      </w:r>
      <w:r>
        <w:rPr>
          <w:bCs/>
        </w:rPr>
        <w:t>.</w:t>
      </w:r>
    </w:p>
    <w:p w:rsidR="000938C1" w:rsidRDefault="000938C1" w:rsidP="00104728">
      <w:pPr>
        <w:tabs>
          <w:tab w:val="num" w:pos="1499"/>
          <w:tab w:val="num" w:pos="2148"/>
        </w:tabs>
        <w:jc w:val="both"/>
      </w:pPr>
    </w:p>
    <w:p w:rsidR="000938C1" w:rsidRPr="00104728" w:rsidRDefault="000938C1" w:rsidP="00104728">
      <w:pPr>
        <w:tabs>
          <w:tab w:val="left" w:pos="9540"/>
        </w:tabs>
        <w:spacing w:after="120"/>
        <w:ind w:right="-108" w:firstLine="540"/>
        <w:jc w:val="both"/>
        <w:rPr>
          <w:bCs/>
          <w:color w:val="000000"/>
        </w:rPr>
      </w:pPr>
      <w:r w:rsidRPr="00104728">
        <w:rPr>
          <w:bCs/>
          <w:color w:val="000000"/>
        </w:rPr>
        <w:t xml:space="preserve">По данни от регистъра на осигурените лица, средният осигурителен доход за месец декември 2013 г. е 694,83 лв., а средномесечният осигурителен доход за 2013 г. е 648,73 лв. Номиналното нарастване на средномесечния осигурителен доход за 2013 г. спрямо 2012 г. е 5,0 %, а реалното нарастване е 4,6 % при хармонизираната средногодишна инфлация 0,4 % за 2013 г. При ограничена политика по доходите в условие на финансова и икономическа криза, отчетеният ръст на осигурителния доход се дължи основно на увеличението на минималните осигурителни прагове по икономически дейности и квалификационни групи професии средно с 3,3 % в сравнение с 2012 г., на увеличението на максималния осигурителен доход от 2000 лв. на 2 200 лв.и на увеличението на минималната работна заплата. Процесите на съкращения, оптимизация и преструктуриране на заетостта във фирмите също оказват известно влияние върху ръста на средния осигурителен доход за 2013 г., респ. ръста на приходите от осигурителни вноски по бюджета на държавното обществено осигуряване. </w:t>
      </w:r>
    </w:p>
    <w:p w:rsidR="000938C1" w:rsidRPr="00104728" w:rsidRDefault="000938C1" w:rsidP="00104728">
      <w:pPr>
        <w:tabs>
          <w:tab w:val="left" w:pos="9540"/>
        </w:tabs>
        <w:spacing w:after="120"/>
        <w:ind w:right="-108" w:firstLine="540"/>
        <w:jc w:val="both"/>
        <w:rPr>
          <w:color w:val="000000"/>
        </w:rPr>
      </w:pPr>
      <w:r w:rsidRPr="00104728">
        <w:rPr>
          <w:color w:val="000000"/>
        </w:rPr>
        <w:t xml:space="preserve">Отчетените неданъчни приходи за 2013 г. възлизат на 52,9 млн. лв., при планирани 24,0 млн. лв., като преобладават приходите от глоби, санкции и наказателни лихви – 47,0 млн. лева. </w:t>
      </w:r>
    </w:p>
    <w:p w:rsidR="000938C1" w:rsidRPr="00104728" w:rsidRDefault="000938C1" w:rsidP="00104728">
      <w:pPr>
        <w:tabs>
          <w:tab w:val="num" w:pos="1080"/>
        </w:tabs>
        <w:jc w:val="both"/>
        <w:rPr>
          <w:bCs/>
          <w:color w:val="000000"/>
          <w:sz w:val="4"/>
          <w:szCs w:val="4"/>
        </w:rPr>
      </w:pPr>
    </w:p>
    <w:p w:rsidR="000938C1" w:rsidRPr="00C86F99" w:rsidRDefault="000938C1" w:rsidP="00104728">
      <w:pPr>
        <w:spacing w:after="120"/>
        <w:jc w:val="both"/>
        <w:rPr>
          <w:bCs/>
        </w:rPr>
      </w:pPr>
      <w:r w:rsidRPr="00104728">
        <w:rPr>
          <w:b/>
          <w:bCs/>
          <w:color w:val="000000"/>
        </w:rPr>
        <w:t xml:space="preserve">Размерът на извършените разходи </w:t>
      </w:r>
      <w:r w:rsidRPr="00104728">
        <w:rPr>
          <w:bCs/>
          <w:color w:val="000000"/>
        </w:rPr>
        <w:t>по бюджета на ДОО за 2013 г. е 8 972,2 млн. лв., което представлява 99,2 % от предвидените  в ЗБДОО за 2013 г. средства. От структурна гледна точка с най-голям относителен дял в общите разходи са разходите за пенсии и разходите за обезщетенията и помощите</w:t>
      </w:r>
      <w:r>
        <w:rPr>
          <w:bCs/>
          <w:color w:val="000000"/>
        </w:rPr>
        <w:t>,</w:t>
      </w:r>
      <w:r w:rsidRPr="00104728">
        <w:rPr>
          <w:bCs/>
          <w:color w:val="000000"/>
        </w:rPr>
        <w:t xml:space="preserve"> изплащани на основание Кодекса за социално осигуряване – общо </w:t>
      </w:r>
      <w:r w:rsidRPr="002255D3">
        <w:rPr>
          <w:bCs/>
          <w:color w:val="000000"/>
          <w:lang w:val="ru-RU"/>
        </w:rPr>
        <w:t>8</w:t>
      </w:r>
      <w:r w:rsidRPr="00104728">
        <w:rPr>
          <w:bCs/>
          <w:color w:val="000000"/>
          <w:lang w:val="en-US"/>
        </w:rPr>
        <w:t> </w:t>
      </w:r>
      <w:r w:rsidRPr="002255D3">
        <w:rPr>
          <w:bCs/>
          <w:color w:val="000000"/>
          <w:lang w:val="ru-RU"/>
        </w:rPr>
        <w:t>865</w:t>
      </w:r>
      <w:r w:rsidRPr="00104728">
        <w:rPr>
          <w:bCs/>
          <w:color w:val="000000"/>
        </w:rPr>
        <w:t>,0 млн. лв. или 98</w:t>
      </w:r>
      <w:r>
        <w:rPr>
          <w:bCs/>
          <w:color w:val="000000"/>
        </w:rPr>
        <w:t>,</w:t>
      </w:r>
      <w:r w:rsidRPr="00104728">
        <w:rPr>
          <w:bCs/>
          <w:color w:val="000000"/>
        </w:rPr>
        <w:t xml:space="preserve">8 % от общия размер на разходите за годината. Спрямо </w:t>
      </w:r>
      <w:r w:rsidRPr="00104728">
        <w:rPr>
          <w:bCs/>
          <w:color w:val="000000"/>
          <w:lang w:val="ru-RU"/>
        </w:rPr>
        <w:t xml:space="preserve">2012 </w:t>
      </w:r>
      <w:r w:rsidRPr="00104728">
        <w:rPr>
          <w:bCs/>
          <w:color w:val="000000"/>
        </w:rPr>
        <w:t xml:space="preserve">г. разходите по бюджета на ДОО са с 610,0 млн. лв. (7,3 %) повече. </w:t>
      </w:r>
      <w:r w:rsidRPr="00C86F99">
        <w:rPr>
          <w:bCs/>
        </w:rPr>
        <w:t xml:space="preserve">Отчетените разходи за </w:t>
      </w:r>
      <w:r w:rsidRPr="00C86F99">
        <w:rPr>
          <w:b/>
          <w:bCs/>
        </w:rPr>
        <w:t>пенсии</w:t>
      </w:r>
      <w:r w:rsidRPr="00C86F99">
        <w:rPr>
          <w:bCs/>
        </w:rPr>
        <w:t xml:space="preserve"> по бюджета на ДОО възлизат на 7</w:t>
      </w:r>
      <w:r>
        <w:rPr>
          <w:bCs/>
        </w:rPr>
        <w:t> </w:t>
      </w:r>
      <w:r w:rsidRPr="00C86F99">
        <w:rPr>
          <w:bCs/>
        </w:rPr>
        <w:t>746</w:t>
      </w:r>
      <w:r>
        <w:rPr>
          <w:bCs/>
        </w:rPr>
        <w:t>,</w:t>
      </w:r>
      <w:r w:rsidRPr="00C86F99">
        <w:rPr>
          <w:bCs/>
        </w:rPr>
        <w:t>1 млн. лв., 98</w:t>
      </w:r>
      <w:r>
        <w:rPr>
          <w:bCs/>
        </w:rPr>
        <w:t>,</w:t>
      </w:r>
      <w:r w:rsidRPr="00C86F99">
        <w:rPr>
          <w:bCs/>
        </w:rPr>
        <w:t>6 % изпълнение на плана за годината (икономия от 106</w:t>
      </w:r>
      <w:r>
        <w:rPr>
          <w:bCs/>
        </w:rPr>
        <w:t>,</w:t>
      </w:r>
      <w:r w:rsidRPr="00C86F99">
        <w:rPr>
          <w:bCs/>
        </w:rPr>
        <w:t>5 млн. лв. ) и са с 528</w:t>
      </w:r>
      <w:r>
        <w:rPr>
          <w:bCs/>
        </w:rPr>
        <w:t>,</w:t>
      </w:r>
      <w:r w:rsidRPr="00C86F99">
        <w:rPr>
          <w:bCs/>
        </w:rPr>
        <w:t xml:space="preserve">8 млн. лв. повече спрямо 2012 година. </w:t>
      </w:r>
    </w:p>
    <w:p w:rsidR="000938C1" w:rsidRPr="00C86F99" w:rsidRDefault="000938C1" w:rsidP="00104728">
      <w:pPr>
        <w:spacing w:after="120"/>
        <w:jc w:val="both"/>
        <w:rPr>
          <w:bCs/>
        </w:rPr>
      </w:pPr>
      <w:r w:rsidRPr="00C86F99">
        <w:rPr>
          <w:bCs/>
        </w:rPr>
        <w:t>От 1 април 2013 г. се реализира предвиденото в бюджета на държавното обществено осигуряване за 2013 г. увеличение на всички пенсии. Индексацията на пенсиите е с процент, равен на натрупаната инфлация за периода от второто полугодие на 2009 г. до края на 2012 г., както следва:</w:t>
      </w:r>
    </w:p>
    <w:p w:rsidR="000938C1" w:rsidRPr="00C86F99" w:rsidRDefault="000938C1" w:rsidP="00104728">
      <w:pPr>
        <w:numPr>
          <w:ilvl w:val="1"/>
          <w:numId w:val="56"/>
        </w:numPr>
        <w:tabs>
          <w:tab w:val="clear" w:pos="1440"/>
          <w:tab w:val="num" w:pos="720"/>
        </w:tabs>
        <w:spacing w:before="120" w:after="120"/>
        <w:ind w:left="1434" w:hanging="1077"/>
        <w:jc w:val="both"/>
        <w:rPr>
          <w:bCs/>
        </w:rPr>
      </w:pPr>
      <w:r w:rsidRPr="00C86F99">
        <w:rPr>
          <w:bCs/>
        </w:rPr>
        <w:t>отпуснатите (2 290 032 пенсии, 85</w:t>
      </w:r>
      <w:r>
        <w:rPr>
          <w:bCs/>
        </w:rPr>
        <w:t xml:space="preserve"> </w:t>
      </w:r>
      <w:r w:rsidRPr="00C86F99">
        <w:rPr>
          <w:bCs/>
        </w:rPr>
        <w:t>%) с начална дата до 31.12.2009 г. – с 9</w:t>
      </w:r>
      <w:r>
        <w:rPr>
          <w:bCs/>
        </w:rPr>
        <w:t>,</w:t>
      </w:r>
      <w:r w:rsidRPr="00C86F99">
        <w:rPr>
          <w:bCs/>
        </w:rPr>
        <w:t>8 %;</w:t>
      </w:r>
    </w:p>
    <w:p w:rsidR="000938C1" w:rsidRPr="00C86F99" w:rsidRDefault="000938C1" w:rsidP="00104728">
      <w:pPr>
        <w:numPr>
          <w:ilvl w:val="1"/>
          <w:numId w:val="56"/>
        </w:numPr>
        <w:tabs>
          <w:tab w:val="clear" w:pos="1440"/>
          <w:tab w:val="num" w:pos="720"/>
        </w:tabs>
        <w:spacing w:before="120" w:after="120"/>
        <w:ind w:left="1434" w:hanging="1077"/>
        <w:jc w:val="both"/>
        <w:rPr>
          <w:bCs/>
        </w:rPr>
      </w:pPr>
      <w:r w:rsidRPr="00C86F99">
        <w:rPr>
          <w:bCs/>
        </w:rPr>
        <w:t>отпуснатите (160 679 пенсии, 6</w:t>
      </w:r>
      <w:r>
        <w:rPr>
          <w:bCs/>
        </w:rPr>
        <w:t xml:space="preserve"> </w:t>
      </w:r>
      <w:r w:rsidRPr="00C86F99">
        <w:rPr>
          <w:bCs/>
        </w:rPr>
        <w:t>%) с начална дата от 1.01.  до 31.12.2010 г. – с 8</w:t>
      </w:r>
      <w:r>
        <w:rPr>
          <w:bCs/>
        </w:rPr>
        <w:t>,</w:t>
      </w:r>
      <w:r w:rsidRPr="00C86F99">
        <w:rPr>
          <w:bCs/>
        </w:rPr>
        <w:t>8 %;</w:t>
      </w:r>
    </w:p>
    <w:p w:rsidR="000938C1" w:rsidRPr="00C86F99" w:rsidRDefault="000938C1" w:rsidP="00104728">
      <w:pPr>
        <w:numPr>
          <w:ilvl w:val="1"/>
          <w:numId w:val="56"/>
        </w:numPr>
        <w:tabs>
          <w:tab w:val="clear" w:pos="1440"/>
          <w:tab w:val="num" w:pos="720"/>
        </w:tabs>
        <w:spacing w:before="120" w:after="120"/>
        <w:ind w:left="1434" w:hanging="1077"/>
        <w:jc w:val="both"/>
        <w:rPr>
          <w:bCs/>
        </w:rPr>
      </w:pPr>
      <w:r w:rsidRPr="00C86F99">
        <w:rPr>
          <w:bCs/>
        </w:rPr>
        <w:t>отпуснатите (146 671 пенсии, 5</w:t>
      </w:r>
      <w:r>
        <w:rPr>
          <w:bCs/>
        </w:rPr>
        <w:t xml:space="preserve"> </w:t>
      </w:r>
      <w:r w:rsidRPr="00C86F99">
        <w:rPr>
          <w:bCs/>
        </w:rPr>
        <w:t>%) с начална дата от 1.01 до 31.12.2011 г. –  с 5</w:t>
      </w:r>
      <w:r>
        <w:rPr>
          <w:bCs/>
        </w:rPr>
        <w:t>,</w:t>
      </w:r>
      <w:r w:rsidRPr="00C86F99">
        <w:rPr>
          <w:bCs/>
        </w:rPr>
        <w:t>7 %;</w:t>
      </w:r>
    </w:p>
    <w:p w:rsidR="000938C1" w:rsidRPr="00C86F99" w:rsidRDefault="000938C1" w:rsidP="00104728">
      <w:pPr>
        <w:numPr>
          <w:ilvl w:val="1"/>
          <w:numId w:val="56"/>
        </w:numPr>
        <w:tabs>
          <w:tab w:val="clear" w:pos="1440"/>
          <w:tab w:val="num" w:pos="720"/>
        </w:tabs>
        <w:spacing w:before="120" w:after="120"/>
        <w:ind w:left="1434" w:hanging="1077"/>
        <w:jc w:val="both"/>
        <w:rPr>
          <w:bCs/>
        </w:rPr>
      </w:pPr>
      <w:r w:rsidRPr="00C86F99">
        <w:rPr>
          <w:bCs/>
        </w:rPr>
        <w:t>отпуснатите (94 942 пенсии, 4</w:t>
      </w:r>
      <w:r>
        <w:rPr>
          <w:bCs/>
        </w:rPr>
        <w:t xml:space="preserve"> </w:t>
      </w:r>
      <w:r w:rsidRPr="00C86F99">
        <w:rPr>
          <w:bCs/>
        </w:rPr>
        <w:t>%) с начална дата от 1.01. до 31.12.2012 г. – с 2</w:t>
      </w:r>
      <w:r>
        <w:rPr>
          <w:bCs/>
        </w:rPr>
        <w:t>,</w:t>
      </w:r>
      <w:r w:rsidRPr="00C86F99">
        <w:rPr>
          <w:bCs/>
        </w:rPr>
        <w:t>2 %.</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Минималната пенсия за осигурителен стаж и възраст беше увеличена от 145.00 лв. на 150</w:t>
      </w:r>
      <w:r>
        <w:t>,</w:t>
      </w:r>
      <w:r w:rsidRPr="00C86F99">
        <w:t>00 лв. месечно от 1 април 2013 г</w:t>
      </w:r>
      <w:r>
        <w:t>одина</w:t>
      </w:r>
      <w:r w:rsidRPr="00C86F99">
        <w:t xml:space="preserve">. </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Максималният размер на получаваните една или повече пенсии се увеличи от 700</w:t>
      </w:r>
      <w:r>
        <w:t>,</w:t>
      </w:r>
      <w:r w:rsidRPr="00C86F99">
        <w:t>00</w:t>
      </w:r>
      <w:r>
        <w:t xml:space="preserve"> лв. на </w:t>
      </w:r>
      <w:r w:rsidRPr="00C86F99">
        <w:t>770</w:t>
      </w:r>
      <w:r>
        <w:t>,</w:t>
      </w:r>
      <w:r w:rsidRPr="00C86F99">
        <w:t>00 лв. от 1 април.</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Увеличение на социалната пенсия за старост от 100</w:t>
      </w:r>
      <w:r>
        <w:t>,</w:t>
      </w:r>
      <w:r w:rsidRPr="00C86F99">
        <w:t>86 лв. на 110</w:t>
      </w:r>
      <w:r>
        <w:t>,</w:t>
      </w:r>
      <w:r w:rsidRPr="00C86F99">
        <w:t xml:space="preserve">00 лв. от 1 април. </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Средният процент на увеличение на пенсиите, отпуснати към 31 декември 2012 г. след индексацията от 01.04.2013 г. е 9</w:t>
      </w:r>
      <w:r>
        <w:t>,</w:t>
      </w:r>
      <w:r w:rsidRPr="00C86F99">
        <w:t>3 процента.</w:t>
      </w:r>
    </w:p>
    <w:p w:rsidR="000938C1" w:rsidRPr="00C86F99" w:rsidRDefault="000938C1" w:rsidP="00104728">
      <w:pPr>
        <w:tabs>
          <w:tab w:val="num" w:pos="1499"/>
          <w:tab w:val="num" w:pos="2148"/>
        </w:tabs>
        <w:spacing w:after="120"/>
        <w:jc w:val="both"/>
      </w:pPr>
      <w:r w:rsidRPr="00C86F99">
        <w:t>През месец декември 2013 г. бяха преведени 53</w:t>
      </w:r>
      <w:r>
        <w:t>,</w:t>
      </w:r>
      <w:r w:rsidRPr="00C86F99">
        <w:t>5 млн. лв. на НОИ на основание ПМС № 260 / 18.11.2013 г. за одобряване на допълнителни средства за еднократно изплащане на допълнителна сума в размер на 50 лв. на пенсионери, на които пенсията или сборът от пенсиите заедно с добавките и компенсациите към тях за декември 2013 г. е в размер до 251</w:t>
      </w:r>
      <w:r>
        <w:t>,</w:t>
      </w:r>
      <w:r w:rsidRPr="00C86F99">
        <w:t xml:space="preserve">00 лв. включително. Средствата са за сметка на икономии на разходите и трансферите по централния бюджет за 2013 г. </w:t>
      </w:r>
    </w:p>
    <w:p w:rsidR="000938C1" w:rsidRPr="00C86F99" w:rsidRDefault="000938C1" w:rsidP="00104728">
      <w:pPr>
        <w:spacing w:after="120"/>
        <w:jc w:val="both"/>
      </w:pPr>
      <w:r w:rsidRPr="00C86F99">
        <w:t>Резултатите от ускоряването на пенсионната реформа се изразяват в по-малкия брой новоотпуснати пенсии спрямо 2012 година.</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Средномесечен брой пенсионери за 2013 г. – 2 195 904 – с 21 738 пенсионери по-малко (1.0 на сто намаление) в сравнение с 2012 г.;</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Средномесечен брой пенсии за 2013 г. – 2 677 598 – с 19 308 пенсии по-малко (0</w:t>
      </w:r>
      <w:r>
        <w:t>,</w:t>
      </w:r>
      <w:r w:rsidRPr="00C86F99">
        <w:t>7 на сто намаление) спрямо 2012 г</w:t>
      </w:r>
      <w:r>
        <w:t>одина</w:t>
      </w:r>
      <w:r w:rsidRPr="00C86F99">
        <w:t>;</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През 2013 г. броят на пенсиониралите се лица е 81 301, с 8 578 (9</w:t>
      </w:r>
      <w:r>
        <w:t>,</w:t>
      </w:r>
      <w:r w:rsidRPr="00C86F99">
        <w:t>5 %) по-нисък спрямо същия период на 2012 г. Лични пенсии са получили 71 531 пенсионери, (с 4 679 – 6</w:t>
      </w:r>
      <w:r>
        <w:t>,</w:t>
      </w:r>
      <w:r w:rsidRPr="00C86F99">
        <w:t>1</w:t>
      </w:r>
      <w:r>
        <w:t> </w:t>
      </w:r>
      <w:r w:rsidRPr="00C86F99">
        <w:t>% по-малко спрямо същия период на 2012 г.), а наследствени – 9 770, (с 3 899 – 28</w:t>
      </w:r>
      <w:r>
        <w:t>,</w:t>
      </w:r>
      <w:r w:rsidRPr="00C86F99">
        <w:t>5 % по-малко спрямо същия период на 2012 г.);</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Лични пенсии за осигурителен стаж и възраст по чл.</w:t>
      </w:r>
      <w:r>
        <w:t xml:space="preserve"> </w:t>
      </w:r>
      <w:r w:rsidRPr="00C86F99">
        <w:t>68 от КСО са отпуснати на 37 802 лица или на 52</w:t>
      </w:r>
      <w:r>
        <w:t>,</w:t>
      </w:r>
      <w:r w:rsidRPr="00C86F99">
        <w:t>8 % от всички пенсионирали се с лични пенсии. Спрямо същия период на 2012 г. има намаление на този брой с 4 339 (10</w:t>
      </w:r>
      <w:r>
        <w:t>,</w:t>
      </w:r>
      <w:r w:rsidRPr="00C86F99">
        <w:t>3 %);</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Пенсиите, отпуснати при условията на чл.</w:t>
      </w:r>
      <w:r>
        <w:t xml:space="preserve"> </w:t>
      </w:r>
      <w:r w:rsidRPr="00C86F99">
        <w:t>69 от КСО са 1 472 (2</w:t>
      </w:r>
      <w:r>
        <w:t>,</w:t>
      </w:r>
      <w:r w:rsidRPr="00C86F99">
        <w:t>1 % от всички новоотпуснати лични първи пенсии), което е с 1 357 (48</w:t>
      </w:r>
      <w:r>
        <w:t>,</w:t>
      </w:r>
      <w:r w:rsidRPr="00C86F99">
        <w:t>0 %) по-малко в сравнение с отпуснатите през 2012 г.;</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През 2013 г. 28 217 лица, със 765 (2</w:t>
      </w:r>
      <w:r>
        <w:t>,</w:t>
      </w:r>
      <w:r w:rsidRPr="00C86F99">
        <w:t>8 %) повече в сравнение с тези през 2012 г., са получили лични пенсии за инвалидност поради общо заболяване, като техният относителен дял в съвкупността от всички новоотпуснати лични първи пенсии е 39</w:t>
      </w:r>
      <w:r>
        <w:t>,</w:t>
      </w:r>
      <w:r w:rsidRPr="00C86F99">
        <w:t>4 % (през 2012 г. техният дял е 36</w:t>
      </w:r>
      <w:r>
        <w:t>,</w:t>
      </w:r>
      <w:r w:rsidRPr="00C86F99">
        <w:t>0 %);</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Средният месечен размер на пенсията на един пенсионер за 2013 г. е 293</w:t>
      </w:r>
      <w:r>
        <w:t>,</w:t>
      </w:r>
      <w:r w:rsidRPr="00C86F99">
        <w:t>96 лв. (вкл. коледна добавка за 2013 г.), като реалното нарастване спрямо 2012 г. е 8</w:t>
      </w:r>
      <w:r>
        <w:t>,</w:t>
      </w:r>
      <w:r w:rsidRPr="00C86F99">
        <w:t>0 на сто, при средногодишна хармонизирана инфлация 0</w:t>
      </w:r>
      <w:r>
        <w:t>,</w:t>
      </w:r>
      <w:r w:rsidRPr="00C86F99">
        <w:t>4 на сто за 2013 г. Средният месечен размер на пенсията на един пенсионер за 2013 г. без коледната добавка за 2013 г. е 291</w:t>
      </w:r>
      <w:r>
        <w:t>,</w:t>
      </w:r>
      <w:r w:rsidRPr="00C86F99">
        <w:t>97 лв.;</w:t>
      </w:r>
    </w:p>
    <w:p w:rsidR="000938C1" w:rsidRPr="00C86F99" w:rsidRDefault="000938C1" w:rsidP="00104728">
      <w:pPr>
        <w:numPr>
          <w:ilvl w:val="0"/>
          <w:numId w:val="56"/>
        </w:numPr>
        <w:tabs>
          <w:tab w:val="clear" w:pos="898"/>
          <w:tab w:val="num" w:pos="1080"/>
          <w:tab w:val="num" w:pos="1499"/>
          <w:tab w:val="num" w:pos="2148"/>
        </w:tabs>
        <w:ind w:firstLine="357"/>
        <w:jc w:val="both"/>
      </w:pPr>
      <w:r w:rsidRPr="00C86F99">
        <w:t>Средната пенсия на пенсионер за осигурителен стаж и възраст за 2013 г. (без коледна добавка за 2013 г.), който служи за изчисляване на месечната добавка към пенсиите по чл. 9 от ЗПГРРЛ на основание чл. 496 от Наредбата за пенсии за осигурителен стаж и възраст е 318</w:t>
      </w:r>
      <w:r>
        <w:t>,</w:t>
      </w:r>
      <w:r w:rsidRPr="00C86F99">
        <w:t>09 лв.</w:t>
      </w:r>
    </w:p>
    <w:p w:rsidR="000938C1" w:rsidRPr="00C86F99" w:rsidRDefault="000938C1" w:rsidP="00104728">
      <w:pPr>
        <w:tabs>
          <w:tab w:val="num" w:pos="1499"/>
          <w:tab w:val="num" w:pos="2148"/>
        </w:tabs>
        <w:jc w:val="both"/>
        <w:rPr>
          <w:color w:val="3366FF"/>
          <w:sz w:val="4"/>
          <w:szCs w:val="4"/>
        </w:rPr>
      </w:pPr>
    </w:p>
    <w:p w:rsidR="000938C1" w:rsidRPr="00C86F99" w:rsidRDefault="000938C1" w:rsidP="00104728">
      <w:pPr>
        <w:tabs>
          <w:tab w:val="num" w:pos="1499"/>
          <w:tab w:val="num" w:pos="2148"/>
        </w:tabs>
        <w:jc w:val="both"/>
      </w:pPr>
      <w:r w:rsidRPr="00C86F99">
        <w:t xml:space="preserve">Отчетените разходи за </w:t>
      </w:r>
      <w:r w:rsidRPr="00C86F99">
        <w:rPr>
          <w:b/>
        </w:rPr>
        <w:t>социални помощи и обезщетения по КСО</w:t>
      </w:r>
      <w:r w:rsidRPr="00C86F99">
        <w:t xml:space="preserve"> за 2013 година са в размер на 1 118</w:t>
      </w:r>
      <w:r>
        <w:t>,</w:t>
      </w:r>
      <w:r w:rsidRPr="00C86F99">
        <w:t>9 млн. лв. От структурна гледна точка с най-голям  относителен дял са обезщетенията за бременност/раждане и отглеждане на дете до 2 годишна възраст (37</w:t>
      </w:r>
      <w:r>
        <w:t>,</w:t>
      </w:r>
      <w:r w:rsidRPr="00C86F99">
        <w:t>0 %); обезщетенията и помощите за безработица (31</w:t>
      </w:r>
      <w:r>
        <w:t>,</w:t>
      </w:r>
      <w:r w:rsidRPr="00C86F99">
        <w:t>4 %) и обезщетенията за временна неработоспособност поради общо заболяване (24</w:t>
      </w:r>
      <w:r>
        <w:t>,</w:t>
      </w:r>
      <w:r w:rsidRPr="00C86F99">
        <w:t>3 %). Спрямо 2012 г. изплатените обезщетения по КСО са със 78</w:t>
      </w:r>
      <w:r>
        <w:t>,</w:t>
      </w:r>
      <w:r w:rsidRPr="00C86F99">
        <w:t>6 млн. лв. (7</w:t>
      </w:r>
      <w:r>
        <w:t>,</w:t>
      </w:r>
      <w:r w:rsidRPr="00C86F99">
        <w:t xml:space="preserve">6 %) повече. </w:t>
      </w:r>
    </w:p>
    <w:p w:rsidR="000938C1" w:rsidRPr="00C86F99" w:rsidRDefault="000938C1" w:rsidP="00104728">
      <w:pPr>
        <w:tabs>
          <w:tab w:val="num" w:pos="1499"/>
          <w:tab w:val="num" w:pos="2148"/>
        </w:tabs>
        <w:jc w:val="both"/>
        <w:rPr>
          <w:color w:val="3366FF"/>
          <w:sz w:val="12"/>
          <w:szCs w:val="12"/>
        </w:rPr>
      </w:pPr>
    </w:p>
    <w:p w:rsidR="000938C1" w:rsidRPr="00C86F99" w:rsidRDefault="000938C1" w:rsidP="00104728">
      <w:pPr>
        <w:tabs>
          <w:tab w:val="num" w:pos="1499"/>
          <w:tab w:val="num" w:pos="2148"/>
        </w:tabs>
        <w:spacing w:after="120"/>
        <w:jc w:val="both"/>
        <w:rPr>
          <w:b/>
          <w:i/>
          <w:u w:val="single"/>
        </w:rPr>
      </w:pPr>
      <w:r w:rsidRPr="00C86F99">
        <w:rPr>
          <w:b/>
          <w:i/>
          <w:u w:val="single"/>
        </w:rPr>
        <w:t>Разходи за парични обезщетения за временна неработоспособност поради общо заболяване, гледане на болен член от семейството и карантина, и нетрудови злополуки:</w:t>
      </w:r>
    </w:p>
    <w:p w:rsidR="000938C1" w:rsidRPr="00C86F99" w:rsidRDefault="000938C1" w:rsidP="00104728">
      <w:pPr>
        <w:numPr>
          <w:ilvl w:val="0"/>
          <w:numId w:val="86"/>
        </w:numPr>
        <w:tabs>
          <w:tab w:val="clear" w:pos="2157"/>
          <w:tab w:val="num" w:pos="720"/>
          <w:tab w:val="num" w:pos="1499"/>
        </w:tabs>
        <w:ind w:left="720" w:hanging="720"/>
        <w:jc w:val="both"/>
      </w:pPr>
      <w:r w:rsidRPr="00C86F99">
        <w:t>Отчет към декември – 329</w:t>
      </w:r>
      <w:r>
        <w:t>,</w:t>
      </w:r>
      <w:r w:rsidRPr="00C86F99">
        <w:t>6 млн. лв., което е 113</w:t>
      </w:r>
      <w:r>
        <w:t>,</w:t>
      </w:r>
      <w:r w:rsidRPr="00C86F99">
        <w:t xml:space="preserve">5 на сто </w:t>
      </w:r>
      <w:r>
        <w:t>спрямо пл</w:t>
      </w:r>
      <w:r w:rsidRPr="00C86F99">
        <w:t>ана за годината</w:t>
      </w:r>
      <w:r>
        <w:t xml:space="preserve"> (39,2 млн. лв. превишение на</w:t>
      </w:r>
      <w:r w:rsidRPr="00C86F99">
        <w:t xml:space="preserve"> плана за 2013 г.);  </w:t>
      </w:r>
    </w:p>
    <w:p w:rsidR="000938C1" w:rsidRPr="00C86F99" w:rsidRDefault="000938C1" w:rsidP="00104728">
      <w:pPr>
        <w:numPr>
          <w:ilvl w:val="0"/>
          <w:numId w:val="86"/>
        </w:numPr>
        <w:tabs>
          <w:tab w:val="clear" w:pos="2157"/>
          <w:tab w:val="num" w:pos="720"/>
          <w:tab w:val="num" w:pos="1499"/>
        </w:tabs>
        <w:ind w:left="720" w:hanging="720"/>
        <w:jc w:val="both"/>
      </w:pPr>
      <w:r w:rsidRPr="00C86F99">
        <w:t>Разходите за изплатените обезщетения са с 48</w:t>
      </w:r>
      <w:r>
        <w:t>,</w:t>
      </w:r>
      <w:r w:rsidRPr="00C86F99">
        <w:t>0 млн. лв. (17</w:t>
      </w:r>
      <w:r>
        <w:t>,</w:t>
      </w:r>
      <w:r w:rsidRPr="00C86F99">
        <w:t>0</w:t>
      </w:r>
      <w:r>
        <w:t xml:space="preserve"> </w:t>
      </w:r>
      <w:r w:rsidRPr="00C86F99">
        <w:t>%) повече в сравнение с изплатените за 2012 година;</w:t>
      </w:r>
    </w:p>
    <w:p w:rsidR="000938C1" w:rsidRPr="00C86F99" w:rsidRDefault="000938C1" w:rsidP="00104728">
      <w:pPr>
        <w:numPr>
          <w:ilvl w:val="0"/>
          <w:numId w:val="86"/>
        </w:numPr>
        <w:tabs>
          <w:tab w:val="clear" w:pos="2157"/>
          <w:tab w:val="num" w:pos="720"/>
          <w:tab w:val="num" w:pos="1499"/>
        </w:tabs>
        <w:ind w:left="720" w:hanging="720"/>
        <w:jc w:val="both"/>
      </w:pPr>
      <w:r w:rsidRPr="00C86F99">
        <w:t>Брой изплатени обезщетения към края на 2013 г. – 2 380</w:t>
      </w:r>
      <w:r>
        <w:t>,</w:t>
      </w:r>
      <w:r w:rsidRPr="00C86F99">
        <w:t>2 хиляди, с 267</w:t>
      </w:r>
      <w:r>
        <w:t>,</w:t>
      </w:r>
      <w:r w:rsidRPr="00C86F99">
        <w:t>3  хиляди (12</w:t>
      </w:r>
      <w:r>
        <w:t>,</w:t>
      </w:r>
      <w:r w:rsidRPr="00C86F99">
        <w:t>7 на сто) повече в сравнение с 2012 г</w:t>
      </w:r>
      <w:r>
        <w:t>одина</w:t>
      </w:r>
      <w:r w:rsidRPr="00C86F99">
        <w:t>;</w:t>
      </w:r>
    </w:p>
    <w:p w:rsidR="000938C1" w:rsidRPr="00C86F99" w:rsidRDefault="000938C1" w:rsidP="0019198F">
      <w:pPr>
        <w:numPr>
          <w:ilvl w:val="0"/>
          <w:numId w:val="86"/>
        </w:numPr>
        <w:tabs>
          <w:tab w:val="clear" w:pos="2157"/>
          <w:tab w:val="num" w:pos="720"/>
          <w:tab w:val="num" w:pos="1499"/>
        </w:tabs>
        <w:spacing w:after="120"/>
        <w:ind w:left="720" w:hanging="720"/>
        <w:jc w:val="both"/>
      </w:pPr>
      <w:r w:rsidRPr="00C86F99">
        <w:t>Средното обезщетение е 138</w:t>
      </w:r>
      <w:r>
        <w:t>,</w:t>
      </w:r>
      <w:r w:rsidRPr="00C86F99">
        <w:t>47 лв., с 4</w:t>
      </w:r>
      <w:r>
        <w:t>,</w:t>
      </w:r>
      <w:r w:rsidRPr="00C86F99">
        <w:t xml:space="preserve">0 на сто по-високо спрямо 2012 година. </w:t>
      </w:r>
    </w:p>
    <w:p w:rsidR="000938C1" w:rsidRPr="00FB38C7" w:rsidRDefault="000938C1" w:rsidP="0019198F">
      <w:pPr>
        <w:tabs>
          <w:tab w:val="num" w:pos="1499"/>
          <w:tab w:val="num" w:pos="2148"/>
        </w:tabs>
        <w:spacing w:after="120"/>
        <w:jc w:val="both"/>
        <w:rPr>
          <w:b/>
          <w:i/>
          <w:color w:val="3366FF"/>
          <w:sz w:val="2"/>
          <w:szCs w:val="2"/>
          <w:u w:val="single"/>
        </w:rPr>
      </w:pPr>
    </w:p>
    <w:p w:rsidR="000938C1" w:rsidRPr="00C86F99" w:rsidRDefault="000938C1" w:rsidP="0019198F">
      <w:pPr>
        <w:tabs>
          <w:tab w:val="num" w:pos="1499"/>
          <w:tab w:val="num" w:pos="2148"/>
        </w:tabs>
        <w:spacing w:after="120"/>
        <w:jc w:val="both"/>
        <w:rPr>
          <w:b/>
          <w:i/>
          <w:u w:val="single"/>
        </w:rPr>
      </w:pPr>
      <w:r w:rsidRPr="00C86F99">
        <w:rPr>
          <w:b/>
          <w:i/>
          <w:u w:val="single"/>
        </w:rPr>
        <w:t>Разходи за майчинство :</w:t>
      </w:r>
    </w:p>
    <w:p w:rsidR="000938C1" w:rsidRPr="00FB38C7" w:rsidRDefault="000938C1" w:rsidP="00104728">
      <w:pPr>
        <w:tabs>
          <w:tab w:val="num" w:pos="1499"/>
          <w:tab w:val="num" w:pos="2148"/>
        </w:tabs>
        <w:jc w:val="both"/>
        <w:rPr>
          <w:b/>
          <w:i/>
          <w:sz w:val="2"/>
          <w:szCs w:val="2"/>
          <w:u w:val="single"/>
        </w:rPr>
      </w:pPr>
    </w:p>
    <w:p w:rsidR="000938C1" w:rsidRPr="00C86F99" w:rsidRDefault="000938C1" w:rsidP="00104728">
      <w:pPr>
        <w:tabs>
          <w:tab w:val="num" w:pos="1499"/>
          <w:tab w:val="num" w:pos="2148"/>
        </w:tabs>
        <w:spacing w:after="120"/>
        <w:jc w:val="both"/>
        <w:rPr>
          <w:u w:val="single"/>
        </w:rPr>
      </w:pPr>
      <w:r w:rsidRPr="00C86F99">
        <w:rPr>
          <w:u w:val="single"/>
        </w:rPr>
        <w:t>Бременност и раждане</w:t>
      </w:r>
    </w:p>
    <w:p w:rsidR="000938C1" w:rsidRPr="00C86F99" w:rsidRDefault="000938C1" w:rsidP="00104728">
      <w:pPr>
        <w:numPr>
          <w:ilvl w:val="0"/>
          <w:numId w:val="86"/>
        </w:numPr>
        <w:tabs>
          <w:tab w:val="clear" w:pos="2157"/>
          <w:tab w:val="num" w:pos="720"/>
          <w:tab w:val="num" w:pos="1499"/>
        </w:tabs>
        <w:ind w:left="720" w:hanging="720"/>
        <w:jc w:val="both"/>
      </w:pPr>
      <w:r w:rsidRPr="00C86F99">
        <w:t>Отчет към м. декември – 286</w:t>
      </w:r>
      <w:r>
        <w:t>,</w:t>
      </w:r>
      <w:r w:rsidRPr="00C86F99">
        <w:t>0 млн. лв. – 100</w:t>
      </w:r>
      <w:r>
        <w:t>,</w:t>
      </w:r>
      <w:r w:rsidRPr="00C86F99">
        <w:t>2 на сто изпълнение на плана  за  годината</w:t>
      </w:r>
      <w:r>
        <w:t xml:space="preserve"> (0,5 млн. лв. превишение на</w:t>
      </w:r>
      <w:r w:rsidRPr="00C86F99">
        <w:t xml:space="preserve"> плана за 2013 г.); </w:t>
      </w:r>
    </w:p>
    <w:p w:rsidR="000938C1" w:rsidRPr="00C86F99" w:rsidRDefault="000938C1" w:rsidP="00104728">
      <w:pPr>
        <w:numPr>
          <w:ilvl w:val="0"/>
          <w:numId w:val="86"/>
        </w:numPr>
        <w:tabs>
          <w:tab w:val="clear" w:pos="2157"/>
          <w:tab w:val="num" w:pos="720"/>
          <w:tab w:val="num" w:pos="1499"/>
        </w:tabs>
        <w:ind w:left="720" w:hanging="720"/>
        <w:jc w:val="both"/>
      </w:pPr>
      <w:r w:rsidRPr="00C86F99">
        <w:t>Разходите за изплатените обезщетения са с 15</w:t>
      </w:r>
      <w:r>
        <w:t>,</w:t>
      </w:r>
      <w:r w:rsidRPr="00C86F99">
        <w:t>7 млн. лв. (5</w:t>
      </w:r>
      <w:r>
        <w:t>,</w:t>
      </w:r>
      <w:r w:rsidRPr="00C86F99">
        <w:t>8 %) повече в сравнение с изплатените  за 2012 година;</w:t>
      </w:r>
    </w:p>
    <w:p w:rsidR="000938C1" w:rsidRPr="00C86F99" w:rsidRDefault="000938C1" w:rsidP="00104728">
      <w:pPr>
        <w:numPr>
          <w:ilvl w:val="0"/>
          <w:numId w:val="86"/>
        </w:numPr>
        <w:tabs>
          <w:tab w:val="clear" w:pos="2157"/>
          <w:tab w:val="num" w:pos="720"/>
          <w:tab w:val="num" w:pos="1499"/>
        </w:tabs>
        <w:ind w:left="720" w:hanging="720"/>
        <w:jc w:val="both"/>
      </w:pPr>
      <w:r w:rsidRPr="00C86F99">
        <w:t>Брой изплатени обезщетения към края на м. декември 2013 г. – 776</w:t>
      </w:r>
      <w:r>
        <w:t>,</w:t>
      </w:r>
      <w:r w:rsidRPr="00C86F99">
        <w:t>3 хиляди, с 26</w:t>
      </w:r>
      <w:r>
        <w:t>,</w:t>
      </w:r>
      <w:r w:rsidRPr="00C86F99">
        <w:t>7 хиляди (3</w:t>
      </w:r>
      <w:r>
        <w:t>,</w:t>
      </w:r>
      <w:r w:rsidRPr="00C86F99">
        <w:t>6 %) повече от изплатените за 2012 година;</w:t>
      </w:r>
    </w:p>
    <w:p w:rsidR="000938C1" w:rsidRPr="00C86F99" w:rsidRDefault="000938C1" w:rsidP="00104728">
      <w:pPr>
        <w:numPr>
          <w:ilvl w:val="0"/>
          <w:numId w:val="86"/>
        </w:numPr>
        <w:tabs>
          <w:tab w:val="clear" w:pos="2157"/>
          <w:tab w:val="num" w:pos="720"/>
          <w:tab w:val="num" w:pos="1499"/>
        </w:tabs>
        <w:ind w:left="720" w:hanging="720"/>
        <w:jc w:val="both"/>
        <w:rPr>
          <w:color w:val="3366FF"/>
          <w:sz w:val="4"/>
          <w:szCs w:val="4"/>
          <w:u w:val="single"/>
        </w:rPr>
      </w:pPr>
      <w:r w:rsidRPr="00C86F99">
        <w:t>Средното обезщетение на жените с обезщетение за бременност и раждане е 368</w:t>
      </w:r>
      <w:r>
        <w:t>,</w:t>
      </w:r>
      <w:r w:rsidRPr="00C86F99">
        <w:t>45 лв., с 2</w:t>
      </w:r>
      <w:r>
        <w:t>,</w:t>
      </w:r>
      <w:r w:rsidRPr="00C86F99">
        <w:t>2 % по-високо в сравнение с 2012 година.</w:t>
      </w:r>
    </w:p>
    <w:p w:rsidR="000938C1" w:rsidRPr="00C86F99" w:rsidRDefault="000938C1" w:rsidP="00104728">
      <w:pPr>
        <w:tabs>
          <w:tab w:val="num" w:pos="1499"/>
          <w:tab w:val="num" w:pos="2148"/>
        </w:tabs>
        <w:spacing w:after="120"/>
        <w:jc w:val="both"/>
        <w:rPr>
          <w:u w:val="single"/>
        </w:rPr>
      </w:pPr>
      <w:r w:rsidRPr="00C86F99">
        <w:rPr>
          <w:u w:val="single"/>
        </w:rPr>
        <w:t>Отглеждане на дете</w:t>
      </w:r>
    </w:p>
    <w:p w:rsidR="000938C1" w:rsidRPr="00C86F99" w:rsidRDefault="000938C1" w:rsidP="00104728">
      <w:pPr>
        <w:numPr>
          <w:ilvl w:val="0"/>
          <w:numId w:val="86"/>
        </w:numPr>
        <w:tabs>
          <w:tab w:val="clear" w:pos="2157"/>
          <w:tab w:val="num" w:pos="720"/>
          <w:tab w:val="num" w:pos="1499"/>
        </w:tabs>
        <w:ind w:left="720" w:hanging="720"/>
        <w:jc w:val="both"/>
      </w:pPr>
      <w:r w:rsidRPr="00C86F99">
        <w:t>Отчет към м. декември – 128</w:t>
      </w:r>
      <w:r>
        <w:t>,</w:t>
      </w:r>
      <w:r w:rsidRPr="00C86F99">
        <w:t>3 млн. лв., което е 112</w:t>
      </w:r>
      <w:r>
        <w:t>,</w:t>
      </w:r>
      <w:r w:rsidRPr="00C86F99">
        <w:t xml:space="preserve">0 на сто </w:t>
      </w:r>
      <w:r>
        <w:t>спрямо</w:t>
      </w:r>
      <w:r w:rsidRPr="00C86F99">
        <w:t xml:space="preserve"> плана за годината</w:t>
      </w:r>
      <w:r>
        <w:t xml:space="preserve"> (13,8 млн. лв. превишение на</w:t>
      </w:r>
      <w:r w:rsidRPr="00C86F99">
        <w:t xml:space="preserve"> плана за 2013 г.)</w:t>
      </w:r>
      <w:r>
        <w:t>, което се дължи</w:t>
      </w:r>
      <w:r w:rsidRPr="00C86F99">
        <w:t xml:space="preserve"> увеличението на обезщетението за отглеждане на дете от 240 на 310 лв. от </w:t>
      </w:r>
      <w:r>
        <w:t>01.07.</w:t>
      </w:r>
      <w:r w:rsidRPr="00C86F99">
        <w:t>2013 г</w:t>
      </w:r>
      <w:r>
        <w:t>одина</w:t>
      </w:r>
      <w:r w:rsidRPr="00C86F99">
        <w:t xml:space="preserve">; </w:t>
      </w:r>
    </w:p>
    <w:p w:rsidR="000938C1" w:rsidRPr="00C86F99" w:rsidRDefault="000938C1" w:rsidP="00104728">
      <w:pPr>
        <w:numPr>
          <w:ilvl w:val="0"/>
          <w:numId w:val="86"/>
        </w:numPr>
        <w:tabs>
          <w:tab w:val="clear" w:pos="2157"/>
          <w:tab w:val="num" w:pos="720"/>
          <w:tab w:val="num" w:pos="1499"/>
        </w:tabs>
        <w:ind w:left="720" w:hanging="720"/>
        <w:jc w:val="both"/>
      </w:pPr>
      <w:r w:rsidRPr="00C86F99">
        <w:t>Разходите за изплатените обезщетения са с 19</w:t>
      </w:r>
      <w:r>
        <w:t>,</w:t>
      </w:r>
      <w:r w:rsidRPr="00C86F99">
        <w:t>2 млн. лв. (17</w:t>
      </w:r>
      <w:r>
        <w:t>,</w:t>
      </w:r>
      <w:r w:rsidRPr="00C86F99">
        <w:t>6 %) повече в сравнение с изплатените за 2012 година;</w:t>
      </w:r>
    </w:p>
    <w:p w:rsidR="000938C1" w:rsidRDefault="000938C1" w:rsidP="0019198F">
      <w:pPr>
        <w:numPr>
          <w:ilvl w:val="0"/>
          <w:numId w:val="86"/>
        </w:numPr>
        <w:tabs>
          <w:tab w:val="clear" w:pos="2157"/>
          <w:tab w:val="num" w:pos="720"/>
          <w:tab w:val="num" w:pos="1499"/>
        </w:tabs>
        <w:spacing w:after="120"/>
        <w:ind w:left="720" w:hanging="720"/>
        <w:jc w:val="both"/>
      </w:pPr>
      <w:r w:rsidRPr="00C86F99">
        <w:t>Брой изплатени обезщетения към края на м. декември 2013 г. – 558</w:t>
      </w:r>
      <w:r>
        <w:t>,</w:t>
      </w:r>
      <w:r w:rsidRPr="00C86F99">
        <w:t>5 хиляди, с 16</w:t>
      </w:r>
      <w:r>
        <w:t>,</w:t>
      </w:r>
      <w:r w:rsidRPr="00C86F99">
        <w:t>3 хиляди (3</w:t>
      </w:r>
      <w:r>
        <w:t>,</w:t>
      </w:r>
      <w:r w:rsidRPr="00C86F99">
        <w:t>0 на сто) повече от изплатените за 2012 година.</w:t>
      </w:r>
    </w:p>
    <w:p w:rsidR="000938C1" w:rsidRDefault="000938C1" w:rsidP="0019198F">
      <w:pPr>
        <w:tabs>
          <w:tab w:val="num" w:pos="2157"/>
        </w:tabs>
        <w:spacing w:after="120"/>
        <w:jc w:val="both"/>
      </w:pPr>
    </w:p>
    <w:p w:rsidR="000938C1" w:rsidRPr="00C86F99" w:rsidRDefault="000938C1" w:rsidP="0019198F">
      <w:pPr>
        <w:tabs>
          <w:tab w:val="num" w:pos="2157"/>
        </w:tabs>
        <w:spacing w:after="120"/>
        <w:jc w:val="both"/>
      </w:pPr>
    </w:p>
    <w:p w:rsidR="000938C1" w:rsidRPr="00C86F99" w:rsidRDefault="000938C1" w:rsidP="0019198F">
      <w:pPr>
        <w:tabs>
          <w:tab w:val="num" w:pos="1499"/>
          <w:tab w:val="num" w:pos="2148"/>
        </w:tabs>
        <w:spacing w:before="120" w:after="120"/>
        <w:jc w:val="both"/>
        <w:rPr>
          <w:b/>
          <w:i/>
          <w:u w:val="single"/>
        </w:rPr>
      </w:pPr>
      <w:r w:rsidRPr="00C86F99">
        <w:rPr>
          <w:b/>
          <w:i/>
          <w:u w:val="single"/>
        </w:rPr>
        <w:t>Разходи за парични обезщетения за безработица:</w:t>
      </w:r>
    </w:p>
    <w:p w:rsidR="000938C1" w:rsidRPr="00C86F99" w:rsidRDefault="000938C1" w:rsidP="00104728">
      <w:pPr>
        <w:numPr>
          <w:ilvl w:val="0"/>
          <w:numId w:val="86"/>
        </w:numPr>
        <w:tabs>
          <w:tab w:val="clear" w:pos="2157"/>
          <w:tab w:val="num" w:pos="720"/>
          <w:tab w:val="num" w:pos="1499"/>
        </w:tabs>
        <w:ind w:left="720" w:hanging="720"/>
        <w:jc w:val="both"/>
      </w:pPr>
      <w:r w:rsidRPr="00C86F99">
        <w:t>Отчет към м. декември – 351</w:t>
      </w:r>
      <w:r>
        <w:t>,</w:t>
      </w:r>
      <w:r w:rsidRPr="00C86F99">
        <w:t>7 млн. лв. – 99</w:t>
      </w:r>
      <w:r>
        <w:t>,</w:t>
      </w:r>
      <w:r w:rsidRPr="00C86F99">
        <w:t>7 % изпълнение на плана за годината, 1</w:t>
      </w:r>
      <w:r>
        <w:t>,</w:t>
      </w:r>
      <w:r w:rsidRPr="00C86F99">
        <w:t>0 млн. лв. икономия спрямо плана за 2013 г.;</w:t>
      </w:r>
    </w:p>
    <w:p w:rsidR="000938C1" w:rsidRPr="00C86F99" w:rsidRDefault="000938C1" w:rsidP="00104728">
      <w:pPr>
        <w:numPr>
          <w:ilvl w:val="0"/>
          <w:numId w:val="86"/>
        </w:numPr>
        <w:tabs>
          <w:tab w:val="clear" w:pos="2157"/>
          <w:tab w:val="num" w:pos="720"/>
          <w:tab w:val="num" w:pos="1499"/>
        </w:tabs>
        <w:ind w:left="720" w:hanging="720"/>
        <w:jc w:val="both"/>
      </w:pPr>
      <w:r w:rsidRPr="00C86F99">
        <w:t>Разходите за изплатените обезщетения са с 3</w:t>
      </w:r>
      <w:r>
        <w:t>,</w:t>
      </w:r>
      <w:r w:rsidRPr="00C86F99">
        <w:t>2 млн. лв. (0</w:t>
      </w:r>
      <w:r>
        <w:t>,</w:t>
      </w:r>
      <w:r w:rsidRPr="00C86F99">
        <w:t xml:space="preserve">9 %) по-малко </w:t>
      </w:r>
      <w:r>
        <w:t>спрямо</w:t>
      </w:r>
      <w:r w:rsidRPr="00C86F99">
        <w:t xml:space="preserve"> 2012</w:t>
      </w:r>
      <w:r>
        <w:t xml:space="preserve"> година</w:t>
      </w:r>
      <w:r w:rsidRPr="00C86F99">
        <w:t>;</w:t>
      </w:r>
    </w:p>
    <w:p w:rsidR="000938C1" w:rsidRPr="00C86F99" w:rsidRDefault="000938C1" w:rsidP="00104728">
      <w:pPr>
        <w:numPr>
          <w:ilvl w:val="0"/>
          <w:numId w:val="86"/>
        </w:numPr>
        <w:tabs>
          <w:tab w:val="clear" w:pos="2157"/>
          <w:tab w:val="num" w:pos="720"/>
          <w:tab w:val="num" w:pos="1499"/>
        </w:tabs>
        <w:ind w:left="720" w:hanging="720"/>
        <w:jc w:val="both"/>
      </w:pPr>
      <w:r w:rsidRPr="00C86F99">
        <w:t>Брой безработни лица с начислени обезщетения средномесечно за 2013 г. – 115 327, с 1 477 (1</w:t>
      </w:r>
      <w:r>
        <w:t>,</w:t>
      </w:r>
      <w:r w:rsidRPr="00C86F99">
        <w:t>3 %) по-малко от 2012 година;</w:t>
      </w:r>
    </w:p>
    <w:p w:rsidR="000938C1" w:rsidRPr="00A87016" w:rsidRDefault="000938C1" w:rsidP="00104728">
      <w:pPr>
        <w:numPr>
          <w:ilvl w:val="0"/>
          <w:numId w:val="86"/>
        </w:numPr>
        <w:tabs>
          <w:tab w:val="clear" w:pos="2157"/>
          <w:tab w:val="num" w:pos="720"/>
          <w:tab w:val="num" w:pos="1499"/>
        </w:tabs>
        <w:ind w:left="720" w:hanging="720"/>
        <w:jc w:val="both"/>
      </w:pPr>
      <w:r w:rsidRPr="00C86F99">
        <w:t>Средното начислено обезщетение за 2013 г. е 254</w:t>
      </w:r>
      <w:r>
        <w:t>,</w:t>
      </w:r>
      <w:r w:rsidRPr="00C86F99">
        <w:t>15 лв., с 0</w:t>
      </w:r>
      <w:r>
        <w:t>,</w:t>
      </w:r>
      <w:r w:rsidRPr="00C86F99">
        <w:t>4 на сто по-високо в сравнение с 2012 година.</w:t>
      </w:r>
    </w:p>
    <w:p w:rsidR="000938C1" w:rsidRPr="002255D3" w:rsidRDefault="000938C1" w:rsidP="00104728">
      <w:pPr>
        <w:tabs>
          <w:tab w:val="num" w:pos="2157"/>
        </w:tabs>
        <w:jc w:val="both"/>
        <w:rPr>
          <w:lang w:val="ru-RU"/>
        </w:rPr>
      </w:pPr>
    </w:p>
    <w:p w:rsidR="000938C1" w:rsidRPr="00C86F99" w:rsidRDefault="000938C1" w:rsidP="00104728">
      <w:pPr>
        <w:tabs>
          <w:tab w:val="num" w:pos="1499"/>
          <w:tab w:val="num" w:pos="2148"/>
        </w:tabs>
        <w:spacing w:before="120" w:after="120"/>
        <w:jc w:val="both"/>
        <w:rPr>
          <w:b/>
          <w:i/>
          <w:u w:val="single"/>
        </w:rPr>
      </w:pPr>
      <w:r w:rsidRPr="00C86F99">
        <w:rPr>
          <w:b/>
          <w:i/>
          <w:u w:val="single"/>
        </w:rPr>
        <w:t>Разходи за службите по социално осигуряване</w:t>
      </w:r>
    </w:p>
    <w:p w:rsidR="000938C1" w:rsidRPr="00C86F99" w:rsidRDefault="000938C1" w:rsidP="00104728">
      <w:pPr>
        <w:numPr>
          <w:ilvl w:val="0"/>
          <w:numId w:val="86"/>
        </w:numPr>
        <w:tabs>
          <w:tab w:val="clear" w:pos="2157"/>
          <w:tab w:val="num" w:pos="720"/>
          <w:tab w:val="num" w:pos="1499"/>
        </w:tabs>
        <w:ind w:left="720" w:hanging="720"/>
        <w:jc w:val="both"/>
      </w:pPr>
      <w:r w:rsidRPr="00C86F99">
        <w:t>Отчет към м. декември – 67</w:t>
      </w:r>
      <w:r>
        <w:t>,</w:t>
      </w:r>
      <w:r w:rsidRPr="00C86F99">
        <w:t>9 млн. лв., което е 88</w:t>
      </w:r>
      <w:r>
        <w:t>,</w:t>
      </w:r>
      <w:r w:rsidRPr="00C86F99">
        <w:t>5 на сто изпълнение на плана за годината и икономия спрямо плана за 2013 г. – 8</w:t>
      </w:r>
      <w:r>
        <w:t>,</w:t>
      </w:r>
      <w:r w:rsidRPr="00C86F99">
        <w:t>8 млн. лв. (11</w:t>
      </w:r>
      <w:r>
        <w:t>,</w:t>
      </w:r>
      <w:r w:rsidRPr="00C86F99">
        <w:t>4 на сто) икономия и с 2</w:t>
      </w:r>
      <w:r>
        <w:t>,</w:t>
      </w:r>
      <w:r w:rsidRPr="00C86F99">
        <w:t>2 млн. лв. (3</w:t>
      </w:r>
      <w:r>
        <w:t>,</w:t>
      </w:r>
      <w:r w:rsidRPr="00C86F99">
        <w:t>3 на сто) повече разходи в сравнение с 2012 г</w:t>
      </w:r>
      <w:r>
        <w:t>одина</w:t>
      </w:r>
      <w:r w:rsidRPr="00C86F99">
        <w:t>.</w:t>
      </w:r>
    </w:p>
    <w:p w:rsidR="000938C1" w:rsidRDefault="000938C1" w:rsidP="00104728">
      <w:pPr>
        <w:ind w:firstLine="709"/>
        <w:jc w:val="both"/>
        <w:rPr>
          <w:bCs/>
          <w:color w:val="0070C0"/>
          <w:sz w:val="4"/>
          <w:szCs w:val="4"/>
        </w:rPr>
      </w:pPr>
    </w:p>
    <w:p w:rsidR="000938C1" w:rsidRDefault="000938C1" w:rsidP="00104728">
      <w:pPr>
        <w:ind w:firstLine="709"/>
        <w:jc w:val="both"/>
        <w:rPr>
          <w:bCs/>
          <w:color w:val="0070C0"/>
          <w:sz w:val="4"/>
          <w:szCs w:val="4"/>
        </w:rPr>
      </w:pPr>
    </w:p>
    <w:p w:rsidR="000938C1" w:rsidRPr="00CF1A14" w:rsidRDefault="000938C1" w:rsidP="00104728">
      <w:pPr>
        <w:ind w:firstLine="709"/>
        <w:jc w:val="both"/>
        <w:rPr>
          <w:bCs/>
          <w:color w:val="0070C0"/>
          <w:sz w:val="4"/>
          <w:szCs w:val="4"/>
        </w:rPr>
      </w:pPr>
    </w:p>
    <w:p w:rsidR="000938C1" w:rsidRPr="00104728" w:rsidRDefault="000938C1" w:rsidP="00104728">
      <w:pPr>
        <w:tabs>
          <w:tab w:val="left" w:pos="9540"/>
        </w:tabs>
        <w:ind w:right="-108" w:firstLine="539"/>
        <w:jc w:val="both"/>
        <w:rPr>
          <w:color w:val="000000"/>
        </w:rPr>
      </w:pPr>
      <w:r w:rsidRPr="00104728">
        <w:rPr>
          <w:color w:val="000000"/>
        </w:rPr>
        <w:t xml:space="preserve">През 2013 г. държавата е участвала с трансфер от републиканския бюджет за ДОО в размер на 4 704,7 млн. лв., които са с 38,8 млн. лв. </w:t>
      </w:r>
      <w:r w:rsidRPr="00104728">
        <w:rPr>
          <w:color w:val="000000"/>
          <w:lang w:val="en-US"/>
        </w:rPr>
        <w:t>(</w:t>
      </w:r>
      <w:r w:rsidRPr="00104728">
        <w:rPr>
          <w:color w:val="000000"/>
        </w:rPr>
        <w:t>0,8 на сто</w:t>
      </w:r>
      <w:r w:rsidRPr="00104728">
        <w:rPr>
          <w:color w:val="000000"/>
          <w:lang w:val="en-US"/>
        </w:rPr>
        <w:t>)</w:t>
      </w:r>
      <w:r w:rsidRPr="00104728">
        <w:rPr>
          <w:color w:val="000000"/>
        </w:rPr>
        <w:t xml:space="preserve"> по-малко от планираните, в т.ч.:</w:t>
      </w:r>
    </w:p>
    <w:p w:rsidR="000938C1" w:rsidRPr="00104728" w:rsidRDefault="000938C1" w:rsidP="00104728">
      <w:pPr>
        <w:numPr>
          <w:ilvl w:val="0"/>
          <w:numId w:val="36"/>
        </w:numPr>
        <w:jc w:val="both"/>
        <w:rPr>
          <w:color w:val="000000"/>
        </w:rPr>
      </w:pPr>
      <w:r w:rsidRPr="00104728">
        <w:rPr>
          <w:color w:val="000000"/>
        </w:rPr>
        <w:t>за изплащане на социални пенсии, пенсии за особени заслуги към държавата и нацията, пенсии и добавки към пенсиите на участниците и пострадалите от войните, както и наследниците, получаващи наследствена пенсия за загиналите в Отечествената война, персонални пенсии, добавки към пенсиите на репресираните лица  и др.-324,6 млн. лв.;</w:t>
      </w:r>
    </w:p>
    <w:p w:rsidR="000938C1" w:rsidRPr="00104728" w:rsidRDefault="000938C1" w:rsidP="00104728">
      <w:pPr>
        <w:numPr>
          <w:ilvl w:val="0"/>
          <w:numId w:val="36"/>
        </w:numPr>
        <w:jc w:val="both"/>
        <w:rPr>
          <w:color w:val="000000"/>
        </w:rPr>
      </w:pPr>
      <w:r w:rsidRPr="00104728">
        <w:rPr>
          <w:color w:val="000000"/>
        </w:rPr>
        <w:t>получен допълнителен трансфер за изплащане на еднократна допълнителна сума към пенсиите за месец декември 2013 г. – 53,5 млн. лв.;</w:t>
      </w:r>
    </w:p>
    <w:p w:rsidR="000938C1" w:rsidRPr="00104728" w:rsidRDefault="000938C1" w:rsidP="00104728">
      <w:pPr>
        <w:numPr>
          <w:ilvl w:val="0"/>
          <w:numId w:val="36"/>
        </w:numPr>
        <w:jc w:val="both"/>
        <w:rPr>
          <w:color w:val="000000"/>
        </w:rPr>
      </w:pPr>
      <w:r w:rsidRPr="00104728">
        <w:rPr>
          <w:color w:val="000000"/>
        </w:rPr>
        <w:t xml:space="preserve">допълнителна субсидия за покриване на недостига от средства по ЗБДОО за 2013 г.  - 1 815,9 млн. лв., които са с 92,7 млн. лв. </w:t>
      </w:r>
      <w:r w:rsidRPr="002255D3">
        <w:rPr>
          <w:color w:val="000000"/>
          <w:lang w:val="ru-RU"/>
        </w:rPr>
        <w:t>(</w:t>
      </w:r>
      <w:r w:rsidRPr="00104728">
        <w:rPr>
          <w:color w:val="000000"/>
        </w:rPr>
        <w:t>4,9 на сто</w:t>
      </w:r>
      <w:r w:rsidRPr="002255D3">
        <w:rPr>
          <w:color w:val="000000"/>
          <w:lang w:val="ru-RU"/>
        </w:rPr>
        <w:t>)</w:t>
      </w:r>
      <w:r w:rsidRPr="00104728">
        <w:rPr>
          <w:color w:val="000000"/>
        </w:rPr>
        <w:t xml:space="preserve"> по-малко от планираните;</w:t>
      </w:r>
    </w:p>
    <w:p w:rsidR="000938C1" w:rsidRPr="00104728" w:rsidRDefault="000938C1" w:rsidP="00104728">
      <w:pPr>
        <w:numPr>
          <w:ilvl w:val="0"/>
          <w:numId w:val="36"/>
        </w:numPr>
        <w:jc w:val="both"/>
        <w:rPr>
          <w:color w:val="000000"/>
        </w:rPr>
      </w:pPr>
      <w:r w:rsidRPr="00104728">
        <w:rPr>
          <w:color w:val="000000"/>
        </w:rPr>
        <w:t>трансфер за фонд „Пенсии” в размер на 12 % върху сбора от осигурителните доходи на всички осигурени лица за календарната година – 2 510,4 млн. лв.;</w:t>
      </w:r>
    </w:p>
    <w:p w:rsidR="000938C1" w:rsidRPr="00104728" w:rsidRDefault="000938C1" w:rsidP="00104728">
      <w:pPr>
        <w:numPr>
          <w:ilvl w:val="0"/>
          <w:numId w:val="36"/>
        </w:numPr>
        <w:jc w:val="both"/>
        <w:rPr>
          <w:color w:val="000000"/>
        </w:rPr>
      </w:pPr>
      <w:r w:rsidRPr="00104728">
        <w:rPr>
          <w:color w:val="000000"/>
        </w:rPr>
        <w:t>трансфер по чл. 5 и чл. 6 от Правилника за прилагане на Закона за ветераните от войните – 0,4 млн. лв.</w:t>
      </w:r>
    </w:p>
    <w:p w:rsidR="000938C1" w:rsidRPr="00CF1A14" w:rsidRDefault="000938C1" w:rsidP="00104728">
      <w:pPr>
        <w:ind w:firstLine="540"/>
        <w:jc w:val="both"/>
        <w:rPr>
          <w:color w:val="0070C0"/>
          <w:sz w:val="4"/>
          <w:szCs w:val="4"/>
        </w:rPr>
      </w:pPr>
    </w:p>
    <w:p w:rsidR="000938C1" w:rsidRPr="00CF1A14" w:rsidRDefault="000938C1" w:rsidP="00104728">
      <w:pPr>
        <w:ind w:firstLine="540"/>
        <w:jc w:val="both"/>
        <w:rPr>
          <w:color w:val="0070C0"/>
          <w:sz w:val="4"/>
          <w:szCs w:val="4"/>
        </w:rPr>
      </w:pPr>
    </w:p>
    <w:p w:rsidR="000938C1" w:rsidRPr="00104728" w:rsidRDefault="000938C1" w:rsidP="00104728">
      <w:pPr>
        <w:ind w:firstLine="540"/>
        <w:jc w:val="both"/>
        <w:rPr>
          <w:color w:val="000000"/>
        </w:rPr>
      </w:pPr>
      <w:r w:rsidRPr="00104728">
        <w:rPr>
          <w:color w:val="000000"/>
        </w:rPr>
        <w:t>От бюджета на ДОО през 201</w:t>
      </w:r>
      <w:r>
        <w:rPr>
          <w:color w:val="000000"/>
        </w:rPr>
        <w:t>3</w:t>
      </w:r>
      <w:r w:rsidRPr="00104728">
        <w:rPr>
          <w:color w:val="000000"/>
        </w:rPr>
        <w:t xml:space="preserve"> г. са предоставени трансфери на Министерството на труда и социалната политика за фонд „Условия на труд” и за Агенцията за  социално подпомагане в общ размер на 5</w:t>
      </w:r>
      <w:r>
        <w:rPr>
          <w:color w:val="000000"/>
        </w:rPr>
        <w:t>,</w:t>
      </w:r>
      <w:r w:rsidRPr="00104728">
        <w:rPr>
          <w:color w:val="000000"/>
        </w:rPr>
        <w:t>4 млн.  лв.</w:t>
      </w:r>
    </w:p>
    <w:p w:rsidR="000938C1" w:rsidRPr="00104728" w:rsidRDefault="000938C1" w:rsidP="00104728">
      <w:pPr>
        <w:pStyle w:val="Heading3"/>
        <w:numPr>
          <w:ilvl w:val="0"/>
          <w:numId w:val="4"/>
        </w:numPr>
        <w:tabs>
          <w:tab w:val="clear" w:pos="360"/>
          <w:tab w:val="num" w:pos="1080"/>
        </w:tabs>
        <w:ind w:firstLine="360"/>
        <w:rPr>
          <w:rFonts w:ascii="Times New Roman" w:hAnsi="Times New Roman"/>
          <w:color w:val="000000"/>
          <w:sz w:val="24"/>
          <w:lang w:val="bg-BG"/>
        </w:rPr>
      </w:pPr>
      <w:bookmarkStart w:id="292" w:name="_Toc136597760"/>
      <w:bookmarkStart w:id="293" w:name="_Toc136601663"/>
      <w:bookmarkStart w:id="294" w:name="_Toc261276605"/>
      <w:bookmarkStart w:id="295" w:name="_Toc262637642"/>
      <w:bookmarkStart w:id="296" w:name="_Toc324863442"/>
      <w:bookmarkStart w:id="297" w:name="_Toc326315934"/>
      <w:bookmarkStart w:id="298" w:name="_Toc357527119"/>
      <w:bookmarkStart w:id="299" w:name="_Toc393728093"/>
      <w:r w:rsidRPr="00104728">
        <w:rPr>
          <w:rFonts w:ascii="Times New Roman" w:hAnsi="Times New Roman"/>
          <w:color w:val="000000"/>
          <w:sz w:val="24"/>
          <w:lang w:val="bg-BG"/>
        </w:rPr>
        <w:t>Учителски пенсионен фонд</w:t>
      </w:r>
      <w:bookmarkEnd w:id="292"/>
      <w:bookmarkEnd w:id="293"/>
      <w:bookmarkEnd w:id="294"/>
      <w:bookmarkEnd w:id="295"/>
      <w:bookmarkEnd w:id="296"/>
      <w:bookmarkEnd w:id="297"/>
      <w:bookmarkEnd w:id="298"/>
      <w:bookmarkEnd w:id="299"/>
    </w:p>
    <w:p w:rsidR="000938C1" w:rsidRPr="00CF1A14" w:rsidRDefault="000938C1" w:rsidP="00104728">
      <w:pPr>
        <w:ind w:right="574"/>
        <w:rPr>
          <w:b/>
          <w:color w:val="0070C0"/>
          <w:sz w:val="10"/>
          <w:szCs w:val="10"/>
        </w:rPr>
      </w:pPr>
    </w:p>
    <w:p w:rsidR="000938C1" w:rsidRPr="00104728" w:rsidRDefault="000938C1" w:rsidP="00104728">
      <w:pPr>
        <w:ind w:firstLine="540"/>
        <w:jc w:val="both"/>
        <w:rPr>
          <w:color w:val="000000"/>
        </w:rPr>
      </w:pPr>
      <w:r w:rsidRPr="00104728">
        <w:rPr>
          <w:color w:val="000000"/>
        </w:rPr>
        <w:t>Отчетените приходи по бюджета на Учителския пенсионен фонд (УПФ) за 2013 г. са в размер на 49,7 млн. лв. или 101,9 % от предвидените за 2013 г. Приходите от осигурителни вноски възлизат на 36,0 млн. лв. и формират 72,5 % от общите приходи. Приходите от лихви (основно от ДЦК) са в общ размер на 13,7 млн. лв.</w:t>
      </w:r>
    </w:p>
    <w:p w:rsidR="000938C1" w:rsidRPr="00104728" w:rsidRDefault="000938C1" w:rsidP="00104728">
      <w:pPr>
        <w:ind w:firstLine="540"/>
        <w:jc w:val="both"/>
        <w:rPr>
          <w:color w:val="000000"/>
        </w:rPr>
      </w:pPr>
      <w:r w:rsidRPr="00104728">
        <w:rPr>
          <w:color w:val="000000"/>
        </w:rPr>
        <w:t xml:space="preserve"> Общите разходи по бюджета на УПФ за 2013 г. са в размер на 16,2 млн. лв. или 78,2 % от планираните. От тях са изплатени пенсии и добавки от УПФ в размер на 16,1 млн. лв. и 0,1 млн. лв. са изразходвани за пощенски такси и ДДС за изплащане на пенсиите и други финансови услуги.</w:t>
      </w:r>
    </w:p>
    <w:p w:rsidR="000938C1" w:rsidRPr="00104728" w:rsidRDefault="000938C1" w:rsidP="00104728">
      <w:pPr>
        <w:ind w:firstLine="540"/>
        <w:jc w:val="both"/>
        <w:rPr>
          <w:bCs/>
          <w:color w:val="000000"/>
        </w:rPr>
      </w:pPr>
      <w:r w:rsidRPr="00104728">
        <w:rPr>
          <w:color w:val="000000"/>
        </w:rPr>
        <w:t xml:space="preserve">През 2013 г. с временно свободните средства на фонда са закупени ДЦК в размер на 67,6 млн. лв. Получените от УПФ погашения по ДЦК са на стойност 20,0 млн. лв. Съотношението на направените покупко-продажби на ДЦК (47,5 млн. лв.) към годишните приходи на УПФ през 2013 г. е 95,6 %.   </w:t>
      </w:r>
    </w:p>
    <w:p w:rsidR="000938C1" w:rsidRPr="00104728" w:rsidRDefault="000938C1" w:rsidP="00104728">
      <w:pPr>
        <w:pStyle w:val="Heading3"/>
        <w:numPr>
          <w:ilvl w:val="0"/>
          <w:numId w:val="5"/>
        </w:numPr>
        <w:tabs>
          <w:tab w:val="clear" w:pos="360"/>
          <w:tab w:val="num" w:pos="1080"/>
        </w:tabs>
        <w:ind w:firstLine="360"/>
        <w:rPr>
          <w:rFonts w:ascii="Times New Roman" w:hAnsi="Times New Roman"/>
          <w:color w:val="000000"/>
          <w:sz w:val="24"/>
          <w:lang w:val="bg-BG"/>
        </w:rPr>
      </w:pPr>
      <w:bookmarkStart w:id="300" w:name="_Toc136597761"/>
      <w:bookmarkStart w:id="301" w:name="_Toc136601664"/>
      <w:bookmarkStart w:id="302" w:name="_Toc261276606"/>
      <w:bookmarkStart w:id="303" w:name="_Toc262637643"/>
      <w:bookmarkStart w:id="304" w:name="_Toc324863443"/>
      <w:bookmarkStart w:id="305" w:name="_Toc326315935"/>
      <w:bookmarkStart w:id="306" w:name="_Toc357527120"/>
      <w:bookmarkStart w:id="307" w:name="_Toc393728094"/>
      <w:r w:rsidRPr="00104728">
        <w:rPr>
          <w:rFonts w:ascii="Times New Roman" w:hAnsi="Times New Roman"/>
          <w:color w:val="000000"/>
          <w:sz w:val="24"/>
          <w:lang w:val="bg-BG"/>
        </w:rPr>
        <w:t>Фонд „Гарантирани вземания на работниците и служителите”</w:t>
      </w:r>
      <w:bookmarkEnd w:id="300"/>
      <w:bookmarkEnd w:id="301"/>
      <w:bookmarkEnd w:id="302"/>
      <w:bookmarkEnd w:id="303"/>
      <w:bookmarkEnd w:id="304"/>
      <w:bookmarkEnd w:id="305"/>
      <w:bookmarkEnd w:id="306"/>
      <w:bookmarkEnd w:id="307"/>
    </w:p>
    <w:p w:rsidR="000938C1" w:rsidRPr="00CF1A14" w:rsidRDefault="000938C1" w:rsidP="00104728">
      <w:pPr>
        <w:rPr>
          <w:color w:val="0070C0"/>
          <w:sz w:val="10"/>
          <w:szCs w:val="10"/>
        </w:rPr>
      </w:pPr>
    </w:p>
    <w:p w:rsidR="000938C1" w:rsidRPr="0083412F" w:rsidRDefault="000938C1" w:rsidP="00104728">
      <w:pPr>
        <w:ind w:firstLine="540"/>
        <w:jc w:val="both"/>
      </w:pPr>
      <w:r w:rsidRPr="0083412F">
        <w:t>Приходите по бюджета на фонд ”Гарантирани вземания на работниците и служителите” (ФГВРС) за 2013 г. са в размер на 9,6 млн. лв., което е 84,0 % от предвидените в план-сметката на фонда за 2013 г. Основната част от тях (95,9 %) са приходи от лихви от ДЦК, които са в размер на 9,2 млн. лв. Приходите от осигурителни вноски са 0,4 млн. лв. и представляват вноски от работодатели за минали периоди (съгласно чл. 15 от ЗБДОО за 2013 г. не се внасят вноски за фонд „Гарантирани вземания на работниците и служителите”). Приходите от глоби, санкции и наказателни лихви са в размер на 0,061 млн. лева.</w:t>
      </w:r>
    </w:p>
    <w:p w:rsidR="000938C1" w:rsidRPr="00E04EF5" w:rsidRDefault="000938C1" w:rsidP="00104728">
      <w:pPr>
        <w:ind w:firstLine="540"/>
        <w:jc w:val="both"/>
      </w:pPr>
      <w:r w:rsidRPr="00E04EF5">
        <w:t>Общите разходи по бюджета на ФГВРС за 2013 г. са в размер на 0,8 млн. лв. при предвидени в план-сметката на фонда за 2013 г. 2,4 млн. лв. Изплатените от ФГВРС вземания на работниците и служителите от предприятия в несъстоятелност през 2013 г. са 0,5 млн. лв.</w:t>
      </w:r>
    </w:p>
    <w:p w:rsidR="000938C1" w:rsidRPr="00E04EF5" w:rsidRDefault="000938C1" w:rsidP="00104728">
      <w:pPr>
        <w:ind w:firstLine="540"/>
        <w:jc w:val="both"/>
        <w:rPr>
          <w:bCs/>
        </w:rPr>
      </w:pPr>
      <w:r w:rsidRPr="00E04EF5">
        <w:t xml:space="preserve">През 2013 г. с временно свободните средства на ФГВРС са закупени ДЦК в размер на 28,4 млн. лв. Получените от ФГВРС погашения по ДЦК са на стойност 13,6 млн. лв. </w:t>
      </w:r>
    </w:p>
    <w:p w:rsidR="000938C1" w:rsidRPr="00F1421F" w:rsidRDefault="000938C1" w:rsidP="00104728">
      <w:pPr>
        <w:pStyle w:val="Heading3"/>
        <w:numPr>
          <w:ilvl w:val="0"/>
          <w:numId w:val="6"/>
        </w:numPr>
        <w:tabs>
          <w:tab w:val="clear" w:pos="360"/>
          <w:tab w:val="num" w:pos="1080"/>
        </w:tabs>
        <w:ind w:firstLine="360"/>
        <w:rPr>
          <w:rFonts w:ascii="Times New Roman" w:hAnsi="Times New Roman"/>
          <w:sz w:val="24"/>
          <w:lang w:val="bg-BG"/>
        </w:rPr>
      </w:pPr>
      <w:bookmarkStart w:id="308" w:name="_Toc136597762"/>
      <w:bookmarkStart w:id="309" w:name="_Toc136601665"/>
      <w:bookmarkStart w:id="310" w:name="_Toc261276607"/>
      <w:bookmarkStart w:id="311" w:name="_Toc262637644"/>
      <w:bookmarkStart w:id="312" w:name="_Toc324863444"/>
      <w:bookmarkStart w:id="313" w:name="_Toc326315936"/>
      <w:bookmarkStart w:id="314" w:name="_Toc357527121"/>
      <w:bookmarkStart w:id="315" w:name="_Toc393728095"/>
      <w:r w:rsidRPr="00E04EF5">
        <w:rPr>
          <w:rFonts w:ascii="Times New Roman" w:hAnsi="Times New Roman"/>
          <w:sz w:val="24"/>
          <w:lang w:val="bg-BG"/>
        </w:rPr>
        <w:t>Национална здравноосигурителна каса</w:t>
      </w:r>
      <w:bookmarkEnd w:id="308"/>
      <w:bookmarkEnd w:id="309"/>
      <w:bookmarkEnd w:id="310"/>
      <w:bookmarkEnd w:id="311"/>
      <w:bookmarkEnd w:id="312"/>
      <w:bookmarkEnd w:id="313"/>
      <w:bookmarkEnd w:id="314"/>
      <w:bookmarkEnd w:id="315"/>
    </w:p>
    <w:p w:rsidR="000938C1" w:rsidRPr="00CF1A14" w:rsidRDefault="000938C1" w:rsidP="00104728">
      <w:pPr>
        <w:pStyle w:val="BodyText2"/>
        <w:spacing w:before="120" w:line="240" w:lineRule="auto"/>
        <w:ind w:firstLine="720"/>
        <w:jc w:val="both"/>
        <w:rPr>
          <w:color w:val="0070C0"/>
        </w:rPr>
      </w:pPr>
      <w:r w:rsidRPr="00F1421F">
        <w:rPr>
          <w:b/>
        </w:rPr>
        <w:t>Приходите</w:t>
      </w:r>
      <w:r w:rsidRPr="00F1421F">
        <w:t xml:space="preserve"> по бюджета на НЗОК за 2013 г. възлизат на 1 8</w:t>
      </w:r>
      <w:r>
        <w:t>2</w:t>
      </w:r>
      <w:r w:rsidRPr="00F1421F">
        <w:t>4,6 млн. лв. или 103,5 % спрямо предвидените в Закона за бюджета на НЗОК (ЗБНЗОК) за 2013 г. 1</w:t>
      </w:r>
      <w:r>
        <w:t> </w:t>
      </w:r>
      <w:r w:rsidRPr="00F1421F">
        <w:t>7</w:t>
      </w:r>
      <w:r>
        <w:t>63,8</w:t>
      </w:r>
      <w:r w:rsidRPr="00F1421F">
        <w:t xml:space="preserve"> млн. лв. </w:t>
      </w:r>
      <w:r w:rsidRPr="009F0B6C">
        <w:t xml:space="preserve">Най-съществен дял (98,8 %) заемат постъпленията от здравноосигурителни вноски, които са в размер на 1 803,6 млн. лв. или 103,1 % спрямо планираните в ЗБНЗОК за 2013 г. През 2013 г. отчетените приходи от здравноосигурителни вноски са нараснали с 4,4 % спрямо предходната година. </w:t>
      </w:r>
      <w:r w:rsidRPr="00C86F99">
        <w:t>Преизпълнението на приходите от здравноосигурителни вноски е в размер на 5</w:t>
      </w:r>
      <w:r>
        <w:t>4,</w:t>
      </w:r>
      <w:r w:rsidRPr="00C86F99">
        <w:t>3 млн. лв., от които 44</w:t>
      </w:r>
      <w:r>
        <w:t>,</w:t>
      </w:r>
      <w:r w:rsidRPr="00C86F99">
        <w:t>7 млн. лв. са използвани за увеличаване на здравноосигурителните плащания, в съответствие с §</w:t>
      </w:r>
      <w:r>
        <w:t xml:space="preserve"> </w:t>
      </w:r>
      <w:r w:rsidRPr="00C86F99">
        <w:t xml:space="preserve">1 от преходните и заключителни разпоредби на ЗБНЗОК за 2013 г. </w:t>
      </w:r>
      <w:r w:rsidRPr="009F0B6C">
        <w:t>Постигнатият ръст в приходите основно е резултат от: номиналното нарастване на средномесечния осигурителен доход за 2013 г. спрямо 2012 г., увеличението на минималните осигурителни прагове по икономически дейности и квалификационни групи професии. В структурата на приходите от здравноосигурителните вноски най-голям относителен дял заемат вноските за работници и служители от работодатели (1 026,</w:t>
      </w:r>
      <w:r>
        <w:t>8</w:t>
      </w:r>
      <w:r w:rsidRPr="009F0B6C">
        <w:t xml:space="preserve"> млн. лв.) и личните вноски от работници и служители (586,</w:t>
      </w:r>
      <w:r>
        <w:t>7</w:t>
      </w:r>
      <w:r w:rsidRPr="009F0B6C">
        <w:t xml:space="preserve"> млн. лв.). Вноските от самонаети (самоосигуряващи се лица) са в размер на190,1 млн. лева.</w:t>
      </w:r>
    </w:p>
    <w:p w:rsidR="000938C1" w:rsidRPr="00F37759" w:rsidRDefault="000938C1" w:rsidP="00104728">
      <w:pPr>
        <w:ind w:firstLine="540"/>
        <w:jc w:val="both"/>
      </w:pPr>
      <w:r w:rsidRPr="0067707B">
        <w:t xml:space="preserve">През 2013 г. по бюджета на НЗОК са отчетени неданъчни приходи в размер на 21,0 млн. лв., което представлява 144,6 % изпълнение спрямо предвидените със Закона за бюджета на НЗОК за 2013 г. 14,6 млн. лв. Основната част тези приходи са от глоби, санкции и неустойки във връзка с контрола по събирането на здравноосигурителните вноски и контрола по изпълнението на сключените договори с изпълнители на медицинска помощ. </w:t>
      </w:r>
    </w:p>
    <w:p w:rsidR="000938C1" w:rsidRPr="00F37759" w:rsidRDefault="000938C1" w:rsidP="00104728">
      <w:pPr>
        <w:ind w:firstLine="540"/>
        <w:jc w:val="both"/>
        <w:rPr>
          <w:sz w:val="4"/>
          <w:szCs w:val="4"/>
        </w:rPr>
      </w:pPr>
    </w:p>
    <w:p w:rsidR="000938C1" w:rsidRPr="00F37759" w:rsidRDefault="000938C1" w:rsidP="00104728">
      <w:pPr>
        <w:ind w:firstLine="540"/>
        <w:jc w:val="both"/>
        <w:rPr>
          <w:sz w:val="4"/>
          <w:szCs w:val="4"/>
        </w:rPr>
      </w:pPr>
    </w:p>
    <w:p w:rsidR="000938C1" w:rsidRPr="00F37759" w:rsidRDefault="000938C1" w:rsidP="00104728">
      <w:pPr>
        <w:ind w:firstLine="540"/>
        <w:jc w:val="both"/>
      </w:pPr>
      <w:r w:rsidRPr="00F37759">
        <w:t>През 2013 г. НЗОК е получила трансфери за здравно осигуряване от централния бюджет в размер на 941</w:t>
      </w:r>
      <w:r>
        <w:t>,</w:t>
      </w:r>
      <w:r w:rsidRPr="00F37759">
        <w:t xml:space="preserve">1 млн. лв. за пенсионери, безработни, социално слаби, лица до 18-годишна възраст и след навършване на тази възраст, ако учат редовно и други лица, осигурени по чл. 40, ал. 3 от ЗЗО, които се осигуряват за сметка на републиканския бюджет. През бюджетната 2013 година трансферите за здравно осигуряване от централния бюджет са на нивото на предходната 2012 г. Трансферите за здравно осигуряване са преведени в пълен размер спрямо планираните по закон средства. </w:t>
      </w:r>
      <w:r w:rsidRPr="00C86F99">
        <w:t>Предоставеният трансфер от МЗ на НЗОК през 2013 г. за финансиране на разходите за акушерска помощ по чл. 82, ал.</w:t>
      </w:r>
      <w:r>
        <w:t xml:space="preserve"> </w:t>
      </w:r>
      <w:r w:rsidRPr="00C86F99">
        <w:t>1, т. 2 от Закона за здравето и разходите за ваксини по национални програми по чл. 82, ал. 2, т. 3 от същия закон, са в размер на 8</w:t>
      </w:r>
      <w:r>
        <w:t>,</w:t>
      </w:r>
      <w:r w:rsidRPr="00C86F99">
        <w:t>1 млн. лв., което е с 2</w:t>
      </w:r>
      <w:r>
        <w:t>,</w:t>
      </w:r>
      <w:r w:rsidRPr="00C86F99">
        <w:t>7 млн. лв. над предвидените по ЗБНЗОК за 2013 г.</w:t>
      </w:r>
    </w:p>
    <w:p w:rsidR="000938C1" w:rsidRPr="002612E4" w:rsidRDefault="000938C1" w:rsidP="00104728">
      <w:pPr>
        <w:pStyle w:val="BodyText2"/>
        <w:spacing w:before="120" w:line="240" w:lineRule="auto"/>
        <w:ind w:firstLine="720"/>
        <w:jc w:val="both"/>
        <w:rPr>
          <w:szCs w:val="28"/>
        </w:rPr>
      </w:pPr>
      <w:r w:rsidRPr="002612E4">
        <w:t>С</w:t>
      </w:r>
      <w:r>
        <w:t xml:space="preserve"> актуализирания</w:t>
      </w:r>
      <w:r w:rsidRPr="002612E4">
        <w:t xml:space="preserve"> Закон за бюджета на НЗОК за 2013 г. са утвърдени общо разходи и трансфери в размер на 2 737,3 млн. лв., от които </w:t>
      </w:r>
      <w:r w:rsidRPr="002612E4">
        <w:rPr>
          <w:szCs w:val="28"/>
        </w:rPr>
        <w:t>общите разходи са 2 734,2 млн. лв. (в т.ч. текущи разходи в размер на 2 458,2 млн. лв., разходи за придобиване на нефинансови активи в размер на 7,0 млн. лв. и резерв за непредвидени и неотложни разходи в размер на 269,0 млн. лв.) и предоставени трансфери в размер на 3,1 млн. лева. В края на 2013 г., с решение на Надзорния съвет, НЗОК разпредели част от преизпълнението на здравноосигурителните приходи, в размер на 44,7 млн. лв., за здравноосигурителни плащания.</w:t>
      </w:r>
    </w:p>
    <w:p w:rsidR="000938C1" w:rsidRPr="005844B3" w:rsidRDefault="000938C1" w:rsidP="00104728">
      <w:pPr>
        <w:pStyle w:val="BodyText2"/>
        <w:spacing w:before="120" w:line="240" w:lineRule="auto"/>
        <w:ind w:firstLine="720"/>
        <w:jc w:val="both"/>
      </w:pPr>
      <w:r w:rsidRPr="002612E4">
        <w:t xml:space="preserve">Общият размер на разходите и трансферите по отчетни данни  за 2013 г. възлиза </w:t>
      </w:r>
      <w:r w:rsidRPr="002612E4">
        <w:rPr>
          <w:szCs w:val="28"/>
        </w:rPr>
        <w:t>на 2 781,9</w:t>
      </w:r>
      <w:r>
        <w:rPr>
          <w:szCs w:val="28"/>
        </w:rPr>
        <w:t xml:space="preserve"> </w:t>
      </w:r>
      <w:r w:rsidRPr="002612E4">
        <w:rPr>
          <w:szCs w:val="28"/>
        </w:rPr>
        <w:t>млн</w:t>
      </w:r>
      <w:r w:rsidRPr="002612E4">
        <w:t xml:space="preserve">. лв., което представлява изпълнение от 101,6 % спрямо предвидените в актуализирания ЗБНЗОК за 2013 г. </w:t>
      </w:r>
      <w:r w:rsidRPr="001F1021">
        <w:t>средства. Изпълнението на общите разходи е в размер на 2 716,8 млн. лв. (вкл. 62,0 млн. лв. отчетени като предоставени трансфери към бюджетни предприятия) или 9</w:t>
      </w:r>
      <w:r>
        <w:t>9,4</w:t>
      </w:r>
      <w:r w:rsidRPr="001F1021">
        <w:t xml:space="preserve"> % спрямо предвидените в закона. </w:t>
      </w:r>
      <w:r w:rsidRPr="005844B3">
        <w:rPr>
          <w:szCs w:val="28"/>
        </w:rPr>
        <w:t>В края на 2013 г., с решение на Надзорния съвет, НЗОК разпредели част от преизпълнението на здравноосигурителните приходи, в размер на 44,7 млн. лв. и част от административните разходи в размер на 9,9 млн. лв., за здравноосигурителни плащания.</w:t>
      </w:r>
    </w:p>
    <w:p w:rsidR="000938C1" w:rsidRPr="005844B3" w:rsidRDefault="000938C1" w:rsidP="00104728">
      <w:pPr>
        <w:pStyle w:val="Header"/>
        <w:spacing w:before="120" w:after="120"/>
        <w:jc w:val="both"/>
        <w:rPr>
          <w:b/>
          <w:i/>
        </w:rPr>
      </w:pPr>
      <w:bookmarkStart w:id="316" w:name="_Toc24967175"/>
      <w:bookmarkStart w:id="317" w:name="_Toc24970449"/>
      <w:bookmarkStart w:id="318" w:name="_Toc24970628"/>
      <w:bookmarkStart w:id="319" w:name="_Toc25643315"/>
      <w:r w:rsidRPr="005844B3">
        <w:rPr>
          <w:b/>
          <w:i/>
        </w:rPr>
        <w:t>Здравноосигурителни плащания</w:t>
      </w:r>
      <w:bookmarkEnd w:id="316"/>
      <w:bookmarkEnd w:id="317"/>
      <w:bookmarkEnd w:id="318"/>
      <w:bookmarkEnd w:id="319"/>
    </w:p>
    <w:p w:rsidR="000938C1" w:rsidRPr="00F25E2D" w:rsidRDefault="000938C1" w:rsidP="00104728">
      <w:pPr>
        <w:pStyle w:val="BodyText"/>
        <w:spacing w:after="0"/>
        <w:jc w:val="both"/>
      </w:pPr>
      <w:r w:rsidRPr="00CF1A14">
        <w:rPr>
          <w:color w:val="0070C0"/>
        </w:rPr>
        <w:tab/>
      </w:r>
      <w:r w:rsidRPr="00F25E2D">
        <w:t>През 2013 г. на изпълнителите на медицинска помощ са изплатени 2 740,</w:t>
      </w:r>
      <w:r>
        <w:t>8</w:t>
      </w:r>
      <w:r w:rsidRPr="00F25E2D">
        <w:t xml:space="preserve"> млн. лв., в т.ч. 2 678,8 млн. лв. здравноосигурителни плащания и 62,0 млн. лв. трансфери по договори за извършване на медицински услуги за болнична помощ към бюджетни предприятия, в структурата на които има болници по чл. 5 от Закона за лечебните заведения, което представлява 10</w:t>
      </w:r>
      <w:r>
        <w:t>2,3</w:t>
      </w:r>
      <w:r w:rsidRPr="00F25E2D">
        <w:t xml:space="preserve"> % спрямо утвърдените с актуализирания ЗБНЗОК за 2013 г. 2 679,5 млн. лв. (вкл. 269,0 млн. лв. резерв за непредвидени и неотложни разходи). В отделните направления на здравноосигурителните плащания, вкл. трансферите по договори за извършване на медицински услуги за болнична помощ към бюджетни предприятия, в структурата на които има болници по  чл. 5 от Закона за лечебните заведения изпълнението на бюджета за 2013 г. е следното:</w:t>
      </w:r>
    </w:p>
    <w:p w:rsidR="000938C1" w:rsidRPr="00EE455F" w:rsidRDefault="000938C1" w:rsidP="00104728">
      <w:pPr>
        <w:pStyle w:val="BodyText"/>
        <w:numPr>
          <w:ilvl w:val="0"/>
          <w:numId w:val="37"/>
        </w:numPr>
        <w:tabs>
          <w:tab w:val="num" w:pos="897"/>
        </w:tabs>
        <w:spacing w:after="0"/>
        <w:ind w:left="897"/>
        <w:jc w:val="both"/>
      </w:pPr>
      <w:r w:rsidRPr="00EE455F">
        <w:rPr>
          <w:i/>
        </w:rPr>
        <w:t>Първична извънболнична медицинска помощ</w:t>
      </w:r>
      <w:r w:rsidRPr="00EE455F">
        <w:t xml:space="preserve"> – 175,7 млн. л</w:t>
      </w:r>
      <w:r>
        <w:t>е</w:t>
      </w:r>
      <w:r w:rsidRPr="00EE455F">
        <w:t>в</w:t>
      </w:r>
      <w:r>
        <w:t>а</w:t>
      </w:r>
      <w:r w:rsidRPr="00EE455F">
        <w:t xml:space="preserve">. </w:t>
      </w:r>
    </w:p>
    <w:p w:rsidR="000938C1" w:rsidRPr="00EE455F" w:rsidRDefault="000938C1" w:rsidP="00104728">
      <w:pPr>
        <w:pStyle w:val="BodyText"/>
        <w:numPr>
          <w:ilvl w:val="0"/>
          <w:numId w:val="37"/>
        </w:numPr>
        <w:tabs>
          <w:tab w:val="num" w:pos="897"/>
        </w:tabs>
        <w:spacing w:after="0"/>
        <w:ind w:left="897"/>
        <w:jc w:val="both"/>
      </w:pPr>
      <w:r w:rsidRPr="00EE455F">
        <w:rPr>
          <w:i/>
        </w:rPr>
        <w:t>Специализирана извънболнична медицинска помощ</w:t>
      </w:r>
      <w:r w:rsidRPr="00EE455F">
        <w:t xml:space="preserve"> – 184,9 млн. л</w:t>
      </w:r>
      <w:r>
        <w:t>е</w:t>
      </w:r>
      <w:r w:rsidRPr="00EE455F">
        <w:t>в</w:t>
      </w:r>
      <w:r>
        <w:t>а</w:t>
      </w:r>
      <w:r w:rsidRPr="00EE455F">
        <w:t>.</w:t>
      </w:r>
    </w:p>
    <w:p w:rsidR="000938C1" w:rsidRPr="00EE455F" w:rsidRDefault="000938C1" w:rsidP="00104728">
      <w:pPr>
        <w:pStyle w:val="BodyText"/>
        <w:numPr>
          <w:ilvl w:val="0"/>
          <w:numId w:val="37"/>
        </w:numPr>
        <w:tabs>
          <w:tab w:val="num" w:pos="897"/>
        </w:tabs>
        <w:spacing w:after="0"/>
        <w:ind w:left="897"/>
        <w:jc w:val="both"/>
      </w:pPr>
      <w:r w:rsidRPr="00EE455F">
        <w:rPr>
          <w:i/>
        </w:rPr>
        <w:t>Дентална  помощ</w:t>
      </w:r>
      <w:r w:rsidRPr="00EE455F">
        <w:t xml:space="preserve"> – 112,7 млн. л</w:t>
      </w:r>
      <w:r>
        <w:t>е</w:t>
      </w:r>
      <w:r w:rsidRPr="00EE455F">
        <w:t>в</w:t>
      </w:r>
      <w:r>
        <w:t>а</w:t>
      </w:r>
      <w:r w:rsidRPr="00EE455F">
        <w:t>.</w:t>
      </w:r>
    </w:p>
    <w:p w:rsidR="000938C1" w:rsidRPr="00EE455F" w:rsidRDefault="000938C1" w:rsidP="00104728">
      <w:pPr>
        <w:pStyle w:val="BodyText"/>
        <w:numPr>
          <w:ilvl w:val="0"/>
          <w:numId w:val="37"/>
        </w:numPr>
        <w:tabs>
          <w:tab w:val="num" w:pos="897"/>
        </w:tabs>
        <w:spacing w:after="0"/>
        <w:ind w:left="897"/>
        <w:jc w:val="both"/>
      </w:pPr>
      <w:r w:rsidRPr="00EE455F">
        <w:rPr>
          <w:i/>
        </w:rPr>
        <w:t>Медико-диагностична дейност</w:t>
      </w:r>
      <w:r w:rsidRPr="00EE455F">
        <w:t xml:space="preserve"> – 68,7 млн. л</w:t>
      </w:r>
      <w:r>
        <w:t>е</w:t>
      </w:r>
      <w:r w:rsidRPr="00EE455F">
        <w:t>в</w:t>
      </w:r>
      <w:r>
        <w:t>а</w:t>
      </w:r>
      <w:r w:rsidRPr="00EE455F">
        <w:t xml:space="preserve">. </w:t>
      </w:r>
    </w:p>
    <w:p w:rsidR="000938C1" w:rsidRPr="00EE455F" w:rsidRDefault="000938C1" w:rsidP="00104728">
      <w:pPr>
        <w:pStyle w:val="BodyText"/>
        <w:numPr>
          <w:ilvl w:val="0"/>
          <w:numId w:val="37"/>
        </w:numPr>
        <w:tabs>
          <w:tab w:val="num" w:pos="897"/>
        </w:tabs>
        <w:spacing w:after="0"/>
        <w:ind w:left="897"/>
        <w:jc w:val="both"/>
      </w:pPr>
      <w:r w:rsidRPr="00EE455F">
        <w:rPr>
          <w:i/>
        </w:rPr>
        <w:t>Лекарства за домашно лечение и медицински изделия</w:t>
      </w:r>
      <w:r w:rsidRPr="00EE455F">
        <w:t xml:space="preserve"> –</w:t>
      </w:r>
      <w:r>
        <w:t>629,9</w:t>
      </w:r>
      <w:r w:rsidRPr="00EE455F">
        <w:t xml:space="preserve"> млн. л</w:t>
      </w:r>
      <w:r>
        <w:t>е</w:t>
      </w:r>
      <w:r w:rsidRPr="00EE455F">
        <w:t>в</w:t>
      </w:r>
      <w:r>
        <w:t>а</w:t>
      </w:r>
      <w:r w:rsidRPr="00EE455F">
        <w:t>.</w:t>
      </w:r>
    </w:p>
    <w:p w:rsidR="000938C1" w:rsidRPr="00EE455F" w:rsidRDefault="000938C1" w:rsidP="00104728">
      <w:pPr>
        <w:pStyle w:val="BodyText"/>
        <w:numPr>
          <w:ilvl w:val="0"/>
          <w:numId w:val="37"/>
        </w:numPr>
        <w:tabs>
          <w:tab w:val="num" w:pos="897"/>
        </w:tabs>
        <w:spacing w:after="0"/>
        <w:ind w:left="897"/>
        <w:jc w:val="both"/>
      </w:pPr>
      <w:r w:rsidRPr="00EE455F">
        <w:rPr>
          <w:i/>
        </w:rPr>
        <w:t>Болнична помощ</w:t>
      </w:r>
      <w:r w:rsidRPr="00EE455F">
        <w:t xml:space="preserve"> – през 201</w:t>
      </w:r>
      <w:r>
        <w:t>3</w:t>
      </w:r>
      <w:r w:rsidRPr="00EE455F">
        <w:t xml:space="preserve"> г. са изплатени общо 1 547,9 млн. лв., в т.ч. 62,0 млн. лв. трансфери по договори за извършване на медицински услуги за болнична помощ към бюджетни предприятия, в структурата на които има болници по чл.5 от Закона за лечебните заведения.</w:t>
      </w:r>
      <w:r>
        <w:t xml:space="preserve"> </w:t>
      </w:r>
      <w:r w:rsidRPr="00B30B08">
        <w:t xml:space="preserve">С тези средства е изплатена дейността на лечебните заведения за болнична помощ  за периода декември 2012 г. – ноември 2013 година, като  част от отчетената дейност през </w:t>
      </w:r>
      <w:r>
        <w:t xml:space="preserve">месеците </w:t>
      </w:r>
      <w:r w:rsidRPr="00B30B08">
        <w:t>октомври и ноември, в размер на 70</w:t>
      </w:r>
      <w:r>
        <w:t>,0</w:t>
      </w:r>
      <w:r w:rsidRPr="00B30B08">
        <w:t xml:space="preserve"> млн.</w:t>
      </w:r>
      <w:r>
        <w:t xml:space="preserve"> </w:t>
      </w:r>
      <w:r w:rsidRPr="00B30B08">
        <w:t>лв. остана да бъде разплатена през януари 2014 г.</w:t>
      </w:r>
    </w:p>
    <w:p w:rsidR="000938C1" w:rsidRPr="00CB0951" w:rsidRDefault="000938C1" w:rsidP="00104728">
      <w:pPr>
        <w:pStyle w:val="BodyText"/>
        <w:numPr>
          <w:ilvl w:val="0"/>
          <w:numId w:val="37"/>
        </w:numPr>
        <w:tabs>
          <w:tab w:val="num" w:pos="897"/>
        </w:tabs>
        <w:spacing w:after="0"/>
        <w:ind w:left="897"/>
        <w:jc w:val="both"/>
      </w:pPr>
      <w:r w:rsidRPr="00CB0951">
        <w:rPr>
          <w:i/>
        </w:rPr>
        <w:t>Други здравноосигурителни плащания</w:t>
      </w:r>
      <w:r w:rsidRPr="00CB0951">
        <w:t>– 21,0 млн. лева.</w:t>
      </w:r>
    </w:p>
    <w:p w:rsidR="000938C1" w:rsidRPr="003922E3" w:rsidRDefault="000938C1" w:rsidP="00104728">
      <w:pPr>
        <w:pStyle w:val="Header"/>
        <w:spacing w:before="120" w:after="120"/>
        <w:ind w:firstLine="720"/>
        <w:jc w:val="both"/>
      </w:pPr>
      <w:r w:rsidRPr="003922E3">
        <w:t>По бюджета на НЗОК за 2013 г. са утвърдени 47,6 млн. лв. за административни разходи на институцията, които включват разходите за заплати, други възнаграждения и осигуровки на персонала и за текуща издръжка. За годината са отчетени 36,4 млн. лв., което представлява 76,5 % от годишния план за 2012 г. Усвоените средства за административни разходи заемат 1,4 % в структурата на общите разходи за отчетния период.</w:t>
      </w:r>
    </w:p>
    <w:p w:rsidR="000938C1" w:rsidRPr="003922E3" w:rsidRDefault="000938C1" w:rsidP="00104728">
      <w:pPr>
        <w:pStyle w:val="BodyText2"/>
        <w:spacing w:before="120" w:line="240" w:lineRule="auto"/>
        <w:ind w:firstLine="720"/>
        <w:jc w:val="both"/>
      </w:pPr>
      <w:r w:rsidRPr="003922E3">
        <w:t xml:space="preserve">Общият размер на капиталовите разходи по отчет за 2013 г. възлиза </w:t>
      </w:r>
      <w:r w:rsidRPr="003922E3">
        <w:rPr>
          <w:szCs w:val="28"/>
        </w:rPr>
        <w:t>на 1,7млн</w:t>
      </w:r>
      <w:r w:rsidRPr="003922E3">
        <w:t>. лв., което представлява 24,3 % от планираните за годината 7,0 млн. лв.</w:t>
      </w:r>
    </w:p>
    <w:p w:rsidR="000938C1" w:rsidRPr="003922E3" w:rsidRDefault="000938C1" w:rsidP="00104728">
      <w:pPr>
        <w:pStyle w:val="Header"/>
        <w:spacing w:before="120" w:after="120"/>
        <w:jc w:val="both"/>
        <w:rPr>
          <w:b/>
          <w:i/>
        </w:rPr>
      </w:pPr>
      <w:r w:rsidRPr="003922E3">
        <w:rPr>
          <w:b/>
          <w:i/>
        </w:rPr>
        <w:t>Предоставени трансфери</w:t>
      </w:r>
    </w:p>
    <w:p w:rsidR="000938C1" w:rsidRPr="003922E3" w:rsidRDefault="000938C1" w:rsidP="00104728">
      <w:pPr>
        <w:pStyle w:val="BodyText2"/>
        <w:spacing w:before="120" w:line="240" w:lineRule="auto"/>
        <w:ind w:firstLine="720"/>
        <w:jc w:val="both"/>
      </w:pPr>
      <w:r w:rsidRPr="003922E3">
        <w:t>През 2013 г. НЗОК е предоставила трансфери на:</w:t>
      </w:r>
    </w:p>
    <w:p w:rsidR="000938C1" w:rsidRPr="003922E3" w:rsidRDefault="000938C1" w:rsidP="00104728">
      <w:pPr>
        <w:pStyle w:val="BodyText2"/>
        <w:numPr>
          <w:ilvl w:val="0"/>
          <w:numId w:val="43"/>
        </w:numPr>
        <w:spacing w:before="120" w:line="240" w:lineRule="auto"/>
        <w:jc w:val="both"/>
      </w:pPr>
      <w:r w:rsidRPr="003922E3">
        <w:t>НАП по чл. 24, т. 6 от Закона за здравното осигуряване – такса за обслужване събирането на здравноосигурителни вноски в размер на 3</w:t>
      </w:r>
      <w:r>
        <w:t>,1</w:t>
      </w:r>
      <w:r w:rsidRPr="003922E3">
        <w:t xml:space="preserve"> млн. л</w:t>
      </w:r>
      <w:r>
        <w:t>е</w:t>
      </w:r>
      <w:r w:rsidRPr="003922E3">
        <w:t>в</w:t>
      </w:r>
      <w:r>
        <w:t>а</w:t>
      </w:r>
      <w:r w:rsidRPr="003922E3">
        <w:t>;</w:t>
      </w:r>
    </w:p>
    <w:p w:rsidR="000938C1" w:rsidRPr="00104728" w:rsidRDefault="000938C1" w:rsidP="00104728">
      <w:pPr>
        <w:pStyle w:val="BodyText2"/>
        <w:numPr>
          <w:ilvl w:val="0"/>
          <w:numId w:val="43"/>
        </w:numPr>
        <w:spacing w:before="120" w:line="240" w:lineRule="auto"/>
        <w:jc w:val="both"/>
      </w:pPr>
      <w:r w:rsidRPr="003922E3">
        <w:t>бюджетни предприятия, сключили договори за извършване на медицински услуги с НЗОК за болнична помощ, в структурата на които има болници по чл.5 от Закона за лечебните заведения в размер на 62,0 млн. л</w:t>
      </w:r>
      <w:r>
        <w:t>ева</w:t>
      </w:r>
      <w:r w:rsidRPr="003922E3">
        <w:t>.</w:t>
      </w:r>
    </w:p>
    <w:p w:rsidR="000938C1" w:rsidRPr="006643EC" w:rsidRDefault="000938C1" w:rsidP="00F30F79">
      <w:pPr>
        <w:pStyle w:val="Heading2"/>
        <w:numPr>
          <w:ilvl w:val="1"/>
          <w:numId w:val="31"/>
        </w:numPr>
        <w:rPr>
          <w:rFonts w:ascii="Times New Roman" w:hAnsi="Times New Roman" w:cs="Times New Roman"/>
          <w:i w:val="0"/>
          <w:iCs w:val="0"/>
          <w:sz w:val="24"/>
        </w:rPr>
      </w:pPr>
      <w:bookmarkStart w:id="320" w:name="_Toc393728096"/>
      <w:r w:rsidRPr="006643EC">
        <w:rPr>
          <w:rFonts w:ascii="Times New Roman" w:hAnsi="Times New Roman" w:cs="Times New Roman"/>
          <w:i w:val="0"/>
          <w:iCs w:val="0"/>
          <w:sz w:val="24"/>
        </w:rPr>
        <w:t>Бюджети на общините</w:t>
      </w:r>
      <w:bookmarkEnd w:id="289"/>
      <w:bookmarkEnd w:id="320"/>
    </w:p>
    <w:p w:rsidR="000938C1" w:rsidRPr="006643EC" w:rsidRDefault="000938C1" w:rsidP="006643EC">
      <w:pPr>
        <w:widowControl w:val="0"/>
        <w:spacing w:after="120"/>
        <w:ind w:firstLine="720"/>
        <w:jc w:val="both"/>
      </w:pPr>
      <w:bookmarkStart w:id="321" w:name="_Toc326165954"/>
      <w:bookmarkStart w:id="322" w:name="_Toc326166057"/>
      <w:bookmarkStart w:id="323" w:name="_Toc326226656"/>
      <w:bookmarkStart w:id="324" w:name="_Toc326165955"/>
      <w:bookmarkStart w:id="325" w:name="_Toc326166058"/>
      <w:bookmarkStart w:id="326" w:name="_Toc326226657"/>
      <w:bookmarkStart w:id="327" w:name="_Toc324863447"/>
      <w:bookmarkStart w:id="328" w:name="_Toc261276608"/>
      <w:bookmarkEnd w:id="321"/>
      <w:bookmarkEnd w:id="322"/>
      <w:bookmarkEnd w:id="323"/>
      <w:bookmarkEnd w:id="324"/>
      <w:bookmarkEnd w:id="325"/>
      <w:bookmarkEnd w:id="326"/>
      <w:r w:rsidRPr="006643EC">
        <w:t>Приходите и помощите, постъпили по бюджетите на общините през 2013 г., са в размер на 1</w:t>
      </w:r>
      <w:r>
        <w:t> </w:t>
      </w:r>
      <w:r w:rsidRPr="006643EC">
        <w:t>805</w:t>
      </w:r>
      <w:r>
        <w:t>,</w:t>
      </w:r>
      <w:r>
        <w:rPr>
          <w:lang w:val="en-US"/>
        </w:rPr>
        <w:t>4</w:t>
      </w:r>
      <w:r w:rsidRPr="006643EC">
        <w:t xml:space="preserve"> млн. лв., което е със 117</w:t>
      </w:r>
      <w:r>
        <w:t>,</w:t>
      </w:r>
      <w:r>
        <w:rPr>
          <w:lang w:val="en-US"/>
        </w:rPr>
        <w:t>5</w:t>
      </w:r>
      <w:r w:rsidRPr="006643EC">
        <w:t xml:space="preserve"> млн. лв. повече спрямо 2012 г. Сравнено с разчетите към ЗИД на ЗДБРБ за 2013 г. изпълнението в частта на приходите и помощите по общинските бюджети е 98</w:t>
      </w:r>
      <w:r>
        <w:t>,</w:t>
      </w:r>
      <w:r w:rsidRPr="006643EC">
        <w:t>3 %.</w:t>
      </w:r>
    </w:p>
    <w:p w:rsidR="000938C1" w:rsidRPr="006643EC" w:rsidRDefault="000938C1" w:rsidP="006643EC">
      <w:pPr>
        <w:widowControl w:val="0"/>
        <w:spacing w:after="120"/>
        <w:ind w:firstLine="720"/>
        <w:jc w:val="both"/>
        <w:rPr>
          <w:color w:val="0070C0"/>
        </w:rPr>
      </w:pPr>
      <w:r w:rsidRPr="006643EC">
        <w:t>Данъчните приходи възлизат на 688</w:t>
      </w:r>
      <w:r>
        <w:t>,</w:t>
      </w:r>
      <w:r w:rsidRPr="006643EC">
        <w:t>0 млн. лв. и формират 3</w:t>
      </w:r>
      <w:r w:rsidRPr="006643EC">
        <w:rPr>
          <w:lang w:val="ru-RU"/>
        </w:rPr>
        <w:t>8</w:t>
      </w:r>
      <w:r>
        <w:rPr>
          <w:lang w:val="ru-RU"/>
        </w:rPr>
        <w:t>,</w:t>
      </w:r>
      <w:r w:rsidRPr="006643EC">
        <w:t>1 % от общия размер на приходите и помощите. В сравнение с 2012 г. тези постъпления са нараснали с 4</w:t>
      </w:r>
      <w:r w:rsidRPr="006643EC">
        <w:rPr>
          <w:lang w:val="ru-RU"/>
        </w:rPr>
        <w:t>5</w:t>
      </w:r>
      <w:r>
        <w:rPr>
          <w:lang w:val="ru-RU"/>
        </w:rPr>
        <w:t>,</w:t>
      </w:r>
      <w:r w:rsidRPr="006643EC">
        <w:t>7 млн. лв. или със 7</w:t>
      </w:r>
      <w:r>
        <w:t>,</w:t>
      </w:r>
      <w:r w:rsidRPr="006643EC">
        <w:t xml:space="preserve">1 %. Спрямо годишния разчет изпълнението е </w:t>
      </w:r>
      <w:r w:rsidRPr="006643EC">
        <w:rPr>
          <w:lang w:val="ru-RU"/>
        </w:rPr>
        <w:t>99</w:t>
      </w:r>
      <w:r>
        <w:rPr>
          <w:lang w:val="ru-RU"/>
        </w:rPr>
        <w:t>,</w:t>
      </w:r>
      <w:r w:rsidRPr="006643EC">
        <w:t>5 %. Тези приходи включват постъпления от патентен данък (14</w:t>
      </w:r>
      <w:r>
        <w:t>,</w:t>
      </w:r>
      <w:r w:rsidRPr="006643EC">
        <w:t>3 млн. лв.), данък върху недвижимите имоти (259</w:t>
      </w:r>
      <w:r>
        <w:t>,</w:t>
      </w:r>
      <w:r w:rsidRPr="006643EC">
        <w:rPr>
          <w:lang w:val="ru-RU"/>
        </w:rPr>
        <w:t>4</w:t>
      </w:r>
      <w:r w:rsidRPr="006643EC">
        <w:t xml:space="preserve"> млн. лв.), данък върху превозните средства (199</w:t>
      </w:r>
      <w:r>
        <w:t>,</w:t>
      </w:r>
      <w:r w:rsidRPr="006643EC">
        <w:rPr>
          <w:lang w:val="ru-RU"/>
        </w:rPr>
        <w:t>3</w:t>
      </w:r>
      <w:r w:rsidRPr="006643EC">
        <w:t xml:space="preserve"> млн. лв.), данък при придобиване на имущество по дарения и възмезден начин (199</w:t>
      </w:r>
      <w:r>
        <w:t>,</w:t>
      </w:r>
      <w:r w:rsidRPr="006643EC">
        <w:t>7 млн. лв.), туристически данък (15</w:t>
      </w:r>
      <w:r>
        <w:t>,</w:t>
      </w:r>
      <w:r w:rsidRPr="006643EC">
        <w:t>1 млн. лв.), други данъци (0</w:t>
      </w:r>
      <w:r>
        <w:t>,</w:t>
      </w:r>
      <w:r w:rsidRPr="006643EC">
        <w:t>3 млн. лв.) и данъка върху наследствата</w:t>
      </w:r>
      <w:r>
        <w:t xml:space="preserve"> </w:t>
      </w:r>
      <w:r w:rsidRPr="006643EC">
        <w:t>(0</w:t>
      </w:r>
      <w:r>
        <w:t>,</w:t>
      </w:r>
      <w:r w:rsidRPr="006643EC">
        <w:t>04 млн. лв.). От данъчните приходи с изпълнение, превишаващо миналата година, са данъкът върху превозните средства – 110</w:t>
      </w:r>
      <w:r>
        <w:t>,</w:t>
      </w:r>
      <w:r w:rsidRPr="006643EC">
        <w:t>4 %, данъкът върху недвижимите имоти – 108</w:t>
      </w:r>
      <w:r>
        <w:t>,</w:t>
      </w:r>
      <w:r w:rsidRPr="006643EC">
        <w:t>2 % и данъкът при придобиване на имущество по дарение и възмезден начин – 105</w:t>
      </w:r>
      <w:r>
        <w:t>,</w:t>
      </w:r>
      <w:r w:rsidRPr="006643EC">
        <w:t>5 %. По-ниско спрямо миналата година е изпълнението при патентния данък – 92</w:t>
      </w:r>
      <w:r>
        <w:t>,</w:t>
      </w:r>
      <w:r w:rsidRPr="006643EC">
        <w:t>5 %, туристическия данък – 89</w:t>
      </w:r>
      <w:r>
        <w:t>,</w:t>
      </w:r>
      <w:r w:rsidRPr="006643EC">
        <w:t>3 %  и другите данъци – 72</w:t>
      </w:r>
      <w:r>
        <w:t>,</w:t>
      </w:r>
      <w:r w:rsidRPr="006643EC">
        <w:t>1 %. При данъкът върху наследствата изпълнението е едва 28</w:t>
      </w:r>
      <w:r>
        <w:t>,</w:t>
      </w:r>
      <w:r w:rsidRPr="006643EC">
        <w:t>6 % от нивото през 2012 г. Спрямо разчетите към закона по-високо ниво на изпълнение се отчита при данъка върху превозните средства – 106</w:t>
      </w:r>
      <w:r>
        <w:t>,</w:t>
      </w:r>
      <w:r w:rsidRPr="006643EC">
        <w:t>2 % и данъка при придобиване на имущество по дарение и възмезден начин – 105</w:t>
      </w:r>
      <w:r>
        <w:t>,</w:t>
      </w:r>
      <w:r w:rsidRPr="006643EC">
        <w:t>1 %. По-ниски спрямо разчетите са постъпленията от данъка върху недвижимите имоти – 92</w:t>
      </w:r>
      <w:r>
        <w:t>,</w:t>
      </w:r>
      <w:r w:rsidRPr="006643EC">
        <w:t>7 %, патентния данък – 91</w:t>
      </w:r>
      <w:r>
        <w:t>,</w:t>
      </w:r>
      <w:r w:rsidRPr="006643EC">
        <w:t>0 %, туристическия данък – 87</w:t>
      </w:r>
      <w:r>
        <w:t>,</w:t>
      </w:r>
      <w:r w:rsidRPr="006643EC">
        <w:t>3 % и данъка върху наследствата – 52</w:t>
      </w:r>
      <w:r>
        <w:t>,</w:t>
      </w:r>
      <w:r w:rsidRPr="006643EC">
        <w:t>4 %. Ниско е изпълнението при другите данъци – 29</w:t>
      </w:r>
      <w:r>
        <w:t>,</w:t>
      </w:r>
      <w:r w:rsidRPr="006643EC">
        <w:t xml:space="preserve">5 %, но поради малкия относителен дял, това не оказва съществено влияние върху изпълнението на общите приходи от имуществени данъци. </w:t>
      </w:r>
    </w:p>
    <w:p w:rsidR="000938C1" w:rsidRPr="006643EC" w:rsidRDefault="000938C1" w:rsidP="006643EC">
      <w:pPr>
        <w:ind w:firstLine="720"/>
        <w:jc w:val="both"/>
        <w:rPr>
          <w:color w:val="0070C0"/>
        </w:rPr>
      </w:pPr>
      <w:r w:rsidRPr="006643EC">
        <w:t>Преобладаваща част (59</w:t>
      </w:r>
      <w:r>
        <w:t>,</w:t>
      </w:r>
      <w:r w:rsidRPr="006643EC">
        <w:t>4 %) от приходите и помощите на общините заемат неданъчните  постъпления, които за 2013 г. са 1</w:t>
      </w:r>
      <w:r>
        <w:t> </w:t>
      </w:r>
      <w:r w:rsidRPr="006643EC">
        <w:t>072</w:t>
      </w:r>
      <w:r>
        <w:t>,</w:t>
      </w:r>
      <w:r>
        <w:rPr>
          <w:lang w:val="en-US"/>
        </w:rPr>
        <w:t>3</w:t>
      </w:r>
      <w:r w:rsidRPr="006643EC">
        <w:t xml:space="preserve"> млн. лв. и представляват 96</w:t>
      </w:r>
      <w:r>
        <w:t>,</w:t>
      </w:r>
      <w:r>
        <w:rPr>
          <w:lang w:val="en-US"/>
        </w:rPr>
        <w:t>0</w:t>
      </w:r>
      <w:r w:rsidRPr="006643EC">
        <w:t xml:space="preserve"> на сто от предвидените за годината разчети и 105</w:t>
      </w:r>
      <w:r>
        <w:t>,</w:t>
      </w:r>
      <w:r w:rsidRPr="006643EC">
        <w:t>8 на сто спрямо отчета за 2012 г. От тях с най-голям относителен дял са общинските такси – 64</w:t>
      </w:r>
      <w:r>
        <w:t>,</w:t>
      </w:r>
      <w:r w:rsidRPr="006643EC">
        <w:t>6 % или 692</w:t>
      </w:r>
      <w:r>
        <w:t>,</w:t>
      </w:r>
      <w:r w:rsidRPr="006643EC">
        <w:t>4 млн. лв. Изпълнението им е 104</w:t>
      </w:r>
      <w:r>
        <w:t>,</w:t>
      </w:r>
      <w:r w:rsidRPr="006643EC">
        <w:t>2 % спрямо предходната година и 89</w:t>
      </w:r>
      <w:r>
        <w:t>,</w:t>
      </w:r>
      <w:r w:rsidRPr="006643EC">
        <w:t>1 % от разчета към ЗИД на ЗДБРБ за 2013 г. Измежду общинските такси традиционно с най-голям дял е таксата за битови отпадъци, като през 2013 г. тя представлява 70</w:t>
      </w:r>
      <w:r>
        <w:t>,</w:t>
      </w:r>
      <w:r w:rsidRPr="006643EC">
        <w:t>7 % от всички общински такси. Изпълнението на такса би</w:t>
      </w:r>
      <w:r>
        <w:t>тови отпадъци е в размер на 489,</w:t>
      </w:r>
      <w:r>
        <w:rPr>
          <w:lang w:val="en-US"/>
        </w:rPr>
        <w:t>8</w:t>
      </w:r>
      <w:r w:rsidRPr="006643EC">
        <w:t xml:space="preserve"> млн. лв., което е 105</w:t>
      </w:r>
      <w:r>
        <w:t>,</w:t>
      </w:r>
      <w:r w:rsidRPr="006643EC">
        <w:t>8 % спрямо предходната година.</w:t>
      </w:r>
    </w:p>
    <w:p w:rsidR="000938C1" w:rsidRPr="006643EC" w:rsidRDefault="000938C1" w:rsidP="006643EC">
      <w:pPr>
        <w:ind w:firstLine="720"/>
        <w:jc w:val="both"/>
        <w:rPr>
          <w:color w:val="0070C0"/>
        </w:rPr>
      </w:pPr>
      <w:r w:rsidRPr="006643EC">
        <w:t xml:space="preserve"> Отчетената събираемост общо за общинските такси през 2013 г. спрямо годишния разчет е 89</w:t>
      </w:r>
      <w:r>
        <w:t>,</w:t>
      </w:r>
      <w:r w:rsidRPr="006643EC">
        <w:t>1 %, като повече средства от планираните са постъпили при таксата за притежаване на куче (105</w:t>
      </w:r>
      <w:r>
        <w:t>,</w:t>
      </w:r>
      <w:r w:rsidRPr="006643EC">
        <w:t>6 %), а изпълнението на таксата за ползване на детски градини е 100</w:t>
      </w:r>
      <w:r>
        <w:t>,</w:t>
      </w:r>
      <w:r w:rsidRPr="006643EC">
        <w:t>8 %. С висок процент на изпълнение – над 90, са: таксата за административни услуги (96</w:t>
      </w:r>
      <w:r>
        <w:t>,</w:t>
      </w:r>
      <w:r w:rsidRPr="006643EC">
        <w:t>0 %), таксата за ползване на пазари, тържища, тротоари, площади, улични платна, панаири и те</w:t>
      </w:r>
      <w:r>
        <w:t>рени с друго предназначение (95,</w:t>
      </w:r>
      <w:r w:rsidRPr="006643EC">
        <w:t>9 %) и таксата за битови отпадъци. При таксата за откупуване на гробни места и другите общински такси изпълнението е между 80 и 90 %. При останалите общински такси изпълнението спрямо разчетите е още по-ниско, като от таксите с по-голям принос за общинския бюджет тук попада тази за технически услуги с изпълнение от 56</w:t>
      </w:r>
      <w:r>
        <w:t>,</w:t>
      </w:r>
      <w:r w:rsidRPr="006643EC">
        <w:t>4 %. При повечето общински такси има увеличение на постъпленията между 1</w:t>
      </w:r>
      <w:r>
        <w:t>,</w:t>
      </w:r>
      <w:r w:rsidRPr="006643EC">
        <w:t>4 и 9</w:t>
      </w:r>
      <w:r>
        <w:t>,</w:t>
      </w:r>
      <w:r w:rsidRPr="006643EC">
        <w:t>5 % в сравнение с приходите през 2012 г., като при другите общински такси постъпилите суми са почти същите като предходната година (98</w:t>
      </w:r>
      <w:r>
        <w:t>,</w:t>
      </w:r>
      <w:r w:rsidRPr="006643EC">
        <w:t>8 %) и само при таксата за технически услуги изпълнението е 82</w:t>
      </w:r>
      <w:r>
        <w:t>,</w:t>
      </w:r>
      <w:r w:rsidRPr="006643EC">
        <w:t xml:space="preserve">7 % от миналогодишното. </w:t>
      </w:r>
    </w:p>
    <w:p w:rsidR="000938C1" w:rsidRPr="006643EC" w:rsidRDefault="000938C1" w:rsidP="006643EC">
      <w:pPr>
        <w:widowControl w:val="0"/>
        <w:ind w:firstLine="720"/>
        <w:jc w:val="both"/>
        <w:rPr>
          <w:color w:val="0070C0"/>
        </w:rPr>
      </w:pPr>
      <w:r w:rsidRPr="006643EC">
        <w:t xml:space="preserve">Приходите и доходите от общинска собственост са с относителен дял </w:t>
      </w:r>
      <w:r w:rsidRPr="006643EC">
        <w:rPr>
          <w:lang w:val="ru-RU"/>
        </w:rPr>
        <w:t>20</w:t>
      </w:r>
      <w:r>
        <w:rPr>
          <w:lang w:val="ru-RU"/>
        </w:rPr>
        <w:t>,</w:t>
      </w:r>
      <w:r w:rsidRPr="006643EC">
        <w:t>3 % от неданъчните приходи и възлизат на 217</w:t>
      </w:r>
      <w:r>
        <w:t>,</w:t>
      </w:r>
      <w:r w:rsidRPr="006643EC">
        <w:t>2 млн. лв., което представлява 107</w:t>
      </w:r>
      <w:r>
        <w:t>,</w:t>
      </w:r>
      <w:r w:rsidRPr="006643EC">
        <w:t>1 % спрямо събраните за предходната 2012 г. и 111</w:t>
      </w:r>
      <w:r>
        <w:t>,</w:t>
      </w:r>
      <w:r w:rsidRPr="006643EC">
        <w:t>9 % от разчета за 2013 г. Сред тази група приходи най-добро изпълнение се отчита при наемите от земя – 52</w:t>
      </w:r>
      <w:r>
        <w:t>,</w:t>
      </w:r>
      <w:r w:rsidRPr="006643EC">
        <w:t>0 % повече от годишния разчет и 26</w:t>
      </w:r>
      <w:r>
        <w:t>,</w:t>
      </w:r>
      <w:r w:rsidRPr="006643EC">
        <w:t>7 % нарастване спрямо предходната година, и нетните приходи от продажба на услуги, стоки и продукция – 38</w:t>
      </w:r>
      <w:r>
        <w:t>,</w:t>
      </w:r>
      <w:r w:rsidRPr="006643EC">
        <w:t>4 % повече от годишните разчети и 6</w:t>
      </w:r>
      <w:r>
        <w:t>,</w:t>
      </w:r>
      <w:r w:rsidRPr="006643EC">
        <w:t>9 % увеличение спрямо предходната година. Добро е изпълнението спрямо 2012 г. и на приходите от наеми на имущество, вноските от приходи на държавни (общински) предприятия и институции и приходите от лихви. По-слабо изпълнение както спрямо предишната година, така и спрямо разчетите, се наблюдава при приходите от дивиденти.</w:t>
      </w:r>
    </w:p>
    <w:p w:rsidR="000938C1" w:rsidRPr="006643EC" w:rsidRDefault="000938C1" w:rsidP="006643EC">
      <w:pPr>
        <w:ind w:firstLine="720"/>
        <w:jc w:val="both"/>
        <w:rPr>
          <w:color w:val="0070C0"/>
        </w:rPr>
      </w:pPr>
      <w:r w:rsidRPr="006643EC">
        <w:t>От групата на неданъчните приходи с най-добро изпълнение се открояват приходите от глоби, санкции и наказателни лихви, които са в размер на 52</w:t>
      </w:r>
      <w:r>
        <w:t>,</w:t>
      </w:r>
      <w:r w:rsidRPr="006643EC">
        <w:t xml:space="preserve">9 млн. лв. при разчет по КФП за 2013 г. </w:t>
      </w:r>
      <w:r>
        <w:t>–</w:t>
      </w:r>
      <w:r w:rsidRPr="006643EC">
        <w:t xml:space="preserve"> 31</w:t>
      </w:r>
      <w:r>
        <w:t>,</w:t>
      </w:r>
      <w:r w:rsidRPr="006643EC">
        <w:t>4 млн. лв. и с 13</w:t>
      </w:r>
      <w:r>
        <w:t>,</w:t>
      </w:r>
      <w:r w:rsidRPr="006643EC">
        <w:t>0 % повече спрямо 2012 г.  Преизпълнението на този приход е свързано с дадените правомощия на служителите на общинската администрация на публични изпълнители в производствата по обезпечаване на задължения по Закона за местните данъци и такси (ЗМДТ) и с предприетите мерки за повишаване на събираемостта на общинските приходи.</w:t>
      </w:r>
    </w:p>
    <w:p w:rsidR="000938C1" w:rsidRPr="006643EC" w:rsidRDefault="000938C1" w:rsidP="006643EC">
      <w:pPr>
        <w:ind w:firstLine="720"/>
        <w:jc w:val="both"/>
      </w:pPr>
      <w:r w:rsidRPr="006643EC">
        <w:t>Добро е изпълнението на постъпленията от продажба на нефинансови активи – 100</w:t>
      </w:r>
      <w:r>
        <w:t>,</w:t>
      </w:r>
      <w:r>
        <w:rPr>
          <w:lang w:val="en-US"/>
        </w:rPr>
        <w:t>7</w:t>
      </w:r>
      <w:r w:rsidRPr="006643EC">
        <w:t xml:space="preserve"> % или 113</w:t>
      </w:r>
      <w:r>
        <w:t>,</w:t>
      </w:r>
      <w:r>
        <w:rPr>
          <w:lang w:val="en-US"/>
        </w:rPr>
        <w:t>0</w:t>
      </w:r>
      <w:r w:rsidRPr="006643EC">
        <w:t xml:space="preserve"> млн. лв. при планиран разчет за годината 112</w:t>
      </w:r>
      <w:r>
        <w:t>,</w:t>
      </w:r>
      <w:r w:rsidRPr="006643EC">
        <w:t>3 млн. лв. и 120</w:t>
      </w:r>
      <w:r>
        <w:t>,</w:t>
      </w:r>
      <w:r>
        <w:rPr>
          <w:lang w:val="en-US"/>
        </w:rPr>
        <w:t>7</w:t>
      </w:r>
      <w:r w:rsidRPr="006643EC">
        <w:t xml:space="preserve"> % спрямо изпълнението на този приход през предходната 2012 г. Основна причина за това е много доброто ниво на постъпленията от продажба на земя </w:t>
      </w:r>
      <w:r>
        <w:t>–</w:t>
      </w:r>
      <w:r w:rsidRPr="006643EC">
        <w:t xml:space="preserve"> 89</w:t>
      </w:r>
      <w:r>
        <w:t>,</w:t>
      </w:r>
      <w:r>
        <w:rPr>
          <w:lang w:val="en-US"/>
        </w:rPr>
        <w:t>1</w:t>
      </w:r>
      <w:r w:rsidRPr="006643EC">
        <w:t xml:space="preserve"> млн. лв. при годишен разчет 74</w:t>
      </w:r>
      <w:r>
        <w:t>,</w:t>
      </w:r>
      <w:r w:rsidRPr="006643EC">
        <w:t>2 млн. лв. и 64</w:t>
      </w:r>
      <w:r>
        <w:t>,</w:t>
      </w:r>
      <w:r w:rsidRPr="006643EC">
        <w:t xml:space="preserve">7 млн. лв.  размер на миналогодишните приходи. </w:t>
      </w:r>
    </w:p>
    <w:p w:rsidR="000938C1" w:rsidRPr="006643EC" w:rsidRDefault="000938C1" w:rsidP="006643EC">
      <w:pPr>
        <w:ind w:firstLine="720"/>
        <w:jc w:val="both"/>
      </w:pPr>
      <w:r w:rsidRPr="006643EC">
        <w:t>При приходите от концесии (37</w:t>
      </w:r>
      <w:r>
        <w:t>,</w:t>
      </w:r>
      <w:r w:rsidRPr="006643EC">
        <w:t>9 млн. лв.) се отчита неизпълнение на годишния разчет с 5</w:t>
      </w:r>
      <w:r>
        <w:t>,</w:t>
      </w:r>
      <w:r w:rsidRPr="006643EC">
        <w:t>9 %, като постъпилите средства са по-малко с 13</w:t>
      </w:r>
      <w:r>
        <w:t>,</w:t>
      </w:r>
      <w:r w:rsidRPr="006643EC">
        <w:t xml:space="preserve">7 % и от сумата за 2012 г. Това се дължи основно на ликвидни проблеми, свързани с изпълнение на задълженията по сключени концесионни договори за държавни концесии за добив на подземни богатства, за които част от концесионните плащания се превеждат по бюджетите на общините, както и на прекратяване на концесионни договори за общински концесии за предоставяне на услуги. </w:t>
      </w:r>
    </w:p>
    <w:p w:rsidR="000938C1" w:rsidRPr="006643EC" w:rsidRDefault="000938C1" w:rsidP="006643EC">
      <w:pPr>
        <w:widowControl w:val="0"/>
        <w:spacing w:after="120"/>
        <w:ind w:firstLine="720"/>
        <w:jc w:val="both"/>
      </w:pPr>
      <w:r w:rsidRPr="006643EC">
        <w:t>Значителен ръст се отчита при помощите, даренията и други безвъзмездно получени суми</w:t>
      </w:r>
      <w:r>
        <w:t xml:space="preserve"> </w:t>
      </w:r>
      <w:r w:rsidRPr="006643EC">
        <w:t>от общините през 2013 г., като те възлизат на 45</w:t>
      </w:r>
      <w:r>
        <w:t>,</w:t>
      </w:r>
      <w:r w:rsidRPr="006643EC">
        <w:t>1 млн. лв., което е 159</w:t>
      </w:r>
      <w:r>
        <w:t>,</w:t>
      </w:r>
      <w:r w:rsidRPr="006643EC">
        <w:t>0 % от годишния разчет по КФП за 2013 г. и 141</w:t>
      </w:r>
      <w:r>
        <w:t>,</w:t>
      </w:r>
      <w:r w:rsidRPr="006643EC">
        <w:t xml:space="preserve">2 % спрямо предходната 2012 г. Увеличението е свързано най-вече с получени средства от общини-бенефициенти по </w:t>
      </w:r>
      <w:r>
        <w:t>п</w:t>
      </w:r>
      <w:r w:rsidRPr="006643EC">
        <w:t>рограмите за трансгранично сътрудничество.</w:t>
      </w:r>
    </w:p>
    <w:p w:rsidR="000938C1" w:rsidRPr="006643EC" w:rsidRDefault="000938C1" w:rsidP="006643EC">
      <w:pPr>
        <w:widowControl w:val="0"/>
        <w:spacing w:after="120"/>
        <w:ind w:firstLine="720"/>
        <w:jc w:val="both"/>
      </w:pPr>
      <w:r w:rsidRPr="0019198F">
        <w:t>Извършените разходи по общинските бюджети през 2013 г. са в размер на 4 453,</w:t>
      </w:r>
      <w:r>
        <w:rPr>
          <w:lang w:val="en-US"/>
        </w:rPr>
        <w:t>6</w:t>
      </w:r>
      <w:r w:rsidRPr="0019198F">
        <w:t xml:space="preserve"> млн. лв. или 107,6 % спрямо разчетите към ЗИД на ЗДБРБ за 2013 г. В сравнение с 2012 г. разходите нарастват с 337,</w:t>
      </w:r>
      <w:r>
        <w:rPr>
          <w:lang w:val="en-US"/>
        </w:rPr>
        <w:t>0</w:t>
      </w:r>
      <w:r w:rsidRPr="0019198F">
        <w:t xml:space="preserve"> млн. лв. В структурата на разходите се наблюдава леко</w:t>
      </w:r>
      <w:r w:rsidRPr="006643EC">
        <w:t xml:space="preserve"> намаление на дела на текущите разходи от 87</w:t>
      </w:r>
      <w:r>
        <w:t>,</w:t>
      </w:r>
      <w:r w:rsidRPr="006643EC">
        <w:t>4 % през 2012 г. на 86</w:t>
      </w:r>
      <w:r>
        <w:t>,</w:t>
      </w:r>
      <w:r w:rsidRPr="006643EC">
        <w:t>6 % през 2013 г. за сметка на увеличаване на дела на капиталовите разходи от 12</w:t>
      </w:r>
      <w:r>
        <w:t>,</w:t>
      </w:r>
      <w:r w:rsidRPr="006643EC">
        <w:t>6 % съответно на 13</w:t>
      </w:r>
      <w:r>
        <w:t>,</w:t>
      </w:r>
      <w:r w:rsidRPr="006643EC">
        <w:t xml:space="preserve">4 % от общия обем на разходите. От общия обем на разходите отчетените суми за държавни дейности са в размер на </w:t>
      </w:r>
      <w:r w:rsidRPr="006643EC">
        <w:rPr>
          <w:lang w:val="ru-RU"/>
        </w:rPr>
        <w:t>2</w:t>
      </w:r>
      <w:r>
        <w:t> </w:t>
      </w:r>
      <w:r w:rsidRPr="006643EC">
        <w:t>252</w:t>
      </w:r>
      <w:r>
        <w:t>,</w:t>
      </w:r>
      <w:r w:rsidRPr="006643EC">
        <w:rPr>
          <w:lang w:val="ru-RU"/>
        </w:rPr>
        <w:t>2</w:t>
      </w:r>
      <w:r w:rsidRPr="006643EC">
        <w:t xml:space="preserve"> млн. лв., за местни дейности – 2</w:t>
      </w:r>
      <w:r>
        <w:t> </w:t>
      </w:r>
      <w:r w:rsidRPr="006643EC">
        <w:t>08</w:t>
      </w:r>
      <w:r>
        <w:rPr>
          <w:lang w:val="en-US"/>
        </w:rPr>
        <w:t>8</w:t>
      </w:r>
      <w:r>
        <w:t>,</w:t>
      </w:r>
      <w:r>
        <w:rPr>
          <w:lang w:val="en-US"/>
        </w:rPr>
        <w:t>8</w:t>
      </w:r>
      <w:r w:rsidRPr="006643EC">
        <w:t xml:space="preserve"> млн. лв. и </w:t>
      </w:r>
      <w:r w:rsidRPr="006643EC">
        <w:rPr>
          <w:lang w:val="ru-RU"/>
        </w:rPr>
        <w:t>112</w:t>
      </w:r>
      <w:r>
        <w:rPr>
          <w:lang w:val="ru-RU"/>
        </w:rPr>
        <w:t>,</w:t>
      </w:r>
      <w:r w:rsidRPr="006643EC">
        <w:t>6 млн. лв. са за дофинансиране на разходите в делегираните от държавата дейности с местни приходи.</w:t>
      </w:r>
    </w:p>
    <w:p w:rsidR="000938C1" w:rsidRPr="006643EC" w:rsidRDefault="000938C1" w:rsidP="006643EC">
      <w:pPr>
        <w:widowControl w:val="0"/>
        <w:spacing w:after="120"/>
        <w:ind w:firstLine="720"/>
        <w:jc w:val="both"/>
        <w:rPr>
          <w:color w:val="0070C0"/>
        </w:rPr>
      </w:pPr>
      <w:r w:rsidRPr="006643EC">
        <w:t>Текущите разходи са в размер на 3</w:t>
      </w:r>
      <w:r>
        <w:t> </w:t>
      </w:r>
      <w:r w:rsidRPr="006643EC">
        <w:t>857</w:t>
      </w:r>
      <w:r>
        <w:t>,</w:t>
      </w:r>
      <w:r>
        <w:rPr>
          <w:lang w:val="en-US"/>
        </w:rPr>
        <w:t>1</w:t>
      </w:r>
      <w:r w:rsidRPr="006643EC">
        <w:t xml:space="preserve"> млн. лв., като спрямо разчета по закон изпълнението им е 111</w:t>
      </w:r>
      <w:r>
        <w:t>,</w:t>
      </w:r>
      <w:r w:rsidRPr="006643EC">
        <w:t>3 %, в т.ч. 2</w:t>
      </w:r>
      <w:r>
        <w:t> </w:t>
      </w:r>
      <w:r w:rsidRPr="006643EC">
        <w:t>173</w:t>
      </w:r>
      <w:r>
        <w:t>,</w:t>
      </w:r>
      <w:r w:rsidRPr="006643EC">
        <w:t>6 млн. лв. за държавните дейности, 1</w:t>
      </w:r>
      <w:r>
        <w:t> </w:t>
      </w:r>
      <w:r w:rsidRPr="006643EC">
        <w:t>587</w:t>
      </w:r>
      <w:r>
        <w:t>,</w:t>
      </w:r>
      <w:r w:rsidRPr="006643EC">
        <w:t>5 млн. лв. – за местните дейности и 9</w:t>
      </w:r>
      <w:r w:rsidRPr="006643EC">
        <w:rPr>
          <w:lang w:val="ru-RU"/>
        </w:rPr>
        <w:t>6</w:t>
      </w:r>
      <w:r>
        <w:rPr>
          <w:lang w:val="ru-RU"/>
        </w:rPr>
        <w:t>,</w:t>
      </w:r>
      <w:r w:rsidRPr="006643EC">
        <w:t>2 млн. лв. за дофинансиране. Спрямо предходната година текущите разходи са нараснали с 258</w:t>
      </w:r>
      <w:r>
        <w:t>,</w:t>
      </w:r>
      <w:r>
        <w:rPr>
          <w:lang w:val="en-US"/>
        </w:rPr>
        <w:t>7</w:t>
      </w:r>
      <w:r w:rsidRPr="006643EC">
        <w:t xml:space="preserve"> млн. лв. или 7</w:t>
      </w:r>
      <w:r>
        <w:t>,</w:t>
      </w:r>
      <w:r w:rsidRPr="006643EC">
        <w:t>2 %, а спрямо разчетените по закон средства има преизпълнение с 392</w:t>
      </w:r>
      <w:r>
        <w:t>,</w:t>
      </w:r>
      <w:r>
        <w:rPr>
          <w:lang w:val="en-US"/>
        </w:rPr>
        <w:t>3</w:t>
      </w:r>
      <w:r w:rsidRPr="006643EC">
        <w:t xml:space="preserve"> млн. лв. или 11</w:t>
      </w:r>
      <w:r>
        <w:t>,</w:t>
      </w:r>
      <w:r w:rsidRPr="006643EC">
        <w:t>3 %.</w:t>
      </w:r>
    </w:p>
    <w:p w:rsidR="000938C1" w:rsidRPr="006643EC" w:rsidRDefault="000938C1" w:rsidP="006643EC">
      <w:pPr>
        <w:widowControl w:val="0"/>
        <w:spacing w:after="120"/>
        <w:ind w:firstLine="720"/>
        <w:jc w:val="both"/>
      </w:pPr>
      <w:r w:rsidRPr="006643EC">
        <w:t>В структурата на текущите нелихвени разходи с най-голям относителен дял са тези за заплати и други възнаграждения и плащания – 43</w:t>
      </w:r>
      <w:r>
        <w:t>,</w:t>
      </w:r>
      <w:r w:rsidRPr="006643EC">
        <w:t>0 % (1</w:t>
      </w:r>
      <w:r>
        <w:t> </w:t>
      </w:r>
      <w:r w:rsidRPr="006643EC">
        <w:t>642</w:t>
      </w:r>
      <w:r>
        <w:t>,</w:t>
      </w:r>
      <w:r w:rsidRPr="006643EC">
        <w:t>1 млн. лв.), за издръжка – 40</w:t>
      </w:r>
      <w:r>
        <w:t>,</w:t>
      </w:r>
      <w:r w:rsidRPr="006643EC">
        <w:t>9 % (1</w:t>
      </w:r>
      <w:r>
        <w:t> </w:t>
      </w:r>
      <w:r w:rsidRPr="006643EC">
        <w:t>56</w:t>
      </w:r>
      <w:r>
        <w:rPr>
          <w:lang w:val="en-US"/>
        </w:rPr>
        <w:t>2</w:t>
      </w:r>
      <w:r>
        <w:t>,</w:t>
      </w:r>
      <w:r>
        <w:rPr>
          <w:lang w:val="en-US"/>
        </w:rPr>
        <w:t>7</w:t>
      </w:r>
      <w:r w:rsidRPr="006643EC">
        <w:t xml:space="preserve"> млн. лв.), следвани от разходите за осигурителни вноски – 8</w:t>
      </w:r>
      <w:r>
        <w:t>,</w:t>
      </w:r>
      <w:r w:rsidRPr="006643EC">
        <w:t>4 % (322</w:t>
      </w:r>
      <w:r>
        <w:t>,</w:t>
      </w:r>
      <w:r w:rsidRPr="006643EC">
        <w:t>7 млн. лв.), текущите трансфери, обезщетения и помощи за домакинствата – 4</w:t>
      </w:r>
      <w:r>
        <w:t>,</w:t>
      </w:r>
      <w:r w:rsidRPr="006643EC">
        <w:t>0 % (151</w:t>
      </w:r>
      <w:r>
        <w:t>,</w:t>
      </w:r>
      <w:r w:rsidRPr="006643EC">
        <w:t>1 млн. лв.) и разходи за субсидии – 3</w:t>
      </w:r>
      <w:r>
        <w:t>,</w:t>
      </w:r>
      <w:r w:rsidRPr="006643EC">
        <w:t>4 % (129</w:t>
      </w:r>
      <w:r>
        <w:t>,</w:t>
      </w:r>
      <w:r w:rsidRPr="006643EC">
        <w:t>8 млн. лв.). С най-висок процент на изпълнение спрямо разчетите към ЗИД на ЗДБРБ за 2013 г. са: разходите за субсидии – 229</w:t>
      </w:r>
      <w:r>
        <w:t>,</w:t>
      </w:r>
      <w:r w:rsidRPr="006643EC">
        <w:t>1 %, следвани от разходите за стипендии – 142</w:t>
      </w:r>
      <w:r>
        <w:t>,</w:t>
      </w:r>
      <w:r w:rsidRPr="006643EC">
        <w:t>1 %, текущите трансфери, обезщетения и помощи за домакинствата – 118</w:t>
      </w:r>
      <w:r>
        <w:t>,</w:t>
      </w:r>
      <w:r w:rsidRPr="006643EC">
        <w:t>1 %, разходите за заплати и други възнаграждения и плащания на персонала – 112</w:t>
      </w:r>
      <w:r>
        <w:t>,</w:t>
      </w:r>
      <w:r w:rsidRPr="006643EC">
        <w:t>5 %, разходите за осигурителни вноски – 108</w:t>
      </w:r>
      <w:r>
        <w:t>,</w:t>
      </w:r>
      <w:r w:rsidRPr="006643EC">
        <w:t>4 % и разходите за издръжка – със 105</w:t>
      </w:r>
      <w:r>
        <w:t>,</w:t>
      </w:r>
      <w:r w:rsidRPr="006643EC">
        <w:t xml:space="preserve">5 %. Високият процент на изпълнение на субсидиите се дължи на предоставените допълнителни средства на общините от централния бюджет за вътрешноградски и междуселищни превози. </w:t>
      </w:r>
    </w:p>
    <w:p w:rsidR="000938C1" w:rsidRPr="006643EC" w:rsidRDefault="000938C1" w:rsidP="006643EC">
      <w:pPr>
        <w:widowControl w:val="0"/>
        <w:spacing w:after="120"/>
        <w:ind w:firstLine="720"/>
        <w:jc w:val="both"/>
      </w:pPr>
      <w:r w:rsidRPr="006643EC">
        <w:t>В разходите за издръжка най-много са средствата, платени за външни услуги – 669</w:t>
      </w:r>
      <w:r>
        <w:t>,</w:t>
      </w:r>
      <w:r>
        <w:rPr>
          <w:lang w:val="en-US"/>
        </w:rPr>
        <w:t>7</w:t>
      </w:r>
      <w:r w:rsidRPr="006643EC">
        <w:t xml:space="preserve"> млн. лв. (42</w:t>
      </w:r>
      <w:r>
        <w:t>,</w:t>
      </w:r>
      <w:r w:rsidRPr="006643EC">
        <w:t>9 %), следват средствата за материали, горива и енергия – 440</w:t>
      </w:r>
      <w:r>
        <w:t>,</w:t>
      </w:r>
      <w:r w:rsidRPr="006643EC">
        <w:t>1 млн. лв. (28</w:t>
      </w:r>
      <w:r>
        <w:t>,</w:t>
      </w:r>
      <w:r w:rsidRPr="006643EC">
        <w:t>2 %), за текущ ремонт – 174</w:t>
      </w:r>
      <w:r>
        <w:t>,</w:t>
      </w:r>
      <w:r>
        <w:rPr>
          <w:lang w:val="en-US"/>
        </w:rPr>
        <w:t>7</w:t>
      </w:r>
      <w:r w:rsidRPr="006643EC">
        <w:t xml:space="preserve"> млн. лв. (11</w:t>
      </w:r>
      <w:r>
        <w:t>,</w:t>
      </w:r>
      <w:r w:rsidRPr="006643EC">
        <w:t>2 %), храна – 152</w:t>
      </w:r>
      <w:r>
        <w:t>,</w:t>
      </w:r>
      <w:r w:rsidRPr="006643EC">
        <w:t>5 млн. лв. (9</w:t>
      </w:r>
      <w:r>
        <w:t>,</w:t>
      </w:r>
      <w:r w:rsidRPr="006643EC">
        <w:t>8 %) и др</w:t>
      </w:r>
      <w:r>
        <w:t>уги</w:t>
      </w:r>
      <w:r w:rsidRPr="006643EC">
        <w:t>.</w:t>
      </w:r>
    </w:p>
    <w:p w:rsidR="000938C1" w:rsidRPr="006643EC" w:rsidRDefault="000938C1" w:rsidP="006643EC">
      <w:pPr>
        <w:widowControl w:val="0"/>
        <w:spacing w:after="120"/>
        <w:ind w:firstLine="720"/>
        <w:jc w:val="both"/>
      </w:pPr>
      <w:r w:rsidRPr="006643EC">
        <w:t>Разходите за лихви възлизат на 35</w:t>
      </w:r>
      <w:r>
        <w:t>,</w:t>
      </w:r>
      <w:r w:rsidRPr="006643EC">
        <w:t>6 млн. лв. и превишават с 5</w:t>
      </w:r>
      <w:r>
        <w:t>,</w:t>
      </w:r>
      <w:r w:rsidRPr="006643EC">
        <w:t>5 % разчетените по закон. От тях за лихви по външни заеми са платени 14</w:t>
      </w:r>
      <w:r>
        <w:t>,</w:t>
      </w:r>
      <w:r w:rsidRPr="006643EC">
        <w:t>9 млн. лв., а по вътрешни – 20</w:t>
      </w:r>
      <w:r>
        <w:t>,</w:t>
      </w:r>
      <w:r w:rsidRPr="006643EC">
        <w:t>7 млн. л</w:t>
      </w:r>
      <w:r>
        <w:t>е</w:t>
      </w:r>
      <w:r w:rsidRPr="006643EC">
        <w:t>в</w:t>
      </w:r>
      <w:r>
        <w:t>а</w:t>
      </w:r>
      <w:r w:rsidRPr="006643EC">
        <w:t>.</w:t>
      </w:r>
    </w:p>
    <w:p w:rsidR="000938C1" w:rsidRPr="006643EC" w:rsidRDefault="000938C1" w:rsidP="006643EC">
      <w:pPr>
        <w:widowControl w:val="0"/>
        <w:spacing w:after="120"/>
        <w:ind w:firstLine="720"/>
        <w:jc w:val="both"/>
      </w:pPr>
      <w:r w:rsidRPr="006643EC">
        <w:t>Отчетените от общините за 2012 г. капиталови разходи са в размер на 596</w:t>
      </w:r>
      <w:r>
        <w:t>,</w:t>
      </w:r>
      <w:r w:rsidRPr="006643EC">
        <w:t>6 млн. лв., което представлява 88</w:t>
      </w:r>
      <w:r>
        <w:t>,</w:t>
      </w:r>
      <w:r>
        <w:rPr>
          <w:lang w:val="en-US"/>
        </w:rPr>
        <w:t>2</w:t>
      </w:r>
      <w:r w:rsidRPr="006643EC">
        <w:t xml:space="preserve"> на сто от годишния разчет за 2013 г., но спрямо  отчетените суми през 2012 г. се отчита 15</w:t>
      </w:r>
      <w:r>
        <w:t>,</w:t>
      </w:r>
      <w:r w:rsidRPr="006643EC">
        <w:t>1 % повишение.  Запазва се тенденцията най-голяма част от капиталовите разходи – 56</w:t>
      </w:r>
      <w:r>
        <w:t>,</w:t>
      </w:r>
      <w:r w:rsidRPr="006643EC">
        <w:t>2 %, да са насочени към придобиване на МДА, следвани от разходите за основен ремонт – 39</w:t>
      </w:r>
      <w:r>
        <w:t>,</w:t>
      </w:r>
      <w:r w:rsidRPr="006643EC">
        <w:t>8 %, придобиването на НДА – 2</w:t>
      </w:r>
      <w:r>
        <w:t>,</w:t>
      </w:r>
      <w:r w:rsidRPr="006643EC">
        <w:t>0 % и др</w:t>
      </w:r>
      <w:r>
        <w:t>уги</w:t>
      </w:r>
      <w:r w:rsidRPr="006643EC">
        <w:t xml:space="preserve">. </w:t>
      </w:r>
    </w:p>
    <w:p w:rsidR="000938C1" w:rsidRPr="006643EC" w:rsidRDefault="000938C1" w:rsidP="006643EC">
      <w:pPr>
        <w:widowControl w:val="0"/>
        <w:spacing w:after="120"/>
        <w:ind w:firstLine="720"/>
        <w:jc w:val="both"/>
      </w:pPr>
      <w:r w:rsidRPr="006643EC">
        <w:t>От извършените през 2013 г. от общините капиталови разходи 501</w:t>
      </w:r>
      <w:r>
        <w:t>,</w:t>
      </w:r>
      <w:r w:rsidRPr="006643EC">
        <w:t>6 млн. лв. или 84</w:t>
      </w:r>
      <w:r>
        <w:t>,</w:t>
      </w:r>
      <w:r w:rsidRPr="006643EC">
        <w:t>1 % са за местни дейности. Останалите 95</w:t>
      </w:r>
      <w:r>
        <w:t>,</w:t>
      </w:r>
      <w:r w:rsidRPr="006643EC">
        <w:t>0 млн. лв. или 15</w:t>
      </w:r>
      <w:r>
        <w:t>,</w:t>
      </w:r>
      <w:r w:rsidRPr="006643EC">
        <w:t>9 % са за делегирани от държавата дейности, като 16</w:t>
      </w:r>
      <w:r>
        <w:t>,</w:t>
      </w:r>
      <w:r w:rsidRPr="006643EC">
        <w:t>4 млн. лв. от тях са финансирани със собствени бюджетни приходи на общините.</w:t>
      </w:r>
    </w:p>
    <w:p w:rsidR="000938C1" w:rsidRPr="006643EC" w:rsidRDefault="000938C1" w:rsidP="006643EC">
      <w:pPr>
        <w:widowControl w:val="0"/>
        <w:spacing w:after="120"/>
        <w:ind w:firstLine="720"/>
        <w:jc w:val="both"/>
      </w:pPr>
      <w:r w:rsidRPr="006643EC">
        <w:t>Бюджетните взаимоотношения на общините с ЦБ за годината възлизат на 2</w:t>
      </w:r>
      <w:r>
        <w:t> </w:t>
      </w:r>
      <w:r w:rsidRPr="006643EC">
        <w:t>594</w:t>
      </w:r>
      <w:r>
        <w:t>,</w:t>
      </w:r>
      <w:r w:rsidRPr="006643EC">
        <w:t>5 млн. лв., в т.ч.:</w:t>
      </w:r>
    </w:p>
    <w:p w:rsidR="000938C1" w:rsidRPr="006643EC" w:rsidRDefault="000938C1" w:rsidP="006643EC">
      <w:pPr>
        <w:widowControl w:val="0"/>
        <w:spacing w:after="120"/>
        <w:ind w:firstLine="720"/>
        <w:jc w:val="both"/>
      </w:pPr>
      <w:r w:rsidRPr="006643EC">
        <w:t>•</w:t>
      </w:r>
      <w:r w:rsidRPr="006643EC">
        <w:tab/>
        <w:t>обща субсидия за делегирани от държавата дейности – 2</w:t>
      </w:r>
      <w:r>
        <w:t> </w:t>
      </w:r>
      <w:r w:rsidRPr="006643EC">
        <w:t>006</w:t>
      </w:r>
      <w:r>
        <w:t>,</w:t>
      </w:r>
      <w:r w:rsidRPr="006643EC">
        <w:rPr>
          <w:lang w:val="ru-RU"/>
        </w:rPr>
        <w:t>5</w:t>
      </w:r>
      <w:r w:rsidRPr="006643EC">
        <w:t xml:space="preserve"> млн. л</w:t>
      </w:r>
      <w:r>
        <w:t>е</w:t>
      </w:r>
      <w:r w:rsidRPr="006643EC">
        <w:t>в</w:t>
      </w:r>
      <w:r>
        <w:t>а</w:t>
      </w:r>
      <w:r w:rsidRPr="006643EC">
        <w:t>.</w:t>
      </w:r>
    </w:p>
    <w:p w:rsidR="000938C1" w:rsidRPr="006643EC" w:rsidRDefault="000938C1" w:rsidP="006643EC">
      <w:pPr>
        <w:widowControl w:val="0"/>
        <w:spacing w:after="120"/>
        <w:ind w:firstLine="720"/>
        <w:jc w:val="both"/>
      </w:pPr>
      <w:r w:rsidRPr="006643EC">
        <w:t>•</w:t>
      </w:r>
      <w:r w:rsidRPr="006643EC">
        <w:tab/>
        <w:t>общо трансфери за местни дейности – 259</w:t>
      </w:r>
      <w:r>
        <w:t>,</w:t>
      </w:r>
      <w:r w:rsidRPr="006643EC">
        <w:t>6 млн. л</w:t>
      </w:r>
      <w:r>
        <w:t>е</w:t>
      </w:r>
      <w:r w:rsidRPr="006643EC">
        <w:t>в</w:t>
      </w:r>
      <w:r>
        <w:t>а</w:t>
      </w:r>
      <w:r w:rsidRPr="006643EC">
        <w:t>.</w:t>
      </w:r>
    </w:p>
    <w:p w:rsidR="000938C1" w:rsidRPr="006643EC" w:rsidRDefault="000938C1" w:rsidP="006643EC">
      <w:pPr>
        <w:widowControl w:val="0"/>
        <w:spacing w:after="120"/>
        <w:ind w:firstLine="720"/>
        <w:jc w:val="both"/>
      </w:pPr>
      <w:r w:rsidRPr="006643EC">
        <w:t>•</w:t>
      </w:r>
      <w:r w:rsidRPr="006643EC">
        <w:tab/>
        <w:t>целева субсидия за капиталови разходи – 171</w:t>
      </w:r>
      <w:r>
        <w:t>,</w:t>
      </w:r>
      <w:r w:rsidRPr="006643EC">
        <w:rPr>
          <w:lang w:val="ru-RU"/>
        </w:rPr>
        <w:t>8</w:t>
      </w:r>
      <w:r w:rsidRPr="006643EC">
        <w:t xml:space="preserve"> млн. л</w:t>
      </w:r>
      <w:r>
        <w:t>е</w:t>
      </w:r>
      <w:r w:rsidRPr="006643EC">
        <w:t>в</w:t>
      </w:r>
      <w:r>
        <w:t>а</w:t>
      </w:r>
      <w:r w:rsidRPr="006643EC">
        <w:t xml:space="preserve">. </w:t>
      </w:r>
    </w:p>
    <w:p w:rsidR="000938C1" w:rsidRPr="006643EC" w:rsidRDefault="000938C1" w:rsidP="006643EC">
      <w:pPr>
        <w:widowControl w:val="0"/>
        <w:spacing w:after="120"/>
        <w:jc w:val="both"/>
      </w:pPr>
      <w:r w:rsidRPr="006643EC">
        <w:tab/>
        <w:t>•</w:t>
      </w:r>
      <w:r w:rsidRPr="006643EC">
        <w:tab/>
        <w:t>други целеви трансфери от ЦБ – 160</w:t>
      </w:r>
      <w:r>
        <w:t>,</w:t>
      </w:r>
      <w:r w:rsidRPr="006643EC">
        <w:rPr>
          <w:lang w:val="ru-RU"/>
        </w:rPr>
        <w:t>1</w:t>
      </w:r>
      <w:r w:rsidRPr="006643EC">
        <w:t xml:space="preserve"> млн. л</w:t>
      </w:r>
      <w:r>
        <w:t>е</w:t>
      </w:r>
      <w:r w:rsidRPr="006643EC">
        <w:t>в</w:t>
      </w:r>
      <w:r>
        <w:t>а</w:t>
      </w:r>
      <w:r w:rsidRPr="006643EC">
        <w:t>.</w:t>
      </w:r>
    </w:p>
    <w:p w:rsidR="000938C1" w:rsidRPr="006643EC" w:rsidRDefault="000938C1" w:rsidP="006643EC">
      <w:pPr>
        <w:widowControl w:val="0"/>
        <w:spacing w:after="120"/>
        <w:ind w:firstLine="720"/>
        <w:jc w:val="both"/>
      </w:pPr>
      <w:r w:rsidRPr="006643EC">
        <w:t>•</w:t>
      </w:r>
      <w:r w:rsidRPr="006643EC">
        <w:tab/>
        <w:t>възстановени трансфери (субсидии) в ЦБ – (-3</w:t>
      </w:r>
      <w:r>
        <w:t>,</w:t>
      </w:r>
      <w:r w:rsidRPr="006643EC">
        <w:t>5) млн. л</w:t>
      </w:r>
      <w:r>
        <w:t>е</w:t>
      </w:r>
      <w:r w:rsidRPr="006643EC">
        <w:t>в</w:t>
      </w:r>
      <w:r>
        <w:t>а</w:t>
      </w:r>
      <w:r w:rsidRPr="006643EC">
        <w:t>.</w:t>
      </w:r>
    </w:p>
    <w:p w:rsidR="000938C1" w:rsidRPr="006643EC" w:rsidRDefault="000938C1" w:rsidP="006643EC">
      <w:pPr>
        <w:widowControl w:val="0"/>
        <w:ind w:firstLine="737"/>
        <w:jc w:val="both"/>
        <w:rPr>
          <w:color w:val="0000FF"/>
        </w:rPr>
      </w:pPr>
      <w:r w:rsidRPr="006643EC">
        <w:t>Отчетените за 2013 г. бюджетни взаимоотношения на общините с ЦБ са повече с 291</w:t>
      </w:r>
      <w:r>
        <w:t>,</w:t>
      </w:r>
      <w:r w:rsidRPr="006643EC">
        <w:t>3 млн. лв. или  1</w:t>
      </w:r>
      <w:r w:rsidRPr="006643EC">
        <w:rPr>
          <w:lang w:val="ru-RU"/>
        </w:rPr>
        <w:t>2</w:t>
      </w:r>
      <w:r>
        <w:rPr>
          <w:lang w:val="ru-RU"/>
        </w:rPr>
        <w:t>,</w:t>
      </w:r>
      <w:r w:rsidRPr="006643EC">
        <w:t>6 % спрямо утвърдените в</w:t>
      </w:r>
      <w:r>
        <w:t xml:space="preserve"> </w:t>
      </w:r>
      <w:r w:rsidRPr="006643EC">
        <w:t>ЗИД на ЗДБРБ за 2013 г. 2</w:t>
      </w:r>
      <w:r>
        <w:rPr>
          <w:lang w:val="en-US"/>
        </w:rPr>
        <w:t> </w:t>
      </w:r>
      <w:r w:rsidRPr="006643EC">
        <w:t>303</w:t>
      </w:r>
      <w:r>
        <w:t>,</w:t>
      </w:r>
      <w:r w:rsidRPr="006643EC">
        <w:t>3 млн. лв., което произтича от увеличение на общата субсидия за делегирани от държавата дейности с 64</w:t>
      </w:r>
      <w:r>
        <w:t>,</w:t>
      </w:r>
      <w:r w:rsidRPr="006643EC">
        <w:t>8 млн. лв., целевата субсидия за капиталови разходи с 69</w:t>
      </w:r>
      <w:r>
        <w:t>,</w:t>
      </w:r>
      <w:r w:rsidRPr="006643EC">
        <w:t>9 млн. лв., предоставени целеви трансфери от ЦБ по §</w:t>
      </w:r>
      <w:r>
        <w:t xml:space="preserve"> </w:t>
      </w:r>
      <w:r w:rsidRPr="006643EC">
        <w:t>31-18 – 58</w:t>
      </w:r>
      <w:r>
        <w:t>,</w:t>
      </w:r>
      <w:r w:rsidRPr="006643EC">
        <w:t>9 млн. лв. и по §</w:t>
      </w:r>
      <w:r>
        <w:t xml:space="preserve"> </w:t>
      </w:r>
      <w:r w:rsidRPr="006643EC">
        <w:t>31-28 – 101</w:t>
      </w:r>
      <w:r>
        <w:t>,</w:t>
      </w:r>
      <w:r w:rsidRPr="006643EC">
        <w:t>2 млн. лв. и възстановени в ЦБ трансфери в размер на 3</w:t>
      </w:r>
      <w:r>
        <w:t>,</w:t>
      </w:r>
      <w:r w:rsidRPr="006643EC">
        <w:t>5 млн. лева. Увеличенията се дължат основно на направените корекции на бюджетните взаимоотношения на общините с ЦБ през 2013 г., с които са им предоставени допълнително средства над предвидените по чл. 10, ал. 1 от ЗДБРБ за 2013 г</w:t>
      </w:r>
      <w:r>
        <w:t>одина</w:t>
      </w:r>
      <w:r w:rsidRPr="006643EC">
        <w:t>.</w:t>
      </w:r>
    </w:p>
    <w:p w:rsidR="000938C1" w:rsidRPr="006643EC" w:rsidRDefault="000938C1" w:rsidP="006643EC">
      <w:pPr>
        <w:widowControl w:val="0"/>
        <w:ind w:firstLine="720"/>
        <w:jc w:val="both"/>
      </w:pPr>
      <w:r w:rsidRPr="006643EC">
        <w:t>Общият компенсиран размер на допълнителните средства през 2013 г. е 294</w:t>
      </w:r>
      <w:r>
        <w:t>,</w:t>
      </w:r>
      <w:r w:rsidRPr="006643EC">
        <w:t>8 млн. лв., предоставени както следва:</w:t>
      </w:r>
    </w:p>
    <w:p w:rsidR="000938C1" w:rsidRPr="006643EC" w:rsidRDefault="000938C1" w:rsidP="006643EC">
      <w:pPr>
        <w:widowControl w:val="0"/>
        <w:ind w:firstLine="720"/>
        <w:jc w:val="both"/>
      </w:pPr>
      <w:r w:rsidRPr="006643EC">
        <w:t>1. Като обща субсидия за делегирани от държавата дейности – 64</w:t>
      </w:r>
      <w:r>
        <w:t>,</w:t>
      </w:r>
      <w:r w:rsidRPr="006643EC">
        <w:t>8 млн. лв. Средствата са предоставени в изпълнение на разпоредбите на Закона за държавния бюджет на Република България (ЗДБРБ) за 2013 г., на Постановление № 1</w:t>
      </w:r>
      <w:r w:rsidRPr="006643EC">
        <w:rPr>
          <w:lang w:val="ru-RU"/>
        </w:rPr>
        <w:t>/2013</w:t>
      </w:r>
      <w:r w:rsidRPr="006643EC">
        <w:t xml:space="preserve"> г. на Министерския съвет за изпълнението на държавния бюджет на Република България за 2013 г., както и в изпълнение на Закона за народната просвета, Закона за закрила на детето, Закона за закрила и развитие на културата, Закона за физическото възпитание и спорта, Закона за социалното подпомагане, както и подзаконовата уредба, приета на основание на тези закони. Основните направления на разпределение на средствата са за промяна в броя на децата в детските градини и детските ясли, промяна в броя на учениците в училищата, промяна на местата в институциите за социална грижа и подкрепа, за целодневна организация на учебния ден за учениците от първи клас, за национални програми в областта на средното образование, за изплащане на стипендии на деца с изявени дарби, за национални прояви и чествания на събития, за физическо възпитание и спорт.</w:t>
      </w:r>
    </w:p>
    <w:p w:rsidR="000938C1" w:rsidRPr="006643EC" w:rsidRDefault="000938C1" w:rsidP="006643EC">
      <w:pPr>
        <w:widowControl w:val="0"/>
        <w:spacing w:after="120"/>
        <w:ind w:firstLine="720"/>
        <w:jc w:val="both"/>
        <w:rPr>
          <w:color w:val="0070C0"/>
        </w:rPr>
      </w:pPr>
      <w:r w:rsidRPr="006643EC">
        <w:t>2. Като целева субсидия за капиталови разходи и получени от общините целеви трансфери от ЦБ – 230</w:t>
      </w:r>
      <w:r>
        <w:t>,</w:t>
      </w:r>
      <w:r w:rsidRPr="006643EC">
        <w:t>0 млн. лв. Средствата са преведени в изпълнение на разпоредбите на Закона за държавния бюджет на Република България за 2013 г., на Постановление № 1</w:t>
      </w:r>
      <w:r w:rsidRPr="006643EC">
        <w:rPr>
          <w:lang w:val="ru-RU"/>
        </w:rPr>
        <w:t xml:space="preserve"> от 2013</w:t>
      </w:r>
      <w:r w:rsidRPr="006643EC">
        <w:t xml:space="preserve"> г. на Министерския съвет за изпълнението на държавния бюджет на Република България за 2013 г., както и в изпълнение на Закона за народната просвета, Национална програма „Оптимизация на училищна мрежа, решения на Междуведомствената комисия за възстановяване и подпомагане към Министерския съвет в случаите на стихийни бедствия и аварии, редица постановления на Министерския съвет за предоставяне на допълнителни средства по бюджетите на общини за финансиране на инфраструктурни обекти (ПМС№17, ПМС</w:t>
      </w:r>
      <w:r>
        <w:t xml:space="preserve"> </w:t>
      </w:r>
      <w:r w:rsidRPr="006643EC">
        <w:t>№</w:t>
      </w:r>
      <w:r>
        <w:t xml:space="preserve"> </w:t>
      </w:r>
      <w:r w:rsidRPr="006643EC">
        <w:t>24, ПМС</w:t>
      </w:r>
      <w:r>
        <w:t xml:space="preserve"> </w:t>
      </w:r>
      <w:r w:rsidRPr="006643EC">
        <w:t>№</w:t>
      </w:r>
      <w:r>
        <w:t xml:space="preserve"> </w:t>
      </w:r>
      <w:r w:rsidRPr="006643EC">
        <w:t>31, ПМС</w:t>
      </w:r>
      <w:r>
        <w:t xml:space="preserve"> </w:t>
      </w:r>
      <w:r w:rsidRPr="006643EC">
        <w:t>№</w:t>
      </w:r>
      <w:r>
        <w:t xml:space="preserve"> </w:t>
      </w:r>
      <w:r w:rsidRPr="006643EC">
        <w:t>61, ПМС</w:t>
      </w:r>
      <w:r>
        <w:t xml:space="preserve"> </w:t>
      </w:r>
      <w:r w:rsidRPr="006643EC">
        <w:t>№</w:t>
      </w:r>
      <w:r>
        <w:t xml:space="preserve"> </w:t>
      </w:r>
      <w:r w:rsidRPr="006643EC">
        <w:t>66, ПМС</w:t>
      </w:r>
      <w:r>
        <w:t xml:space="preserve"> </w:t>
      </w:r>
      <w:r w:rsidRPr="006643EC">
        <w:t>№</w:t>
      </w:r>
      <w:r>
        <w:t xml:space="preserve"> </w:t>
      </w:r>
      <w:r w:rsidRPr="006643EC">
        <w:t>70, ПМС</w:t>
      </w:r>
      <w:r>
        <w:t xml:space="preserve"> </w:t>
      </w:r>
      <w:r w:rsidRPr="006643EC">
        <w:t>№</w:t>
      </w:r>
      <w:r>
        <w:t xml:space="preserve"> </w:t>
      </w:r>
      <w:r w:rsidRPr="006643EC">
        <w:t>254, ПМС</w:t>
      </w:r>
      <w:r>
        <w:t xml:space="preserve"> </w:t>
      </w:r>
      <w:r w:rsidRPr="006643EC">
        <w:t>№</w:t>
      </w:r>
      <w:r>
        <w:t xml:space="preserve"> </w:t>
      </w:r>
      <w:r w:rsidRPr="006643EC">
        <w:t>270</w:t>
      </w:r>
      <w:r>
        <w:t xml:space="preserve">, </w:t>
      </w:r>
      <w:r w:rsidRPr="006643EC">
        <w:t xml:space="preserve"> ПМС</w:t>
      </w:r>
      <w:r>
        <w:t xml:space="preserve"> </w:t>
      </w:r>
      <w:r w:rsidRPr="006643EC">
        <w:t>№</w:t>
      </w:r>
      <w:r>
        <w:t xml:space="preserve"> </w:t>
      </w:r>
      <w:r w:rsidRPr="006643EC">
        <w:t>273, ПМС</w:t>
      </w:r>
      <w:r>
        <w:t xml:space="preserve"> </w:t>
      </w:r>
      <w:r w:rsidRPr="006643EC">
        <w:t>№</w:t>
      </w:r>
      <w:r>
        <w:t xml:space="preserve"> </w:t>
      </w:r>
      <w:r w:rsidRPr="006643EC">
        <w:t>288</w:t>
      </w:r>
      <w:r>
        <w:t>,</w:t>
      </w:r>
      <w:r w:rsidRPr="006643EC">
        <w:t xml:space="preserve"> ПМС</w:t>
      </w:r>
      <w:r>
        <w:t xml:space="preserve"> </w:t>
      </w:r>
      <w:r w:rsidRPr="006643EC">
        <w:t>№</w:t>
      </w:r>
      <w:r>
        <w:t xml:space="preserve"> </w:t>
      </w:r>
      <w:r w:rsidRPr="006643EC">
        <w:t>301</w:t>
      </w:r>
      <w:r>
        <w:t>,</w:t>
      </w:r>
      <w:r w:rsidRPr="006643EC">
        <w:t xml:space="preserve"> ПМС</w:t>
      </w:r>
      <w:r>
        <w:t xml:space="preserve"> </w:t>
      </w:r>
      <w:r w:rsidRPr="006643EC">
        <w:t>№</w:t>
      </w:r>
      <w:r>
        <w:t xml:space="preserve"> </w:t>
      </w:r>
      <w:r w:rsidRPr="006643EC">
        <w:t>302), ПМС №</w:t>
      </w:r>
      <w:r>
        <w:t xml:space="preserve"> </w:t>
      </w:r>
      <w:r w:rsidRPr="006643EC">
        <w:t>117 от 2013 г. за определяне условията, критериите и реда за финансово подпомагане на общините за достъпа им до финансиране от ФЛАГ, за обезщетения на собственици на недвижими имоти, отчуждени по реда на Закона за собствеността, субсидиране на градския транспорт за безплатни и по намалени цени пътувания на ученици и други.</w:t>
      </w:r>
    </w:p>
    <w:p w:rsidR="000938C1" w:rsidRPr="006643EC" w:rsidRDefault="000938C1" w:rsidP="006643EC">
      <w:pPr>
        <w:widowControl w:val="0"/>
        <w:ind w:firstLine="720"/>
        <w:jc w:val="both"/>
      </w:pPr>
      <w:r w:rsidRPr="006643EC">
        <w:t xml:space="preserve">В края на годината общините отчитат положителен нетен размер на временните безлихвени заеми в размер на </w:t>
      </w:r>
      <w:r>
        <w:rPr>
          <w:lang w:val="en-US"/>
        </w:rPr>
        <w:t>20</w:t>
      </w:r>
      <w:r>
        <w:t>,</w:t>
      </w:r>
      <w:r>
        <w:rPr>
          <w:lang w:val="en-US"/>
        </w:rPr>
        <w:t>4</w:t>
      </w:r>
      <w:r w:rsidRPr="006643EC">
        <w:t xml:space="preserve"> млн. лв., от които:</w:t>
      </w:r>
    </w:p>
    <w:p w:rsidR="000938C1" w:rsidRPr="006643EC" w:rsidRDefault="000938C1" w:rsidP="006643EC">
      <w:pPr>
        <w:widowControl w:val="0"/>
        <w:ind w:firstLine="720"/>
        <w:jc w:val="both"/>
        <w:rPr>
          <w:color w:val="0070C0"/>
        </w:rPr>
      </w:pPr>
      <w:r w:rsidRPr="006643EC">
        <w:t>- „Получени/предоставени временни безлихвени заеми от/за ЦБ (нето)” – (-1</w:t>
      </w:r>
      <w:r>
        <w:t>,</w:t>
      </w:r>
      <w:r w:rsidRPr="006643EC">
        <w:t>9) млн. л</w:t>
      </w:r>
      <w:r>
        <w:t>е</w:t>
      </w:r>
      <w:r w:rsidRPr="006643EC">
        <w:t>в</w:t>
      </w:r>
      <w:r>
        <w:t>а</w:t>
      </w:r>
      <w:r w:rsidRPr="006643EC">
        <w:rPr>
          <w:color w:val="0070C0"/>
        </w:rPr>
        <w:t xml:space="preserve">. </w:t>
      </w:r>
    </w:p>
    <w:p w:rsidR="000938C1" w:rsidRPr="006643EC" w:rsidRDefault="000938C1" w:rsidP="006643EC">
      <w:pPr>
        <w:widowControl w:val="0"/>
        <w:ind w:firstLine="720"/>
        <w:jc w:val="both"/>
        <w:rPr>
          <w:color w:val="0070C0"/>
        </w:rPr>
      </w:pPr>
      <w:r w:rsidRPr="006643EC">
        <w:t>- „Временни безлихвени заеми между бюджетни и извънбюджетни сметки/фондове (нето)” -  1</w:t>
      </w:r>
      <w:r>
        <w:t>,</w:t>
      </w:r>
      <w:r>
        <w:rPr>
          <w:lang w:val="en-US"/>
        </w:rPr>
        <w:t>6</w:t>
      </w:r>
      <w:r w:rsidRPr="006643EC">
        <w:t xml:space="preserve"> млн. л</w:t>
      </w:r>
      <w:r>
        <w:t>е</w:t>
      </w:r>
      <w:r w:rsidRPr="006643EC">
        <w:t>в</w:t>
      </w:r>
      <w:r>
        <w:t>а</w:t>
      </w:r>
      <w:r w:rsidRPr="006643EC">
        <w:t>.</w:t>
      </w:r>
    </w:p>
    <w:p w:rsidR="000938C1" w:rsidRPr="006643EC" w:rsidRDefault="000938C1" w:rsidP="006643EC">
      <w:pPr>
        <w:widowControl w:val="0"/>
        <w:spacing w:after="120"/>
        <w:ind w:firstLine="720"/>
        <w:jc w:val="both"/>
      </w:pPr>
      <w:r w:rsidRPr="006643EC">
        <w:t>- „Временни безлихвени заеми от/за държавни предприятия и други сметки, включени в консолидираната фискална програма (нето)” – 20</w:t>
      </w:r>
      <w:r>
        <w:t>,</w:t>
      </w:r>
      <w:r>
        <w:rPr>
          <w:lang w:val="en-US"/>
        </w:rPr>
        <w:t>7</w:t>
      </w:r>
      <w:r w:rsidRPr="006643EC">
        <w:t xml:space="preserve"> млн. л</w:t>
      </w:r>
      <w:r>
        <w:t>е</w:t>
      </w:r>
      <w:r w:rsidRPr="006643EC">
        <w:t>в</w:t>
      </w:r>
      <w:r>
        <w:t>а</w:t>
      </w:r>
      <w:r w:rsidRPr="006643EC">
        <w:t>.</w:t>
      </w:r>
    </w:p>
    <w:p w:rsidR="000938C1" w:rsidRPr="006643EC" w:rsidRDefault="000938C1" w:rsidP="006643EC">
      <w:pPr>
        <w:widowControl w:val="0"/>
        <w:spacing w:after="120"/>
        <w:ind w:firstLine="720"/>
        <w:jc w:val="both"/>
      </w:pPr>
      <w:r w:rsidRPr="006643EC">
        <w:t>За 2013 г. общините са получили трансфери от МТСП, МОН,</w:t>
      </w:r>
      <w:r>
        <w:t xml:space="preserve"> </w:t>
      </w:r>
      <w:r w:rsidRPr="006643EC">
        <w:t>МРР, МИЕ, ПУДООС, Националния фонд и др</w:t>
      </w:r>
      <w:r w:rsidRPr="006643EC">
        <w:rPr>
          <w:color w:val="0000FF"/>
        </w:rPr>
        <w:t xml:space="preserve">. </w:t>
      </w:r>
      <w:r w:rsidRPr="006643EC">
        <w:t>в размер на 218</w:t>
      </w:r>
      <w:r>
        <w:t>,</w:t>
      </w:r>
      <w:r>
        <w:rPr>
          <w:lang w:val="en-US"/>
        </w:rPr>
        <w:t>3</w:t>
      </w:r>
      <w:r w:rsidRPr="006643EC">
        <w:t xml:space="preserve"> млн. лв., с които са финансирали целеви програми за временна заетост, образователни, физкултурни, екологични и други дейности, а са предоставили трансфери на същите в размер на 11</w:t>
      </w:r>
      <w:r>
        <w:rPr>
          <w:lang w:val="en-US"/>
        </w:rPr>
        <w:t>9</w:t>
      </w:r>
      <w:r>
        <w:t>,</w:t>
      </w:r>
      <w:r>
        <w:rPr>
          <w:lang w:val="en-US"/>
        </w:rPr>
        <w:t>4</w:t>
      </w:r>
      <w:r w:rsidRPr="006643EC">
        <w:t xml:space="preserve"> млн. л</w:t>
      </w:r>
      <w:r>
        <w:t>е</w:t>
      </w:r>
      <w:r w:rsidRPr="006643EC">
        <w:t>в</w:t>
      </w:r>
      <w:r>
        <w:t>а</w:t>
      </w:r>
      <w:r w:rsidRPr="006643EC">
        <w:t>.</w:t>
      </w:r>
    </w:p>
    <w:p w:rsidR="000938C1" w:rsidRPr="002255D3" w:rsidRDefault="000938C1" w:rsidP="006643EC">
      <w:pPr>
        <w:spacing w:after="120"/>
        <w:ind w:firstLine="720"/>
        <w:jc w:val="both"/>
        <w:rPr>
          <w:color w:val="0070C0"/>
          <w:lang w:val="ru-RU"/>
        </w:rPr>
      </w:pPr>
      <w:r w:rsidRPr="006643EC">
        <w:t>Външното финансиране по бюджетите на общините включва усвоявания и погашения по външни заеми. През 2013 г. усвоените външни заеми са в размер на 16</w:t>
      </w:r>
      <w:r>
        <w:t>,</w:t>
      </w:r>
      <w:r w:rsidRPr="006643EC">
        <w:t xml:space="preserve">3 млн. лв., като сумата е по заеми, постъпили по сметките на Столична община и община Бургас. Изплатените погашения по външни заеми за годината са в размер на </w:t>
      </w:r>
      <w:r w:rsidRPr="006643EC">
        <w:rPr>
          <w:lang w:val="ru-RU"/>
        </w:rPr>
        <w:t>12</w:t>
      </w:r>
      <w:r>
        <w:rPr>
          <w:lang w:val="ru-RU"/>
        </w:rPr>
        <w:t>,</w:t>
      </w:r>
      <w:r w:rsidRPr="006643EC">
        <w:rPr>
          <w:lang w:val="ru-RU"/>
        </w:rPr>
        <w:t>6</w:t>
      </w:r>
      <w:r w:rsidRPr="006643EC">
        <w:t xml:space="preserve"> млн. лв., като те са извършени от три общини – Столична община – </w:t>
      </w:r>
      <w:r w:rsidRPr="006643EC">
        <w:rPr>
          <w:lang w:val="ru-RU"/>
        </w:rPr>
        <w:t>10</w:t>
      </w:r>
      <w:r>
        <w:rPr>
          <w:lang w:val="ru-RU"/>
        </w:rPr>
        <w:t>,</w:t>
      </w:r>
      <w:r w:rsidRPr="006643EC">
        <w:rPr>
          <w:lang w:val="ru-RU"/>
        </w:rPr>
        <w:t>1</w:t>
      </w:r>
      <w:r w:rsidRPr="006643EC">
        <w:t xml:space="preserve"> млн. лв., Сливен – 2</w:t>
      </w:r>
      <w:r>
        <w:t>,</w:t>
      </w:r>
      <w:r w:rsidRPr="006643EC">
        <w:t>2 млн. лв. и Ловеч – 0</w:t>
      </w:r>
      <w:r>
        <w:t>,</w:t>
      </w:r>
      <w:r w:rsidRPr="006643EC">
        <w:rPr>
          <w:lang w:val="ru-RU"/>
        </w:rPr>
        <w:t>3</w:t>
      </w:r>
      <w:r w:rsidRPr="006643EC">
        <w:t xml:space="preserve"> млн. л</w:t>
      </w:r>
      <w:r>
        <w:t>е</w:t>
      </w:r>
      <w:r w:rsidRPr="006643EC">
        <w:t>в</w:t>
      </w:r>
      <w:r>
        <w:t>а</w:t>
      </w:r>
      <w:r w:rsidRPr="006643EC">
        <w:t>.</w:t>
      </w:r>
    </w:p>
    <w:p w:rsidR="000938C1" w:rsidRDefault="000938C1" w:rsidP="00642840">
      <w:pPr>
        <w:spacing w:after="120"/>
        <w:ind w:firstLine="720"/>
        <w:jc w:val="both"/>
        <w:rPr>
          <w:lang w:eastAsia="en-US"/>
        </w:rPr>
      </w:pPr>
      <w:r w:rsidRPr="006643EC">
        <w:rPr>
          <w:lang w:eastAsia="en-US"/>
        </w:rPr>
        <w:t>Нетният размер на вътрешното финансиране на общините за годината е отрицателен (-</w:t>
      </w:r>
      <w:r>
        <w:rPr>
          <w:lang w:val="en-US" w:eastAsia="en-US"/>
        </w:rPr>
        <w:t>69</w:t>
      </w:r>
      <w:r>
        <w:rPr>
          <w:lang w:eastAsia="en-US"/>
        </w:rPr>
        <w:t>,</w:t>
      </w:r>
      <w:r>
        <w:rPr>
          <w:lang w:val="en-US" w:eastAsia="en-US"/>
        </w:rPr>
        <w:t>3</w:t>
      </w:r>
      <w:r w:rsidRPr="006643EC">
        <w:rPr>
          <w:lang w:eastAsia="en-US"/>
        </w:rPr>
        <w:t> млн. лв.) и включва заеми от банки и други лица в страната (нето), операции с държавни (общински) ценни книжа (нето), покупко-продажба на ДОбЦК, нетно изменение на депозитите, друго финансиране, временно съхранявани средства и средства на разпореждане, възмездно финансиране (нето) и придобиване на дялове, акции и съучастия (нето).</w:t>
      </w:r>
    </w:p>
    <w:p w:rsidR="000938C1" w:rsidRDefault="000938C1" w:rsidP="00642840">
      <w:pPr>
        <w:spacing w:after="120"/>
        <w:ind w:firstLine="720"/>
        <w:jc w:val="both"/>
        <w:rPr>
          <w:bCs/>
        </w:rPr>
      </w:pPr>
      <w:r w:rsidRPr="006643EC">
        <w:rPr>
          <w:bCs/>
        </w:rPr>
        <w:t>Получените от общините през 2013 г. заеми от банки в страната са в размер на 53</w:t>
      </w:r>
      <w:r>
        <w:rPr>
          <w:bCs/>
        </w:rPr>
        <w:t>,</w:t>
      </w:r>
      <w:r w:rsidRPr="006643EC">
        <w:rPr>
          <w:bCs/>
        </w:rPr>
        <w:t>4 млн. лв., а погашенията към същите са за 73</w:t>
      </w:r>
      <w:r>
        <w:rPr>
          <w:bCs/>
        </w:rPr>
        <w:t>,</w:t>
      </w:r>
      <w:r w:rsidRPr="006643EC">
        <w:rPr>
          <w:bCs/>
        </w:rPr>
        <w:t>3 млн. лв. или нетната сума е (- 19</w:t>
      </w:r>
      <w:r>
        <w:rPr>
          <w:bCs/>
        </w:rPr>
        <w:t>,</w:t>
      </w:r>
      <w:r w:rsidRPr="006643EC">
        <w:rPr>
          <w:bCs/>
        </w:rPr>
        <w:t xml:space="preserve">9 млн. лв.). </w:t>
      </w:r>
    </w:p>
    <w:p w:rsidR="000938C1" w:rsidRDefault="000938C1" w:rsidP="00642840">
      <w:pPr>
        <w:spacing w:after="120"/>
        <w:ind w:firstLine="720"/>
        <w:jc w:val="both"/>
        <w:rPr>
          <w:bCs/>
        </w:rPr>
      </w:pPr>
      <w:r w:rsidRPr="006643EC">
        <w:rPr>
          <w:bCs/>
        </w:rPr>
        <w:t>От други лица в страната общините са получили заеми в размер на 149</w:t>
      </w:r>
      <w:r>
        <w:rPr>
          <w:bCs/>
        </w:rPr>
        <w:t>,</w:t>
      </w:r>
      <w:r w:rsidRPr="006643EC">
        <w:rPr>
          <w:bCs/>
        </w:rPr>
        <w:t xml:space="preserve">7 млн. лв., от които от фонд ФЛАГ – </w:t>
      </w:r>
      <w:r w:rsidRPr="002255D3">
        <w:rPr>
          <w:bCs/>
          <w:lang w:val="ru-RU"/>
        </w:rPr>
        <w:t>147</w:t>
      </w:r>
      <w:r>
        <w:rPr>
          <w:bCs/>
        </w:rPr>
        <w:t>,</w:t>
      </w:r>
      <w:r w:rsidRPr="002255D3">
        <w:rPr>
          <w:bCs/>
          <w:lang w:val="ru-RU"/>
        </w:rPr>
        <w:t>0</w:t>
      </w:r>
      <w:r w:rsidRPr="006643EC">
        <w:rPr>
          <w:bCs/>
        </w:rPr>
        <w:t xml:space="preserve"> млн. лв., а направените погашения към тази група кредитори са 129</w:t>
      </w:r>
      <w:r>
        <w:rPr>
          <w:bCs/>
        </w:rPr>
        <w:t>,</w:t>
      </w:r>
      <w:r w:rsidRPr="006643EC">
        <w:rPr>
          <w:bCs/>
        </w:rPr>
        <w:t xml:space="preserve">9 млн. лв., в т. ч. </w:t>
      </w:r>
      <w:r w:rsidRPr="002255D3">
        <w:rPr>
          <w:bCs/>
          <w:lang w:val="ru-RU"/>
        </w:rPr>
        <w:t>127</w:t>
      </w:r>
      <w:r>
        <w:rPr>
          <w:bCs/>
        </w:rPr>
        <w:t>,</w:t>
      </w:r>
      <w:r w:rsidRPr="002255D3">
        <w:rPr>
          <w:bCs/>
          <w:lang w:val="ru-RU"/>
        </w:rPr>
        <w:t xml:space="preserve">1 </w:t>
      </w:r>
      <w:r w:rsidRPr="006643EC">
        <w:rPr>
          <w:bCs/>
        </w:rPr>
        <w:t>млн. лв. към фонд ФЛАГ. В сравнение с предходната година, получените заеми от други лица в страната са се увеличили с 14</w:t>
      </w:r>
      <w:r>
        <w:rPr>
          <w:bCs/>
        </w:rPr>
        <w:t>,</w:t>
      </w:r>
      <w:r w:rsidRPr="006643EC">
        <w:rPr>
          <w:bCs/>
        </w:rPr>
        <w:t>3 млн. лв., което показва нарасналата активност на общините по изпълнението на европейски проекти, собствената част от финансирането за които те си осигуряват чрез заеми от ФЛАГ.</w:t>
      </w:r>
    </w:p>
    <w:p w:rsidR="000938C1" w:rsidRDefault="000938C1" w:rsidP="006643EC">
      <w:pPr>
        <w:spacing w:after="120"/>
        <w:ind w:firstLine="720"/>
        <w:jc w:val="both"/>
        <w:rPr>
          <w:b/>
          <w:bCs/>
          <w:sz w:val="28"/>
          <w:szCs w:val="28"/>
        </w:rPr>
      </w:pPr>
      <w:r w:rsidRPr="006643EC">
        <w:rPr>
          <w:bCs/>
        </w:rPr>
        <w:t>През 2013 г. няма нови емисии на общински ценни книжа, така че нетната стойност на операциите с ценни книжа, отчетени по общинските бюджети, е отрицателна и е формирана от извършените погашения, които са в размер на 13</w:t>
      </w:r>
      <w:r>
        <w:rPr>
          <w:bCs/>
        </w:rPr>
        <w:t>,</w:t>
      </w:r>
      <w:r w:rsidRPr="006643EC">
        <w:rPr>
          <w:bCs/>
        </w:rPr>
        <w:t>6 млн. лв. Нетната сума на покупко-продажбата на държавни и общински ценни книжа, отчетена по общинските бюджети за 2013 г. е положителна и е в размер на 0</w:t>
      </w:r>
      <w:r>
        <w:rPr>
          <w:bCs/>
        </w:rPr>
        <w:t>,</w:t>
      </w:r>
      <w:r w:rsidRPr="006643EC">
        <w:rPr>
          <w:bCs/>
        </w:rPr>
        <w:t>07 млн. л</w:t>
      </w:r>
      <w:r>
        <w:rPr>
          <w:bCs/>
        </w:rPr>
        <w:t>е</w:t>
      </w:r>
      <w:r w:rsidRPr="006643EC">
        <w:rPr>
          <w:bCs/>
        </w:rPr>
        <w:t>в</w:t>
      </w:r>
      <w:r>
        <w:rPr>
          <w:bCs/>
        </w:rPr>
        <w:t>а</w:t>
      </w:r>
      <w:r w:rsidRPr="006643EC">
        <w:rPr>
          <w:bCs/>
        </w:rPr>
        <w:t>.</w:t>
      </w:r>
    </w:p>
    <w:p w:rsidR="000938C1" w:rsidRPr="006643EC" w:rsidRDefault="000938C1" w:rsidP="006643EC">
      <w:pPr>
        <w:spacing w:after="120"/>
        <w:ind w:firstLine="720"/>
        <w:jc w:val="both"/>
      </w:pPr>
      <w:r w:rsidRPr="006643EC">
        <w:t>Другото финансиране по общинските бюджети към 31.12.2013 г. е (-33</w:t>
      </w:r>
      <w:r>
        <w:t>,</w:t>
      </w:r>
      <w:r>
        <w:rPr>
          <w:lang w:val="en-US"/>
        </w:rPr>
        <w:t>3</w:t>
      </w:r>
      <w:r w:rsidRPr="006643EC">
        <w:t xml:space="preserve"> млн. лв.), а временно съхраняваните средства и средствата на разпореждане са в размер на 4</w:t>
      </w:r>
      <w:r>
        <w:t>,</w:t>
      </w:r>
      <w:r w:rsidRPr="006643EC">
        <w:t>4 млн. л</w:t>
      </w:r>
      <w:r>
        <w:t>е</w:t>
      </w:r>
      <w:r w:rsidRPr="006643EC">
        <w:t>в</w:t>
      </w:r>
      <w:r>
        <w:t>а</w:t>
      </w:r>
      <w:r w:rsidRPr="006643EC">
        <w:t>.</w:t>
      </w:r>
    </w:p>
    <w:p w:rsidR="000938C1" w:rsidRPr="006643EC" w:rsidRDefault="000938C1" w:rsidP="006643EC">
      <w:pPr>
        <w:spacing w:after="120"/>
        <w:ind w:firstLine="720"/>
        <w:jc w:val="both"/>
      </w:pPr>
      <w:r w:rsidRPr="006643EC">
        <w:t>Предоставената временна финансова помощ (нето) от общините през 2013 г.</w:t>
      </w:r>
      <w:r>
        <w:t xml:space="preserve"> е </w:t>
      </w:r>
      <w:r w:rsidRPr="006643EC">
        <w:t>(-3</w:t>
      </w:r>
      <w:r>
        <w:t>,</w:t>
      </w:r>
      <w:r w:rsidRPr="006643EC">
        <w:t>1 млн. лв.), като размерът на предоставените средства е 4</w:t>
      </w:r>
      <w:r>
        <w:t>,</w:t>
      </w:r>
      <w:r w:rsidRPr="006643EC">
        <w:t>2 млн. лв., а на възстановените – 1</w:t>
      </w:r>
      <w:r>
        <w:t>,</w:t>
      </w:r>
      <w:r w:rsidRPr="006643EC">
        <w:t>1 млн. лв. През годината общините са изразходвали 0</w:t>
      </w:r>
      <w:r>
        <w:t>,</w:t>
      </w:r>
      <w:r w:rsidRPr="006643EC">
        <w:t>5 млн. лв. за придобиване на дялове и акции, а постъпленията от продажбите на дялове, акции, съучастия и ликвидационни дялове са 0</w:t>
      </w:r>
      <w:r>
        <w:t>,</w:t>
      </w:r>
      <w:r w:rsidRPr="006643EC">
        <w:t>4 млн. л</w:t>
      </w:r>
      <w:r>
        <w:t>е</w:t>
      </w:r>
      <w:r w:rsidRPr="006643EC">
        <w:t>в</w:t>
      </w:r>
      <w:r>
        <w:t>а</w:t>
      </w:r>
      <w:r w:rsidRPr="006643EC">
        <w:t>.</w:t>
      </w:r>
    </w:p>
    <w:p w:rsidR="000938C1" w:rsidRPr="006643EC" w:rsidRDefault="000938C1" w:rsidP="006643EC">
      <w:pPr>
        <w:widowControl w:val="0"/>
        <w:ind w:firstLine="720"/>
        <w:jc w:val="both"/>
      </w:pPr>
      <w:r w:rsidRPr="006643EC">
        <w:t>Общините приключиха 201</w:t>
      </w:r>
      <w:r w:rsidRPr="002255D3">
        <w:rPr>
          <w:lang w:val="ru-RU"/>
        </w:rPr>
        <w:t>3</w:t>
      </w:r>
      <w:r w:rsidRPr="006643EC">
        <w:t xml:space="preserve"> г. с бюджетни наличности в размер на 453</w:t>
      </w:r>
      <w:r>
        <w:t>,</w:t>
      </w:r>
      <w:r w:rsidRPr="006643EC">
        <w:t>5 млн. лв. За сравнение в края на 2012 г. те са били 430</w:t>
      </w:r>
      <w:r>
        <w:t>,</w:t>
      </w:r>
      <w:r w:rsidRPr="006643EC">
        <w:t>0 млн. лв. или за една година са нараснали с 23</w:t>
      </w:r>
      <w:r>
        <w:t>,</w:t>
      </w:r>
      <w:r w:rsidRPr="006643EC">
        <w:t>6 млн. лв. Бюджетните наличности (банкова и касова наличност) в края на 2013 г. са отчетени от всички общини – 26</w:t>
      </w:r>
      <w:r w:rsidRPr="006643EC">
        <w:rPr>
          <w:lang w:val="ru-RU"/>
        </w:rPr>
        <w:t>4</w:t>
      </w:r>
      <w:r w:rsidRPr="006643EC">
        <w:t xml:space="preserve">. Голяма част от тези средства представляват остатъци от постъпили по бюджетите на общините, но неизразходвани средства с нецелеви характер в размер на </w:t>
      </w:r>
      <w:r w:rsidRPr="002255D3">
        <w:rPr>
          <w:lang w:val="ru-RU"/>
        </w:rPr>
        <w:t>261</w:t>
      </w:r>
      <w:r>
        <w:t>,</w:t>
      </w:r>
      <w:r w:rsidRPr="002255D3">
        <w:rPr>
          <w:lang w:val="ru-RU"/>
        </w:rPr>
        <w:t>5</w:t>
      </w:r>
      <w:r w:rsidRPr="006643EC">
        <w:t xml:space="preserve"> млн. лева (</w:t>
      </w:r>
      <w:r w:rsidRPr="002255D3">
        <w:rPr>
          <w:lang w:val="ru-RU"/>
        </w:rPr>
        <w:t>57</w:t>
      </w:r>
      <w:r>
        <w:t>,</w:t>
      </w:r>
      <w:r w:rsidRPr="002255D3">
        <w:rPr>
          <w:lang w:val="ru-RU"/>
        </w:rPr>
        <w:t>7</w:t>
      </w:r>
      <w:r w:rsidRPr="006643EC">
        <w:t>%), които ще се изразходват през 201</w:t>
      </w:r>
      <w:r w:rsidRPr="002255D3">
        <w:rPr>
          <w:lang w:val="ru-RU"/>
        </w:rPr>
        <w:t xml:space="preserve">4 </w:t>
      </w:r>
      <w:r w:rsidRPr="006643EC">
        <w:t>г. за подобряване на инфраструктурата (в повечето случаи тя е в много лошо състояние), за съфинансиране на програми и конкретни обекти и за подобряване</w:t>
      </w:r>
      <w:r>
        <w:t xml:space="preserve"> </w:t>
      </w:r>
      <w:r w:rsidRPr="006643EC">
        <w:t>на предоставяните услуги на населението, което е и една от целите на реформата към финансова децентрализация. Останалите бюджетни средства в размер на 1</w:t>
      </w:r>
      <w:r w:rsidRPr="002255D3">
        <w:rPr>
          <w:lang w:val="ru-RU"/>
        </w:rPr>
        <w:t>91</w:t>
      </w:r>
      <w:r>
        <w:t>,</w:t>
      </w:r>
      <w:r w:rsidRPr="002255D3">
        <w:rPr>
          <w:lang w:val="ru-RU"/>
        </w:rPr>
        <w:t>9</w:t>
      </w:r>
      <w:r w:rsidRPr="006643EC">
        <w:t xml:space="preserve"> млн. лв. са целеви. </w:t>
      </w:r>
    </w:p>
    <w:p w:rsidR="000938C1" w:rsidRPr="006643EC" w:rsidRDefault="000938C1" w:rsidP="006643EC">
      <w:pPr>
        <w:widowControl w:val="0"/>
        <w:spacing w:after="120"/>
        <w:ind w:firstLine="720"/>
        <w:jc w:val="both"/>
      </w:pPr>
      <w:r w:rsidRPr="006643EC">
        <w:t>От общия размер на наличностите 2</w:t>
      </w:r>
      <w:r w:rsidRPr="002255D3">
        <w:rPr>
          <w:lang w:val="ru-RU"/>
        </w:rPr>
        <w:t>38</w:t>
      </w:r>
      <w:r>
        <w:t>,</w:t>
      </w:r>
      <w:r w:rsidRPr="002255D3">
        <w:rPr>
          <w:lang w:val="ru-RU"/>
        </w:rPr>
        <w:t>8</w:t>
      </w:r>
      <w:r w:rsidRPr="006643EC">
        <w:t xml:space="preserve"> млн. лв. са в местни дейности, а останалите 1</w:t>
      </w:r>
      <w:r w:rsidRPr="002255D3">
        <w:rPr>
          <w:lang w:val="ru-RU"/>
        </w:rPr>
        <w:t>69</w:t>
      </w:r>
      <w:r>
        <w:t>,</w:t>
      </w:r>
      <w:r w:rsidRPr="002255D3">
        <w:rPr>
          <w:lang w:val="ru-RU"/>
        </w:rPr>
        <w:t>7</w:t>
      </w:r>
      <w:r w:rsidRPr="006643EC">
        <w:t xml:space="preserve"> млн. лв. са в делегираните от държавата дейности и ще бъдат използвани за финансирането на тези дейности, средствата за които са определени с единните стандарти.</w:t>
      </w:r>
    </w:p>
    <w:p w:rsidR="000938C1" w:rsidRPr="006643EC" w:rsidRDefault="000938C1" w:rsidP="006643EC">
      <w:pPr>
        <w:widowControl w:val="0"/>
        <w:ind w:firstLine="720"/>
        <w:jc w:val="both"/>
      </w:pPr>
      <w:r w:rsidRPr="006643EC">
        <w:t>По отчетни данни към 31.12.201</w:t>
      </w:r>
      <w:r w:rsidRPr="002255D3">
        <w:rPr>
          <w:lang w:val="ru-RU"/>
        </w:rPr>
        <w:t>3</w:t>
      </w:r>
      <w:r w:rsidRPr="006643EC">
        <w:t xml:space="preserve"> г. </w:t>
      </w:r>
      <w:r w:rsidRPr="006643EC">
        <w:rPr>
          <w:b/>
          <w:i/>
        </w:rPr>
        <w:t>просрочените задължения</w:t>
      </w:r>
      <w:r w:rsidRPr="006643EC">
        <w:t xml:space="preserve"> на общините са в размер на 1</w:t>
      </w:r>
      <w:r w:rsidRPr="002255D3">
        <w:rPr>
          <w:lang w:val="ru-RU"/>
        </w:rPr>
        <w:t>69</w:t>
      </w:r>
      <w:r>
        <w:t>,</w:t>
      </w:r>
      <w:r w:rsidRPr="002255D3">
        <w:rPr>
          <w:lang w:val="ru-RU"/>
        </w:rPr>
        <w:t>3</w:t>
      </w:r>
      <w:r w:rsidRPr="006643EC">
        <w:t xml:space="preserve"> млн. лв. и са формирани от 15</w:t>
      </w:r>
      <w:r w:rsidRPr="002255D3">
        <w:rPr>
          <w:lang w:val="ru-RU"/>
        </w:rPr>
        <w:t>2</w:t>
      </w:r>
      <w:r w:rsidRPr="006643EC">
        <w:t xml:space="preserve"> общини (5</w:t>
      </w:r>
      <w:r w:rsidRPr="002255D3">
        <w:rPr>
          <w:lang w:val="ru-RU"/>
        </w:rPr>
        <w:t>7</w:t>
      </w:r>
      <w:r w:rsidRPr="006643EC">
        <w:t> % от общия брой). В сравнение с края на 201</w:t>
      </w:r>
      <w:r w:rsidRPr="002255D3">
        <w:rPr>
          <w:lang w:val="ru-RU"/>
        </w:rPr>
        <w:t>2</w:t>
      </w:r>
      <w:r w:rsidRPr="006643EC">
        <w:t xml:space="preserve"> г. сумата намалява с </w:t>
      </w:r>
      <w:r w:rsidRPr="002255D3">
        <w:rPr>
          <w:lang w:val="ru-RU"/>
        </w:rPr>
        <w:t>4</w:t>
      </w:r>
      <w:r>
        <w:t>,</w:t>
      </w:r>
      <w:r w:rsidRPr="002255D3">
        <w:rPr>
          <w:lang w:val="ru-RU"/>
        </w:rPr>
        <w:t>5</w:t>
      </w:r>
      <w:r w:rsidRPr="006643EC">
        <w:t xml:space="preserve"> млн. л</w:t>
      </w:r>
      <w:r>
        <w:t>е</w:t>
      </w:r>
      <w:r w:rsidRPr="006643EC">
        <w:t>в</w:t>
      </w:r>
      <w:r>
        <w:t>а</w:t>
      </w:r>
      <w:r w:rsidRPr="006643EC">
        <w:t>.</w:t>
      </w:r>
    </w:p>
    <w:p w:rsidR="000938C1" w:rsidRPr="006643EC" w:rsidRDefault="000938C1" w:rsidP="006643EC">
      <w:pPr>
        <w:widowControl w:val="0"/>
        <w:ind w:firstLine="720"/>
        <w:jc w:val="both"/>
      </w:pPr>
      <w:r w:rsidRPr="006643EC">
        <w:t xml:space="preserve">В делегираните от държавата дейности просрочените задължения са </w:t>
      </w:r>
      <w:r w:rsidRPr="002255D3">
        <w:rPr>
          <w:lang w:val="ru-RU"/>
        </w:rPr>
        <w:t>4</w:t>
      </w:r>
      <w:r>
        <w:t>,</w:t>
      </w:r>
      <w:r w:rsidRPr="002255D3">
        <w:rPr>
          <w:lang w:val="ru-RU"/>
        </w:rPr>
        <w:t>8</w:t>
      </w:r>
      <w:r w:rsidRPr="006643EC">
        <w:t xml:space="preserve"> млн. лв. и са отчетени от </w:t>
      </w:r>
      <w:r w:rsidRPr="002255D3">
        <w:rPr>
          <w:lang w:val="ru-RU"/>
        </w:rPr>
        <w:t>57</w:t>
      </w:r>
      <w:r w:rsidRPr="006643EC">
        <w:t xml:space="preserve"> общини, като спрямо края на 201</w:t>
      </w:r>
      <w:r w:rsidRPr="002255D3">
        <w:rPr>
          <w:lang w:val="ru-RU"/>
        </w:rPr>
        <w:t>2</w:t>
      </w:r>
      <w:r w:rsidRPr="006643EC">
        <w:t xml:space="preserve"> г. са намалели с </w:t>
      </w:r>
      <w:r w:rsidRPr="002255D3">
        <w:rPr>
          <w:lang w:val="ru-RU"/>
        </w:rPr>
        <w:t>0</w:t>
      </w:r>
      <w:r>
        <w:t>,</w:t>
      </w:r>
      <w:r w:rsidRPr="002255D3">
        <w:rPr>
          <w:lang w:val="ru-RU"/>
        </w:rPr>
        <w:t>5</w:t>
      </w:r>
      <w:r w:rsidRPr="006643EC">
        <w:t xml:space="preserve"> млн. л</w:t>
      </w:r>
      <w:r>
        <w:t>е</w:t>
      </w:r>
      <w:r w:rsidRPr="006643EC">
        <w:t>в</w:t>
      </w:r>
      <w:r>
        <w:t>а</w:t>
      </w:r>
      <w:r w:rsidRPr="006643EC">
        <w:t xml:space="preserve">. </w:t>
      </w:r>
    </w:p>
    <w:p w:rsidR="000938C1" w:rsidRPr="006643EC" w:rsidRDefault="000938C1" w:rsidP="006643EC">
      <w:pPr>
        <w:widowControl w:val="0"/>
        <w:ind w:firstLine="720"/>
        <w:jc w:val="both"/>
        <w:rPr>
          <w:color w:val="0070C0"/>
        </w:rPr>
      </w:pPr>
      <w:r w:rsidRPr="006643EC">
        <w:t>В местните дейности просрочените задължения към края на 201</w:t>
      </w:r>
      <w:r w:rsidRPr="002255D3">
        <w:rPr>
          <w:lang w:val="ru-RU"/>
        </w:rPr>
        <w:t>3</w:t>
      </w:r>
      <w:r w:rsidRPr="006643EC">
        <w:t xml:space="preserve"> г. са в размер на 16</w:t>
      </w:r>
      <w:r w:rsidRPr="002255D3">
        <w:rPr>
          <w:lang w:val="ru-RU"/>
        </w:rPr>
        <w:t>4</w:t>
      </w:r>
      <w:r>
        <w:t>,</w:t>
      </w:r>
      <w:r w:rsidRPr="006643EC">
        <w:t>5 млн. лв. и се отчитат от 14</w:t>
      </w:r>
      <w:r w:rsidRPr="002255D3">
        <w:rPr>
          <w:lang w:val="ru-RU"/>
        </w:rPr>
        <w:t>4</w:t>
      </w:r>
      <w:r w:rsidRPr="006643EC">
        <w:t xml:space="preserve"> общини. В сравнение с 201</w:t>
      </w:r>
      <w:r w:rsidRPr="002255D3">
        <w:rPr>
          <w:lang w:val="ru-RU"/>
        </w:rPr>
        <w:t>2</w:t>
      </w:r>
      <w:r w:rsidRPr="006643EC">
        <w:t xml:space="preserve"> г., просрочените задължения в тези дейности са намалели с </w:t>
      </w:r>
      <w:r w:rsidRPr="002255D3">
        <w:rPr>
          <w:lang w:val="ru-RU"/>
        </w:rPr>
        <w:t>4</w:t>
      </w:r>
      <w:r>
        <w:t>,</w:t>
      </w:r>
      <w:r w:rsidRPr="002255D3">
        <w:rPr>
          <w:lang w:val="ru-RU"/>
        </w:rPr>
        <w:t>0</w:t>
      </w:r>
      <w:r w:rsidRPr="006643EC">
        <w:t xml:space="preserve"> млн. лв. Основните причини за отчетените просрочени задължения по общинските бюджети са: ниския размер на изпълняваните собствени приходи, което се дължи както на последствията от икономическата криза, така също и на все още ниския приходен капацитет в някои общини; наличие и обслужване на просрочени задължения от предходни години, които утежняват изпълнението на бюджета през текущата година; възникнали разходи в резултат на изпълнение на дейности по различни оперативни програми и проекти, които не са признати; извършени големи, понякога и непланирани, но неотложни разходи по поддържане и ремонт на остарялата материално-техническа база, пътна, техническа и ВиК инфраструктура; заведени съдебни дела за част от просрочените задължения.</w:t>
      </w:r>
    </w:p>
    <w:p w:rsidR="000938C1" w:rsidRPr="006643EC" w:rsidRDefault="000938C1" w:rsidP="006643EC">
      <w:pPr>
        <w:widowControl w:val="0"/>
        <w:spacing w:after="120"/>
        <w:ind w:firstLine="720"/>
        <w:jc w:val="both"/>
        <w:rPr>
          <w:b/>
          <w:i/>
          <w:color w:val="0070C0"/>
        </w:rPr>
      </w:pPr>
      <w:r w:rsidRPr="006643EC">
        <w:rPr>
          <w:b/>
          <w:i/>
        </w:rPr>
        <w:t>Просрочените вземания</w:t>
      </w:r>
      <w:r w:rsidRPr="006643EC">
        <w:t xml:space="preserve"> на общините към 31.12.201</w:t>
      </w:r>
      <w:r w:rsidRPr="002255D3">
        <w:rPr>
          <w:lang w:val="ru-RU"/>
        </w:rPr>
        <w:t>3</w:t>
      </w:r>
      <w:r w:rsidRPr="006643EC">
        <w:t xml:space="preserve"> г. са в размер на 20</w:t>
      </w:r>
      <w:r w:rsidRPr="002255D3">
        <w:rPr>
          <w:lang w:val="ru-RU"/>
        </w:rPr>
        <w:t>7</w:t>
      </w:r>
      <w:r>
        <w:t>,</w:t>
      </w:r>
      <w:r w:rsidRPr="002255D3">
        <w:rPr>
          <w:lang w:val="ru-RU"/>
        </w:rPr>
        <w:t>8</w:t>
      </w:r>
      <w:r w:rsidRPr="006643EC">
        <w:t xml:space="preserve"> млн. лв. и са отчетени от 25</w:t>
      </w:r>
      <w:r w:rsidRPr="002255D3">
        <w:rPr>
          <w:lang w:val="ru-RU"/>
        </w:rPr>
        <w:t>4</w:t>
      </w:r>
      <w:r w:rsidRPr="006643EC">
        <w:t xml:space="preserve"> общини. В сравнение с 201</w:t>
      </w:r>
      <w:r w:rsidRPr="002255D3">
        <w:rPr>
          <w:lang w:val="ru-RU"/>
        </w:rPr>
        <w:t>2</w:t>
      </w:r>
      <w:r w:rsidRPr="006643EC">
        <w:t xml:space="preserve"> г., просрочените вземания са нараснали с </w:t>
      </w:r>
      <w:r w:rsidRPr="002255D3">
        <w:rPr>
          <w:lang w:val="ru-RU"/>
        </w:rPr>
        <w:t>6</w:t>
      </w:r>
      <w:r>
        <w:t>,</w:t>
      </w:r>
      <w:r w:rsidRPr="002255D3">
        <w:rPr>
          <w:lang w:val="ru-RU"/>
        </w:rPr>
        <w:t>3</w:t>
      </w:r>
      <w:r w:rsidRPr="006643EC">
        <w:t xml:space="preserve"> млн. лв. С най-голям относителен дял са вземанията от местни такси, от данъци и от наеми на общинско имущество и концесии. В много общини са предприети мерки за събиране на дължимите вземания – разпратени са предупредителни писма и покани за доброволно плащане, сключени са допълнителни споразумения за разсрочени плащания и други.</w:t>
      </w:r>
    </w:p>
    <w:p w:rsidR="000938C1" w:rsidRPr="006643EC" w:rsidRDefault="000938C1" w:rsidP="006643EC">
      <w:pPr>
        <w:widowControl w:val="0"/>
        <w:ind w:firstLine="720"/>
        <w:jc w:val="both"/>
        <w:rPr>
          <w:b/>
          <w:i/>
        </w:rPr>
      </w:pPr>
      <w:r w:rsidRPr="006643EC">
        <w:rPr>
          <w:b/>
          <w:i/>
        </w:rPr>
        <w:t xml:space="preserve">Извънбюджетни сметки и фондове на  общини </w:t>
      </w:r>
    </w:p>
    <w:p w:rsidR="000938C1" w:rsidRPr="006643EC" w:rsidRDefault="000938C1" w:rsidP="006643EC">
      <w:pPr>
        <w:widowControl w:val="0"/>
        <w:ind w:firstLine="720"/>
        <w:jc w:val="both"/>
        <w:rPr>
          <w:b/>
          <w:i/>
          <w:color w:val="0070C0"/>
        </w:rPr>
      </w:pPr>
      <w:r w:rsidRPr="006643EC">
        <w:t>Средствата по европейски програми се отчитат по общински извънбюджетни сметки и фондове. През 201</w:t>
      </w:r>
      <w:r w:rsidRPr="002255D3">
        <w:rPr>
          <w:lang w:val="ru-RU"/>
        </w:rPr>
        <w:t>3</w:t>
      </w:r>
      <w:r w:rsidRPr="006643EC">
        <w:t xml:space="preserve"> г. със средства, отчетени по различните оперативни програми, общините са извършили разходи общо в размер на </w:t>
      </w:r>
      <w:r w:rsidRPr="002255D3">
        <w:rPr>
          <w:lang w:val="ru-RU"/>
        </w:rPr>
        <w:t>1</w:t>
      </w:r>
      <w:r>
        <w:rPr>
          <w:lang w:val="en-US"/>
        </w:rPr>
        <w:t> </w:t>
      </w:r>
      <w:r w:rsidRPr="002255D3">
        <w:rPr>
          <w:lang w:val="ru-RU"/>
        </w:rPr>
        <w:t>68</w:t>
      </w:r>
      <w:r w:rsidRPr="006643EC">
        <w:t>6</w:t>
      </w:r>
      <w:r>
        <w:t>,</w:t>
      </w:r>
      <w:r w:rsidRPr="006643EC">
        <w:t xml:space="preserve">0 млн. лв., което е почти два пъти повече в сравнение с 2012 г. С европейските средства общините са извършили капиталови разходи – </w:t>
      </w:r>
      <w:r w:rsidRPr="002255D3">
        <w:rPr>
          <w:lang w:val="ru-RU"/>
        </w:rPr>
        <w:t>1</w:t>
      </w:r>
      <w:r>
        <w:t> </w:t>
      </w:r>
      <w:r w:rsidRPr="002255D3">
        <w:rPr>
          <w:lang w:val="ru-RU"/>
        </w:rPr>
        <w:t>27</w:t>
      </w:r>
      <w:r>
        <w:rPr>
          <w:lang w:val="en-US"/>
        </w:rPr>
        <w:t>1</w:t>
      </w:r>
      <w:r>
        <w:t>,</w:t>
      </w:r>
      <w:r>
        <w:rPr>
          <w:lang w:val="en-US"/>
        </w:rPr>
        <w:t>2</w:t>
      </w:r>
      <w:r w:rsidRPr="006643EC">
        <w:t xml:space="preserve"> млн. лв., а за текущи разходи са отчетени </w:t>
      </w:r>
      <w:r w:rsidRPr="002255D3">
        <w:rPr>
          <w:lang w:val="ru-RU"/>
        </w:rPr>
        <w:t>41</w:t>
      </w:r>
      <w:r>
        <w:rPr>
          <w:lang w:val="en-US"/>
        </w:rPr>
        <w:t>4</w:t>
      </w:r>
      <w:r>
        <w:t>,</w:t>
      </w:r>
      <w:r>
        <w:rPr>
          <w:lang w:val="en-US"/>
        </w:rPr>
        <w:t>8</w:t>
      </w:r>
      <w:r w:rsidRPr="006643EC">
        <w:t>млн. лв. Главен източника на средствата са трансферите от Структурните и Кохезионния фонд на ЕС, като нетната сума, получена от общините като трансфери от извънбюджетни сметки, е в размер на 1</w:t>
      </w:r>
      <w:r>
        <w:t> </w:t>
      </w:r>
      <w:r w:rsidRPr="006643EC">
        <w:t>918</w:t>
      </w:r>
      <w:r>
        <w:t>,</w:t>
      </w:r>
      <w:r w:rsidRPr="006643EC">
        <w:t>8 млн. лв. (от тях 1</w:t>
      </w:r>
      <w:r>
        <w:t> </w:t>
      </w:r>
      <w:r w:rsidRPr="006643EC">
        <w:t>959</w:t>
      </w:r>
      <w:r>
        <w:t>,</w:t>
      </w:r>
      <w:r w:rsidRPr="006643EC">
        <w:t>2 млн. лв. получени и 40</w:t>
      </w:r>
      <w:r>
        <w:t>,</w:t>
      </w:r>
      <w:r w:rsidRPr="006643EC">
        <w:t>4 млн. лв. предоставени трансфери). Освен това към източниците на средства трябва да се добавят 6</w:t>
      </w:r>
      <w:r>
        <w:t>,</w:t>
      </w:r>
      <w:r w:rsidRPr="006643EC">
        <w:t>6 млн. лв. бюджетни приходи, от които 2</w:t>
      </w:r>
      <w:r>
        <w:t>,</w:t>
      </w:r>
      <w:r w:rsidRPr="006643EC">
        <w:t>4 млн. лв. безвъзмездно получени средства; 4</w:t>
      </w:r>
      <w:r>
        <w:rPr>
          <w:lang w:val="en-US"/>
        </w:rPr>
        <w:t>8</w:t>
      </w:r>
      <w:r>
        <w:t>,</w:t>
      </w:r>
      <w:r>
        <w:rPr>
          <w:lang w:val="en-US"/>
        </w:rPr>
        <w:t>2</w:t>
      </w:r>
      <w:r w:rsidRPr="006643EC">
        <w:t xml:space="preserve"> млн. лв. (нето) трансфери от бюджетни сметки (от които 10</w:t>
      </w:r>
      <w:r>
        <w:rPr>
          <w:lang w:val="en-US"/>
        </w:rPr>
        <w:t>1</w:t>
      </w:r>
      <w:r>
        <w:t>,</w:t>
      </w:r>
      <w:r>
        <w:rPr>
          <w:lang w:val="en-US"/>
        </w:rPr>
        <w:t>3</w:t>
      </w:r>
      <w:r w:rsidRPr="006643EC">
        <w:t xml:space="preserve"> млн. лв. получени и 53</w:t>
      </w:r>
      <w:r>
        <w:t>,</w:t>
      </w:r>
      <w:r w:rsidRPr="006643EC">
        <w:t>1 млн. лв. предоставени трансфери) и др</w:t>
      </w:r>
      <w:r>
        <w:t>уги</w:t>
      </w:r>
      <w:r w:rsidRPr="006643EC">
        <w:t>.</w:t>
      </w:r>
    </w:p>
    <w:p w:rsidR="000938C1" w:rsidRPr="006643EC" w:rsidRDefault="000938C1" w:rsidP="006643EC">
      <w:pPr>
        <w:widowControl w:val="0"/>
        <w:ind w:firstLine="720"/>
        <w:jc w:val="both"/>
      </w:pPr>
      <w:r w:rsidRPr="006643EC">
        <w:t>Получените/предоставени временни безлихвени заеми по извънбюджетните сметки за европейски средства на общините са в размер на (-2</w:t>
      </w:r>
      <w:r>
        <w:t>,</w:t>
      </w:r>
      <w:r>
        <w:rPr>
          <w:lang w:val="en-US"/>
        </w:rPr>
        <w:t>6</w:t>
      </w:r>
      <w:r w:rsidRPr="006643EC">
        <w:t xml:space="preserve"> млн. лв.), а салдото в края на 2013 г. е излишък в размер на 285</w:t>
      </w:r>
      <w:r>
        <w:t>,</w:t>
      </w:r>
      <w:r w:rsidRPr="006643EC">
        <w:t>0 млн. л</w:t>
      </w:r>
      <w:r>
        <w:t>е</w:t>
      </w:r>
      <w:r w:rsidRPr="006643EC">
        <w:t>в</w:t>
      </w:r>
      <w:r>
        <w:t>а</w:t>
      </w:r>
      <w:r w:rsidRPr="006643EC">
        <w:t xml:space="preserve">. </w:t>
      </w:r>
    </w:p>
    <w:p w:rsidR="000938C1" w:rsidRPr="006643EC" w:rsidRDefault="000938C1" w:rsidP="006643EC">
      <w:pPr>
        <w:widowControl w:val="0"/>
        <w:spacing w:after="120"/>
        <w:ind w:firstLine="720"/>
        <w:jc w:val="both"/>
      </w:pPr>
      <w:r w:rsidRPr="006643EC">
        <w:t>Извън тези по европейските програми, за 201</w:t>
      </w:r>
      <w:r w:rsidRPr="002255D3">
        <w:rPr>
          <w:lang w:val="ru-RU"/>
        </w:rPr>
        <w:t>3</w:t>
      </w:r>
      <w:r w:rsidRPr="006643EC">
        <w:t xml:space="preserve"> г. общините отчитат по извънбюджетните си сметки извършени разходи общо в размер на 16</w:t>
      </w:r>
      <w:r>
        <w:t>,</w:t>
      </w:r>
      <w:r w:rsidRPr="006643EC">
        <w:t>6 млн. лв., от които най-голям дял имат направените капиталови разходи в размер на 13</w:t>
      </w:r>
      <w:r>
        <w:t>,</w:t>
      </w:r>
      <w:r w:rsidRPr="006643EC">
        <w:t xml:space="preserve">9 млн. лв. Част от тези разходи са финансирани от собствени приходи в размер на </w:t>
      </w:r>
      <w:r>
        <w:rPr>
          <w:lang w:val="en-US"/>
        </w:rPr>
        <w:t>1</w:t>
      </w:r>
      <w:r>
        <w:t>,</w:t>
      </w:r>
      <w:r>
        <w:rPr>
          <w:lang w:val="en-US"/>
        </w:rPr>
        <w:t>0</w:t>
      </w:r>
      <w:r w:rsidRPr="006643EC">
        <w:t xml:space="preserve"> млн. лв. През отчетния период са предоставени трансфери от извънбюджетните към бюджетните сметки на общините в размер на 29</w:t>
      </w:r>
      <w:r>
        <w:t>,</w:t>
      </w:r>
      <w:r>
        <w:rPr>
          <w:lang w:val="en-US"/>
        </w:rPr>
        <w:t>2</w:t>
      </w:r>
      <w:r w:rsidRPr="006643EC">
        <w:t xml:space="preserve"> млн. лв., а между извънбюджетните сметки са предоставени трансфери 15</w:t>
      </w:r>
      <w:r>
        <w:t>,</w:t>
      </w:r>
      <w:r w:rsidRPr="006643EC">
        <w:t>8 млн. лв. и получени 13</w:t>
      </w:r>
      <w:r>
        <w:t>,</w:t>
      </w:r>
      <w:r w:rsidRPr="006643EC">
        <w:t>4 млн. лв. или нето (-2</w:t>
      </w:r>
      <w:r>
        <w:t>,</w:t>
      </w:r>
      <w:r w:rsidRPr="006643EC">
        <w:t xml:space="preserve">4) млн. лв.Отчетени са и </w:t>
      </w:r>
      <w:r w:rsidRPr="002255D3">
        <w:rPr>
          <w:lang w:val="ru-RU"/>
        </w:rPr>
        <w:t>5</w:t>
      </w:r>
      <w:r>
        <w:t>,</w:t>
      </w:r>
      <w:r w:rsidRPr="002255D3">
        <w:rPr>
          <w:lang w:val="ru-RU"/>
        </w:rPr>
        <w:t>3</w:t>
      </w:r>
      <w:r w:rsidRPr="006643EC">
        <w:t xml:space="preserve"> млн. лв. (нето) временни безлихвени заеми между бюджетни и извънбюджетни сметки. </w:t>
      </w:r>
    </w:p>
    <w:p w:rsidR="000938C1" w:rsidRPr="002255D3" w:rsidRDefault="000938C1" w:rsidP="006643EC">
      <w:pPr>
        <w:pStyle w:val="BodyText"/>
        <w:widowControl w:val="0"/>
        <w:ind w:firstLine="720"/>
        <w:jc w:val="both"/>
        <w:rPr>
          <w:lang w:val="ru-RU"/>
        </w:rPr>
      </w:pPr>
      <w:r w:rsidRPr="006643EC">
        <w:t>През 201</w:t>
      </w:r>
      <w:r w:rsidRPr="002255D3">
        <w:rPr>
          <w:lang w:val="ru-RU"/>
        </w:rPr>
        <w:t>3</w:t>
      </w:r>
      <w:r w:rsidRPr="006643EC">
        <w:t xml:space="preserve"> г. 3</w:t>
      </w:r>
      <w:r w:rsidRPr="002255D3">
        <w:rPr>
          <w:lang w:val="ru-RU"/>
        </w:rPr>
        <w:t>0</w:t>
      </w:r>
      <w:r w:rsidRPr="006643EC">
        <w:t xml:space="preserve"> общини са реализирали приходи от приватизация в размер общо на </w:t>
      </w:r>
      <w:r w:rsidRPr="002255D3">
        <w:rPr>
          <w:lang w:val="ru-RU"/>
        </w:rPr>
        <w:t>14</w:t>
      </w:r>
      <w:r>
        <w:t>,</w:t>
      </w:r>
      <w:r w:rsidRPr="002255D3">
        <w:rPr>
          <w:lang w:val="ru-RU"/>
        </w:rPr>
        <w:t>3</w:t>
      </w:r>
      <w:r w:rsidRPr="006643EC">
        <w:t xml:space="preserve"> млн. лв. Най-голям дял от тях заемат Столична община с 4</w:t>
      </w:r>
      <w:r>
        <w:t>,</w:t>
      </w:r>
      <w:r w:rsidRPr="006643EC">
        <w:t>8 млн. лв., Пазарджик – 3</w:t>
      </w:r>
      <w:r>
        <w:t>,</w:t>
      </w:r>
      <w:r w:rsidRPr="006643EC">
        <w:t>3 млн. лв. и Бургас – 1</w:t>
      </w:r>
      <w:r>
        <w:t>,</w:t>
      </w:r>
      <w:r w:rsidRPr="006643EC">
        <w:rPr>
          <w:lang w:val="ru-RU"/>
        </w:rPr>
        <w:t>2</w:t>
      </w:r>
      <w:r w:rsidRPr="006643EC">
        <w:t xml:space="preserve"> млн. лв. От останалите общини, които са събирали под 1</w:t>
      </w:r>
      <w:r>
        <w:t>,</w:t>
      </w:r>
      <w:r w:rsidRPr="006643EC">
        <w:rPr>
          <w:lang w:val="ru-RU"/>
        </w:rPr>
        <w:t>0</w:t>
      </w:r>
      <w:r w:rsidRPr="006643EC">
        <w:t xml:space="preserve"> млн. лв. приходи от приватизация, се открояват Полски Тръмбеш (0</w:t>
      </w:r>
      <w:r>
        <w:t>,</w:t>
      </w:r>
      <w:r w:rsidRPr="006643EC">
        <w:t>98 млн. лв.), Плевен (0</w:t>
      </w:r>
      <w:r>
        <w:t>,</w:t>
      </w:r>
      <w:r w:rsidRPr="006643EC">
        <w:t>94 млн. лв.) и Сандански (0</w:t>
      </w:r>
      <w:r>
        <w:t>,</w:t>
      </w:r>
      <w:r w:rsidRPr="006643EC">
        <w:t>8 млн. л</w:t>
      </w:r>
      <w:r>
        <w:t>е</w:t>
      </w:r>
      <w:r w:rsidRPr="006643EC">
        <w:t>в</w:t>
      </w:r>
      <w:r>
        <w:t>а</w:t>
      </w:r>
      <w:r w:rsidRPr="006643EC">
        <w:t>).</w:t>
      </w:r>
    </w:p>
    <w:p w:rsidR="000938C1" w:rsidRPr="00EF68EB" w:rsidRDefault="000938C1" w:rsidP="00F30F79">
      <w:pPr>
        <w:pStyle w:val="Heading2"/>
        <w:numPr>
          <w:ilvl w:val="1"/>
          <w:numId w:val="31"/>
        </w:numPr>
        <w:rPr>
          <w:rFonts w:ascii="Times New Roman" w:hAnsi="Times New Roman" w:cs="Times New Roman"/>
          <w:i w:val="0"/>
          <w:iCs w:val="0"/>
          <w:sz w:val="24"/>
        </w:rPr>
      </w:pPr>
      <w:bookmarkStart w:id="329" w:name="_Toc324863446"/>
      <w:bookmarkStart w:id="330" w:name="_Toc326315938"/>
      <w:bookmarkStart w:id="331" w:name="_Toc393728097"/>
      <w:r w:rsidRPr="00EF68EB">
        <w:rPr>
          <w:rFonts w:ascii="Times New Roman" w:hAnsi="Times New Roman" w:cs="Times New Roman"/>
          <w:i w:val="0"/>
          <w:iCs w:val="0"/>
          <w:sz w:val="24"/>
        </w:rPr>
        <w:t>Българско национално радио</w:t>
      </w:r>
      <w:bookmarkEnd w:id="329"/>
      <w:bookmarkEnd w:id="330"/>
      <w:bookmarkEnd w:id="331"/>
    </w:p>
    <w:p w:rsidR="000938C1" w:rsidRPr="00EF68EB" w:rsidRDefault="000938C1" w:rsidP="00EF68EB">
      <w:pPr>
        <w:widowControl w:val="0"/>
        <w:spacing w:after="120"/>
        <w:ind w:firstLine="720"/>
        <w:jc w:val="both"/>
      </w:pPr>
      <w:r w:rsidRPr="00EF68EB">
        <w:t>По бюджета на Българското национално радио през 2013 г. са постъпили приходи в размер на 1,95 млн. лв. или 93,3 % спрямо разчетите към ЗДБРБ за 2013 г. Съгласно разпоредбите на Закона за радиото и телевизията в приход на бюджета на БНР постъпват собствени приходи от реклама, спонсорство, дарения, лихви и други приходи, свързани с дейността на националното радио.</w:t>
      </w:r>
    </w:p>
    <w:p w:rsidR="000938C1" w:rsidRPr="00EF68EB" w:rsidRDefault="000938C1" w:rsidP="00EF68EB">
      <w:pPr>
        <w:widowControl w:val="0"/>
        <w:spacing w:after="120"/>
        <w:ind w:firstLine="720"/>
        <w:jc w:val="both"/>
        <w:rPr>
          <w:color w:val="0070C0"/>
        </w:rPr>
      </w:pPr>
      <w:r w:rsidRPr="00EF68EB">
        <w:t xml:space="preserve">Основна част от приходите представляват неданъчни приходи, които възлизат на 1,9 млн. лв. и са по-малко от разчета за годината с 8,8 %. Спрямо 2012 г. също се отчита намаление (с 20,4 %) в резултат от отчетените по-ниски постъпления от реклама, спонсорски и др. услуги, които формират основния дял приходи по бюджета на националното радио. </w:t>
      </w:r>
    </w:p>
    <w:p w:rsidR="000938C1" w:rsidRPr="00EF68EB" w:rsidRDefault="000938C1" w:rsidP="00EF68EB">
      <w:pPr>
        <w:widowControl w:val="0"/>
        <w:spacing w:after="120"/>
        <w:ind w:firstLine="720"/>
        <w:jc w:val="both"/>
      </w:pPr>
      <w:r w:rsidRPr="00EF68EB">
        <w:t>Отчетените приходи и доходи от собственост са в размер на 2,19 млн. лв., в т.ч. 2,15 млн. лв. приходи от продажби на услуги, стоки и продукция (реклама (52,2 %), съвместни проекти (27,5 %), технически услуги (8,8 %), концертна дейност (5,1 %), спонсорски съобщения (1,6 %), издателска и лицензионна дейност (1,5 %) и др.). Получени са и 0,04 млн. лв. от наеми на имущество.</w:t>
      </w:r>
    </w:p>
    <w:p w:rsidR="000938C1" w:rsidRPr="00EF68EB" w:rsidRDefault="000938C1" w:rsidP="00EF68EB">
      <w:pPr>
        <w:widowControl w:val="0"/>
        <w:spacing w:after="120"/>
        <w:ind w:firstLine="720"/>
        <w:jc w:val="both"/>
        <w:rPr>
          <w:lang w:val="ru-RU"/>
        </w:rPr>
      </w:pPr>
      <w:r w:rsidRPr="00EF68EB">
        <w:t>По бюджета на БНР за 2013 г. са отчетени безвъзмездно получени средства от страната и чужбина в размер на 0,04 млн. лв., в т.ч. от „Златна Панега-Цимент“ за организиране на джаз концерт и финансиране от Европейския парламент по проект „Европа за мен“ /авансово преведена сума/.</w:t>
      </w:r>
    </w:p>
    <w:p w:rsidR="000938C1" w:rsidRPr="00EF68EB" w:rsidRDefault="000938C1" w:rsidP="00EF68EB">
      <w:pPr>
        <w:widowControl w:val="0"/>
        <w:spacing w:after="120"/>
        <w:ind w:firstLine="720"/>
        <w:jc w:val="both"/>
      </w:pPr>
      <w:r w:rsidRPr="00EF68EB">
        <w:t>В съответствие с разпоредбите на Закона за радиото и телевизията Управителният съвет на Българското национално радио приема бюджета и неговото разпределение по ЕБК, като включва в него и определената със ЗДБРБ за 2013 г. субсидия в размер на 42,1 млн. лв., в т.ч. 3,9 млн. лв. по чл. 70, ал. 4, т. 2 от Закона за радиото и телевизията – за придобиване и основен ремонт на дълготрайни активи. За 2013 г. общият размер на субсидията, предоставена на БНР, е в размер на 42,1 млн. л</w:t>
      </w:r>
      <w:r>
        <w:t>е</w:t>
      </w:r>
      <w:r w:rsidRPr="00EF68EB">
        <w:t>в</w:t>
      </w:r>
      <w:r>
        <w:t>а</w:t>
      </w:r>
      <w:r w:rsidRPr="00EF68EB">
        <w:t xml:space="preserve">.   </w:t>
      </w:r>
    </w:p>
    <w:p w:rsidR="000938C1" w:rsidRPr="00EF68EB" w:rsidRDefault="000938C1" w:rsidP="00EF68EB">
      <w:pPr>
        <w:widowControl w:val="0"/>
        <w:spacing w:after="120"/>
        <w:ind w:firstLine="720"/>
        <w:jc w:val="both"/>
        <w:rPr>
          <w:color w:val="0070C0"/>
        </w:rPr>
      </w:pPr>
      <w:r w:rsidRPr="00EF68EB">
        <w:t xml:space="preserve">Изпълнението на разходите по бюджета на БНР за 2013 г. е в размер на 44,7 млн. лв., което представлява 101,1 % спрямо разчетите към ЗДБРБ за 2013 г., като тук се включват и </w:t>
      </w:r>
      <w:r w:rsidRPr="00EF68EB">
        <w:rPr>
          <w:lang w:eastAsia="en-US"/>
        </w:rPr>
        <w:t>2,5 млн. лв. разходи за сметка на преходния остатък за 2012 г., включен в бюджета за 2013 г. съгласно чл. 70, ал. 6 от ЗРТ</w:t>
      </w:r>
      <w:r w:rsidRPr="00EF68EB">
        <w:t xml:space="preserve">. Средствата са усвоени за реализиране на основните цели и дейности на БНР по подготовката, създаването и разпространението на национални и регионални радиопрограми в изпълнение на разпоредбите на Закона за радиото и телевизията. </w:t>
      </w:r>
    </w:p>
    <w:p w:rsidR="000938C1" w:rsidRPr="00EF68EB" w:rsidRDefault="000938C1" w:rsidP="00EF68EB">
      <w:pPr>
        <w:tabs>
          <w:tab w:val="center" w:pos="4153"/>
          <w:tab w:val="right" w:pos="8306"/>
        </w:tabs>
        <w:spacing w:before="120" w:after="120"/>
        <w:ind w:firstLine="720"/>
        <w:jc w:val="both"/>
      </w:pPr>
      <w:r w:rsidRPr="00EF68EB">
        <w:t>Дейността на БНР през отчетния период е съобразена с основните цели на медията: разширяване и задълбочаване на многопрограмното развитие на БНР, създаването на нови проекти за интегрирани предавания между националните и регионалните програми и тяхното ребрандиране, по-нататъшно развитие на предавателната мрежа, налагане на общественото радио като програмен, технически и технологичен лидер.</w:t>
      </w:r>
    </w:p>
    <w:p w:rsidR="000938C1" w:rsidRPr="00EF68EB" w:rsidRDefault="000938C1" w:rsidP="00B44616">
      <w:pPr>
        <w:tabs>
          <w:tab w:val="center" w:pos="4153"/>
          <w:tab w:val="right" w:pos="8306"/>
        </w:tabs>
        <w:spacing w:before="120" w:after="120"/>
        <w:ind w:firstLine="720"/>
        <w:jc w:val="both"/>
        <w:rPr>
          <w:color w:val="0070C0"/>
        </w:rPr>
      </w:pPr>
      <w:r w:rsidRPr="00EF68EB">
        <w:t>За осъществяване на основната дейност на националното радио за 2013 г. са усвоени текущи разходи в размер на 40,2 млн. лв. (99,9 % от годишния разчет). Разходите за персонал са в размер на 23,4 млн. лв., като от тях 16,1 млн. лв. са заплати и възнаграждения на персонала, 4,2 млн. лв. други възнаграждения и плащания на персонала и 3,1 млн. лв. осигурителни вноски. Отчетените разходи за издръжка са в размер на 16,6 млн. лв., като най-голям относителен дял от тях (68,4 %) заемат разходите за външни услуги (такси за разпространение на програмите на БНР)</w:t>
      </w:r>
      <w:r>
        <w:t>; за възнаграждения за авторски права за излъчване на лицензирани звукозаписи в програмите на националното радио и т. н</w:t>
      </w:r>
      <w:r w:rsidRPr="00EF68EB">
        <w:t>.</w:t>
      </w:r>
    </w:p>
    <w:p w:rsidR="000938C1" w:rsidRDefault="000938C1" w:rsidP="00EF68EB">
      <w:pPr>
        <w:pStyle w:val="BodyText"/>
        <w:widowControl w:val="0"/>
        <w:ind w:firstLine="720"/>
        <w:jc w:val="both"/>
      </w:pPr>
      <w:r w:rsidRPr="00EF68EB">
        <w:t>Отчетените капиталови разходи са в размер на 4,4 млн. лв. (113,6 % от разчета към ЗДБРБ 2013 г.). Средствата са усвоени за основен ремонт и придобиване на дълготрайни материални и нематериални активи. Основната част от усвоените средства е насочена към техническото и технологично обновление на производствено-студийната база, прехода към цифровизация на цялостния работен процес на подготовка и излъчване на радиопрограмите, и за подобряване покритието на страната с програмите на БНР.</w:t>
      </w:r>
    </w:p>
    <w:p w:rsidR="000938C1" w:rsidRPr="00E800B9" w:rsidRDefault="000938C1" w:rsidP="00F30F79">
      <w:pPr>
        <w:pStyle w:val="Heading2"/>
        <w:numPr>
          <w:ilvl w:val="1"/>
          <w:numId w:val="31"/>
        </w:numPr>
        <w:rPr>
          <w:rFonts w:ascii="Times New Roman" w:hAnsi="Times New Roman" w:cs="Times New Roman"/>
          <w:i w:val="0"/>
          <w:iCs w:val="0"/>
          <w:sz w:val="24"/>
        </w:rPr>
      </w:pPr>
      <w:bookmarkStart w:id="332" w:name="_Toc393728098"/>
      <w:r w:rsidRPr="00E800B9">
        <w:rPr>
          <w:rFonts w:ascii="Times New Roman" w:hAnsi="Times New Roman" w:cs="Times New Roman"/>
          <w:i w:val="0"/>
          <w:iCs w:val="0"/>
          <w:sz w:val="24"/>
        </w:rPr>
        <w:t>Българска национална телевизия</w:t>
      </w:r>
      <w:bookmarkEnd w:id="327"/>
      <w:bookmarkEnd w:id="332"/>
    </w:p>
    <w:p w:rsidR="000938C1" w:rsidRPr="00E800B9" w:rsidRDefault="000938C1" w:rsidP="00E800B9">
      <w:pPr>
        <w:ind w:firstLine="708"/>
        <w:jc w:val="both"/>
      </w:pPr>
      <w:r w:rsidRPr="00E800B9">
        <w:rPr>
          <w:lang w:eastAsia="en-US"/>
        </w:rPr>
        <w:t xml:space="preserve">По бюджета на БНТ за 2013 г. са отчетени приходи в размер на 6,9 млн. лв., което представлява 92,2 % от общия размер на планираните в разчетите към ЗДБРБ за 2013 г., като сумата е почти непроменена спрямо постъпленията за 2012 г. </w:t>
      </w:r>
      <w:r w:rsidRPr="00E800B9">
        <w:t>Съгласно разпоредбите на Закона за радиото и телевизията в приход на бюджета на БНТ постъпват собствени приходи от реклама, спонсорство, дарения, лихви и др. приходи, свързани с дейността на националната телевизия.</w:t>
      </w:r>
    </w:p>
    <w:p w:rsidR="000938C1" w:rsidRPr="00E800B9" w:rsidRDefault="000938C1" w:rsidP="00E800B9">
      <w:pPr>
        <w:tabs>
          <w:tab w:val="right" w:pos="7938"/>
        </w:tabs>
        <w:ind w:firstLine="720"/>
        <w:jc w:val="both"/>
        <w:rPr>
          <w:lang w:eastAsia="en-US"/>
        </w:rPr>
      </w:pPr>
      <w:r w:rsidRPr="00E800B9">
        <w:t>Изпълнението на неданъчните приходи е в размер на 6,8 млн. лв. и възлиза на 91,3</w:t>
      </w:r>
      <w:r>
        <w:t xml:space="preserve"> </w:t>
      </w:r>
      <w:r w:rsidRPr="00E800B9">
        <w:t>% от планираните им стойности за годината – 7,5 млн. лв.</w:t>
      </w:r>
      <w:r>
        <w:t xml:space="preserve"> </w:t>
      </w:r>
      <w:r w:rsidRPr="00E800B9">
        <w:t xml:space="preserve">Неизпълнението на  приходите се дължи на отчетени по-ниски постъпления от реклама, спонсорски и др. услуги, които формират основния дял приходи по бюджета на обществената телевизия. </w:t>
      </w:r>
      <w:r w:rsidRPr="00E800B9">
        <w:rPr>
          <w:lang w:eastAsia="en-US"/>
        </w:rPr>
        <w:t xml:space="preserve">Отчетените през 2013 г. приходи и доходи от собственост са в размер на 8,1 млн. лв., в т.ч. 7,9 млн. лв. постъпления от продажба на услуги, стоки и продукция (реклама, спонсорство, технически услуги, почивно дело, продажба на програми); и 0,2 млн. лв. от наеми на имущество. </w:t>
      </w:r>
    </w:p>
    <w:p w:rsidR="000938C1" w:rsidRPr="00E800B9" w:rsidRDefault="000938C1" w:rsidP="00E800B9">
      <w:pPr>
        <w:tabs>
          <w:tab w:val="right" w:pos="7938"/>
        </w:tabs>
        <w:ind w:firstLine="720"/>
        <w:jc w:val="both"/>
        <w:rPr>
          <w:color w:val="0070C0"/>
          <w:lang w:eastAsia="en-US"/>
        </w:rPr>
      </w:pPr>
      <w:r w:rsidRPr="00E800B9">
        <w:t>За 2013 г. по бюджета са отчетени безвъзмездно получени средства от чужбина в размер на 0,1 млн.</w:t>
      </w:r>
      <w:r>
        <w:t xml:space="preserve"> лв. </w:t>
      </w:r>
      <w:r w:rsidRPr="00E800B9">
        <w:t>от Фондация „Америка за България“, САЩ, за производство на документални филми.</w:t>
      </w:r>
    </w:p>
    <w:p w:rsidR="000938C1" w:rsidRPr="00E800B9" w:rsidRDefault="000938C1" w:rsidP="00E800B9">
      <w:pPr>
        <w:tabs>
          <w:tab w:val="right" w:pos="7938"/>
        </w:tabs>
        <w:ind w:firstLine="720"/>
        <w:jc w:val="both"/>
      </w:pPr>
      <w:r w:rsidRPr="00E800B9">
        <w:rPr>
          <w:lang w:eastAsia="en-US"/>
        </w:rPr>
        <w:t>В съответствие с разпоредбите на Закона за радиото и телевизията Управителният съвет на БНТ приема бюджета на Българска национална телевизия и неговото разпределение по ЕБК, като включва в него и определената със ЗДБРБ за 2013 г. субсидия от 70,</w:t>
      </w:r>
      <w:r>
        <w:rPr>
          <w:lang w:eastAsia="en-US"/>
        </w:rPr>
        <w:t>1</w:t>
      </w:r>
      <w:r w:rsidRPr="00E800B9">
        <w:rPr>
          <w:lang w:eastAsia="en-US"/>
        </w:rPr>
        <w:t xml:space="preserve"> млн. лв., в т.ч. 8,1 млн. лв. по чл. 70, ал. 4, т.2 от Закона за радиото и телевизията за придобиване и основен ремонт на дълготрайни материални активи. В изпълнение на Постановление № 44 на Министерския съвет от 2013 г. за одобряване на допълнителни бюджетни средства от централния бюджет за 2013 г. за честване на 135-годишнината от Освобождението на България на БНТ е предоставена допълнителна субсидия в размер на 0,1 млн. лв. за реализиране на тържествен концерт в навечерието на 3 март 2013 г. </w:t>
      </w:r>
      <w:r w:rsidRPr="00E800B9">
        <w:t>За отчетния период общият размер на субсидията е предоставен и усвоен</w:t>
      </w:r>
      <w:r>
        <w:t xml:space="preserve"> сто на сто.</w:t>
      </w:r>
    </w:p>
    <w:p w:rsidR="000938C1" w:rsidRPr="00E800B9" w:rsidRDefault="000938C1" w:rsidP="00E800B9">
      <w:pPr>
        <w:tabs>
          <w:tab w:val="right" w:pos="7938"/>
        </w:tabs>
        <w:ind w:firstLine="720"/>
        <w:jc w:val="both"/>
        <w:rPr>
          <w:color w:val="0070C0"/>
          <w:lang w:eastAsia="en-US"/>
        </w:rPr>
      </w:pPr>
      <w:r w:rsidRPr="00E800B9">
        <w:rPr>
          <w:lang w:eastAsia="en-US"/>
        </w:rPr>
        <w:t>Отчетените общо разходи на БНТ за 2013 г. са в размер на 79,3 млн. лв., като това е с 1,7 млн. лв. повече от разчетите към ЗДБРБ за 2013 г. Спрямо 2012 г. разходите са намалели с 4,2</w:t>
      </w:r>
      <w:r>
        <w:rPr>
          <w:lang w:eastAsia="en-US"/>
        </w:rPr>
        <w:t xml:space="preserve"> </w:t>
      </w:r>
      <w:r w:rsidRPr="00E800B9">
        <w:rPr>
          <w:lang w:eastAsia="en-US"/>
        </w:rPr>
        <w:t>%. Средствата са усвоени за реализирането на основните цели и дейности на БНТ по подготовката, създаването и разпространението на телевизионна програма в изпълнение на разпоредбите на Закона за радиото и телевизията. С цел ограничаване на разходите и преодоляване на финансови затруднения от БНТ са предприети мерки за оптимизиране на разходите, въвеждане на редица лимитни ограничения, редуциране на разходите за производство на телевизионни продукции и други.</w:t>
      </w:r>
    </w:p>
    <w:p w:rsidR="000938C1" w:rsidRPr="00E800B9" w:rsidRDefault="000938C1" w:rsidP="00E800B9">
      <w:pPr>
        <w:tabs>
          <w:tab w:val="right" w:pos="7938"/>
        </w:tabs>
        <w:ind w:firstLine="720"/>
        <w:jc w:val="both"/>
        <w:rPr>
          <w:color w:val="0070C0"/>
          <w:lang w:eastAsia="en-US"/>
        </w:rPr>
      </w:pPr>
      <w:r w:rsidRPr="00E800B9">
        <w:rPr>
          <w:lang w:eastAsia="en-US"/>
        </w:rPr>
        <w:t xml:space="preserve">За осъществяване на основната дейност на обществената телевизия са извършени текущи разходи в размер на 61,6 млн. лв. (98,9 % от годишния разчет). </w:t>
      </w:r>
      <w:r w:rsidRPr="00E800B9">
        <w:t xml:space="preserve">Разходите за персонал са в размер на 26,1 млн. лв., като от тях 19,7 млн. лв. са заплати и възнаграждения на персонала, 3,6 млн. лв. осигурителни вноски и 2,8 млн. лв. други възнаграждения и плащания на персонала. </w:t>
      </w:r>
      <w:r w:rsidRPr="00E800B9">
        <w:rPr>
          <w:lang w:eastAsia="en-US"/>
        </w:rPr>
        <w:t xml:space="preserve">Отчетените разходи за издръжка на БНТ са в размер на 35,1 млн. лв. или 56,9 % от текущите разходи. Това са основно разходи за външни услуги в т.ч. такси за разпространение на програмите на БНТ; възнаграждения за авторски и сродни права на колективни сдружения; външни продукции; </w:t>
      </w:r>
      <w:r w:rsidRPr="00E800B9">
        <w:t>отстъпени права за закупуване на програми и спортни събития; международни трасета и унилатерали; информационни услуги; услуги и наеми за предавания и социологически изследвания.</w:t>
      </w:r>
    </w:p>
    <w:p w:rsidR="000938C1" w:rsidRDefault="000938C1" w:rsidP="00E800B9">
      <w:pPr>
        <w:tabs>
          <w:tab w:val="right" w:pos="7938"/>
        </w:tabs>
        <w:spacing w:after="120"/>
        <w:ind w:firstLine="720"/>
        <w:jc w:val="both"/>
      </w:pPr>
      <w:r w:rsidRPr="00E800B9">
        <w:t xml:space="preserve">Отчетените капиталови разходи за 2013 г. са в размер на </w:t>
      </w:r>
      <w:r w:rsidRPr="00E800B9">
        <w:rPr>
          <w:lang w:eastAsia="en-US"/>
        </w:rPr>
        <w:t xml:space="preserve">17,7 млн. лв. или 115,5 % от годишния разчет. </w:t>
      </w:r>
      <w:r>
        <w:rPr>
          <w:lang w:eastAsia="en-US"/>
        </w:rPr>
        <w:t xml:space="preserve">Средствата са усвоени за основен ремонт и придобиване на дълготрайни активи. </w:t>
      </w:r>
      <w:r w:rsidRPr="00E800B9">
        <w:rPr>
          <w:lang w:eastAsia="en-US"/>
        </w:rPr>
        <w:t xml:space="preserve">Отчетените средства за нематериални дълготрайни активи </w:t>
      </w:r>
      <w:r>
        <w:rPr>
          <w:lang w:eastAsia="en-US"/>
        </w:rPr>
        <w:t xml:space="preserve">основно </w:t>
      </w:r>
      <w:r w:rsidRPr="00E800B9">
        <w:rPr>
          <w:lang w:eastAsia="en-US"/>
        </w:rPr>
        <w:t xml:space="preserve">са усвоени за създаване на българско филмово телевизионно творчество, </w:t>
      </w:r>
      <w:r w:rsidRPr="00E800B9">
        <w:t>придобиване правата за излъчване на европейски и световни първенства, за закупуване права за излъчване на чужди и български програми и за патенти.</w:t>
      </w:r>
    </w:p>
    <w:p w:rsidR="000938C1" w:rsidRPr="00E800B9" w:rsidRDefault="000938C1" w:rsidP="00F30F79">
      <w:pPr>
        <w:pStyle w:val="Heading2"/>
        <w:numPr>
          <w:ilvl w:val="1"/>
          <w:numId w:val="31"/>
        </w:numPr>
        <w:rPr>
          <w:rFonts w:ascii="Times New Roman" w:hAnsi="Times New Roman" w:cs="Times New Roman"/>
          <w:i w:val="0"/>
          <w:iCs w:val="0"/>
          <w:sz w:val="24"/>
        </w:rPr>
      </w:pPr>
      <w:bookmarkStart w:id="333" w:name="_Toc393728099"/>
      <w:r w:rsidRPr="00E800B9">
        <w:rPr>
          <w:rFonts w:ascii="Times New Roman" w:hAnsi="Times New Roman" w:cs="Times New Roman"/>
          <w:i w:val="0"/>
          <w:iCs w:val="0"/>
          <w:sz w:val="24"/>
        </w:rPr>
        <w:t>Българска телеграфна агенция</w:t>
      </w:r>
      <w:bookmarkEnd w:id="333"/>
    </w:p>
    <w:p w:rsidR="000938C1" w:rsidRPr="00E800B9" w:rsidRDefault="000938C1" w:rsidP="00E800B9">
      <w:pPr>
        <w:tabs>
          <w:tab w:val="right" w:pos="7938"/>
        </w:tabs>
        <w:ind w:firstLine="720"/>
        <w:jc w:val="both"/>
        <w:rPr>
          <w:lang w:eastAsia="en-US"/>
        </w:rPr>
      </w:pPr>
      <w:r w:rsidRPr="00E800B9">
        <w:t xml:space="preserve">Общият размер на приходите към 31.12.2013 г. на Българската телеграфна агенция /БТА/ е 2,0 млн. лв., които са реализирани от продажба на информационни продукти и услуги. Изпълнението на неданъчните приходи е в размер на 2,0 млн. лв. и възлиза на 79,6% от планираните им стойности за годината – 2,5 млн. лв. </w:t>
      </w:r>
      <w:r w:rsidRPr="00E800B9">
        <w:rPr>
          <w:lang w:eastAsia="en-US"/>
        </w:rPr>
        <w:t>Отчетените през 2013 г. приходи и доходи от собственост са в размер на 2,2 млн. лв., в т.ч. 2,1 млн. лв. постъпления от продажба на услуги, стоки и продукция.</w:t>
      </w:r>
    </w:p>
    <w:p w:rsidR="000938C1" w:rsidRDefault="000938C1" w:rsidP="00E800B9">
      <w:pPr>
        <w:spacing w:before="120" w:after="120"/>
        <w:ind w:firstLine="720"/>
        <w:jc w:val="both"/>
      </w:pPr>
      <w:r w:rsidRPr="00E800B9">
        <w:t>Отчетените общи разходи към 31.12.2013 г. по бюджета на БТАса в размер на 6,4 млн. лв., което представлява 96,4 % спрямо утвърдените разходи с разчетите към ЗДБРБ за 2013 г. и с 4,4 % по-малко от предходната година. С най-голям относителен дял - 73,5 % от общите разходи - са разходите за персонал, от които 3,5 млн. лв. са за заплати и възнаграждения на персонала, 0,7 млн. лв. – осигурителни вноски и 0,5 млн. лв. други възнаграждения и плащания на персонала. Разходите за издръжка за 2013 г. са в размер на 1,6 млн. лв. Капиталовите разходи са в размер на 0,1 млн. л</w:t>
      </w:r>
      <w:r>
        <w:t>е</w:t>
      </w:r>
      <w:r w:rsidRPr="00E800B9">
        <w:t>в</w:t>
      </w:r>
      <w:r>
        <w:t>а</w:t>
      </w:r>
      <w:r w:rsidRPr="00E800B9">
        <w:t>.</w:t>
      </w:r>
    </w:p>
    <w:p w:rsidR="000938C1" w:rsidRPr="00C441D1" w:rsidRDefault="000938C1" w:rsidP="00F30F79">
      <w:pPr>
        <w:pStyle w:val="Heading2"/>
        <w:numPr>
          <w:ilvl w:val="1"/>
          <w:numId w:val="31"/>
        </w:numPr>
        <w:rPr>
          <w:rFonts w:ascii="Times New Roman" w:hAnsi="Times New Roman" w:cs="Times New Roman"/>
          <w:i w:val="0"/>
          <w:iCs w:val="0"/>
          <w:sz w:val="24"/>
        </w:rPr>
      </w:pPr>
      <w:bookmarkStart w:id="334" w:name="_Toc326165959"/>
      <w:bookmarkStart w:id="335" w:name="_Toc326166062"/>
      <w:bookmarkStart w:id="336" w:name="_Toc326226661"/>
      <w:bookmarkStart w:id="337" w:name="_Toc324863448"/>
      <w:bookmarkStart w:id="338" w:name="_Toc393728100"/>
      <w:bookmarkEnd w:id="334"/>
      <w:bookmarkEnd w:id="335"/>
      <w:bookmarkEnd w:id="336"/>
      <w:r w:rsidRPr="00C441D1">
        <w:rPr>
          <w:rFonts w:ascii="Times New Roman" w:hAnsi="Times New Roman" w:cs="Times New Roman"/>
          <w:i w:val="0"/>
          <w:iCs w:val="0"/>
          <w:sz w:val="24"/>
        </w:rPr>
        <w:t>Държавни висши училища</w:t>
      </w:r>
      <w:bookmarkEnd w:id="337"/>
      <w:bookmarkEnd w:id="338"/>
    </w:p>
    <w:p w:rsidR="000938C1" w:rsidRPr="00C441D1" w:rsidRDefault="000938C1" w:rsidP="00C441D1">
      <w:pPr>
        <w:ind w:firstLine="720"/>
        <w:jc w:val="both"/>
      </w:pPr>
      <w:r w:rsidRPr="00C441D1">
        <w:t>Приходите и помощите на ДВУ за 201</w:t>
      </w:r>
      <w:r w:rsidRPr="002255D3">
        <w:rPr>
          <w:lang w:val="ru-RU"/>
        </w:rPr>
        <w:t>3</w:t>
      </w:r>
      <w:r w:rsidRPr="00C441D1">
        <w:t xml:space="preserve"> г. възлизат на 2</w:t>
      </w:r>
      <w:r w:rsidRPr="002255D3">
        <w:rPr>
          <w:lang w:val="ru-RU"/>
        </w:rPr>
        <w:t>91</w:t>
      </w:r>
      <w:r w:rsidRPr="00C441D1">
        <w:t>,7 млн. лв., което е с 1</w:t>
      </w:r>
      <w:r w:rsidRPr="00C441D1">
        <w:rPr>
          <w:lang w:val="ru-RU"/>
        </w:rPr>
        <w:t>8,9</w:t>
      </w:r>
      <w:r w:rsidRPr="00C441D1">
        <w:rPr>
          <w:lang w:val="en-US"/>
        </w:rPr>
        <w:t> </w:t>
      </w:r>
      <w:r w:rsidRPr="00C441D1">
        <w:t xml:space="preserve">млн. лв. повече спрямо 2012 г. или  ръст от 6,9 %. Спрямо разчетите към ЗДБРБ за 2013 г. изпълнението е 114,4 %. Основна част от тях – 269,2 млн. лв., са неданъчните приходи, а 22,5 млн. лв. са получени помощи. </w:t>
      </w:r>
    </w:p>
    <w:p w:rsidR="000938C1" w:rsidRPr="00C441D1" w:rsidRDefault="000938C1" w:rsidP="00C441D1">
      <w:pPr>
        <w:ind w:firstLine="720"/>
        <w:jc w:val="both"/>
      </w:pPr>
      <w:r w:rsidRPr="00C441D1">
        <w:t>Преобладаващата част от приходите (243,7 млн. лв.) са нетни приходи от продажба на услуги, стоки и продукция и се формират от семестриални такси за обучение на студентите, докторантите и специализантите, както и от приходите по договори за научно–изследователска дейност, проекти на държавните висши училища и др. Тези приходи представляват 83,5 % спрямо реализираните общо приходи към 31.12.2013 г</w:t>
      </w:r>
      <w:r>
        <w:t>одина</w:t>
      </w:r>
      <w:r w:rsidRPr="00C441D1">
        <w:t xml:space="preserve">. </w:t>
      </w:r>
    </w:p>
    <w:p w:rsidR="000938C1" w:rsidRPr="00C441D1" w:rsidRDefault="000938C1" w:rsidP="00C441D1">
      <w:pPr>
        <w:ind w:firstLine="720"/>
        <w:jc w:val="both"/>
      </w:pPr>
      <w:r w:rsidRPr="00C441D1">
        <w:t>Приходите от наеми на имущество, реализирани от ДВУ, възлизат на 2</w:t>
      </w:r>
      <w:r w:rsidRPr="00C441D1">
        <w:rPr>
          <w:lang w:val="ru-RU"/>
        </w:rPr>
        <w:t xml:space="preserve">6,2 </w:t>
      </w:r>
      <w:r w:rsidRPr="00C441D1">
        <w:t xml:space="preserve">млн. лв. и представляват </w:t>
      </w:r>
      <w:r w:rsidRPr="00C441D1">
        <w:rPr>
          <w:lang w:val="ru-RU"/>
        </w:rPr>
        <w:t>9,0</w:t>
      </w:r>
      <w:r w:rsidRPr="00C441D1">
        <w:t xml:space="preserve"> % от реализираните общи приходи за 2013 г</w:t>
      </w:r>
      <w:r>
        <w:t>одина</w:t>
      </w:r>
      <w:r w:rsidRPr="00C441D1">
        <w:t xml:space="preserve">. </w:t>
      </w:r>
    </w:p>
    <w:p w:rsidR="000938C1" w:rsidRPr="00C441D1" w:rsidRDefault="000938C1" w:rsidP="00C441D1">
      <w:pPr>
        <w:ind w:firstLine="720"/>
        <w:jc w:val="both"/>
      </w:pPr>
      <w:r w:rsidRPr="00C441D1">
        <w:t>Сред помощите, получени от ДВУ – 22,5 млн. лв., преобладават тези с източник чужбина (20,4 млн. лв.).</w:t>
      </w:r>
    </w:p>
    <w:p w:rsidR="000938C1" w:rsidRDefault="000938C1" w:rsidP="00C441D1">
      <w:pPr>
        <w:ind w:firstLine="720"/>
        <w:jc w:val="both"/>
      </w:pPr>
      <w:r w:rsidRPr="00C441D1">
        <w:t xml:space="preserve">Разходите по бюджетите на ДВУ за 2013 г. възлизат на </w:t>
      </w:r>
      <w:r w:rsidRPr="00C441D1">
        <w:rPr>
          <w:lang w:val="ru-RU"/>
        </w:rPr>
        <w:t>665,7</w:t>
      </w:r>
      <w:r w:rsidRPr="00C441D1">
        <w:t xml:space="preserve"> млн. лв., което представлява 105,6 % спрямо предвидените в разчетите към ЗДБРБ за 2013 г. Спрямо 2012 г. разходите са нараснали с 5,5 %. От общата сума на разходите 438,0 млн. лв. (65,8 %) са изразходвани за заплати, осигуровки и други възнаграждения на персонала, като спрямо миналата година са нараснали с 9,0 %. Втори по големина дял заемат разходите за издръжка – 135,8 млн. лв. (20,4 %), следвани от разходите за стипендии – 40,7 млн. лв. (6,1 % от всички разходи). Капиталовите разходи нарастват с 3,3 % спрямо 2012 г. и към края на 2013 г. са в размер на </w:t>
      </w:r>
      <w:r w:rsidRPr="00C441D1">
        <w:rPr>
          <w:lang w:val="ru-RU"/>
        </w:rPr>
        <w:t>45,4</w:t>
      </w:r>
      <w:r w:rsidRPr="00C441D1">
        <w:t xml:space="preserve"> млн. л</w:t>
      </w:r>
      <w:r>
        <w:t>е</w:t>
      </w:r>
      <w:r w:rsidRPr="00C441D1">
        <w:t>в</w:t>
      </w:r>
      <w:r>
        <w:t>а</w:t>
      </w:r>
      <w:r w:rsidRPr="00C441D1">
        <w:t>.</w:t>
      </w:r>
    </w:p>
    <w:p w:rsidR="000938C1" w:rsidRPr="00C441D1" w:rsidRDefault="000938C1" w:rsidP="00F30F79">
      <w:pPr>
        <w:pStyle w:val="Heading2"/>
        <w:numPr>
          <w:ilvl w:val="1"/>
          <w:numId w:val="31"/>
        </w:numPr>
        <w:rPr>
          <w:rFonts w:ascii="Times New Roman" w:hAnsi="Times New Roman" w:cs="Times New Roman"/>
          <w:i w:val="0"/>
          <w:iCs w:val="0"/>
          <w:sz w:val="24"/>
        </w:rPr>
      </w:pPr>
      <w:bookmarkStart w:id="339" w:name="_Toc324863449"/>
      <w:bookmarkStart w:id="340" w:name="_Toc393728101"/>
      <w:r w:rsidRPr="00C441D1">
        <w:rPr>
          <w:rFonts w:ascii="Times New Roman" w:hAnsi="Times New Roman" w:cs="Times New Roman"/>
          <w:i w:val="0"/>
          <w:iCs w:val="0"/>
          <w:sz w:val="24"/>
        </w:rPr>
        <w:t>Държавни висши военни училища</w:t>
      </w:r>
      <w:bookmarkEnd w:id="339"/>
      <w:bookmarkEnd w:id="340"/>
    </w:p>
    <w:p w:rsidR="000938C1" w:rsidRPr="00C441D1" w:rsidRDefault="000938C1" w:rsidP="00C441D1">
      <w:pPr>
        <w:tabs>
          <w:tab w:val="right" w:pos="7938"/>
        </w:tabs>
        <w:ind w:firstLine="720"/>
        <w:jc w:val="both"/>
        <w:rPr>
          <w:color w:val="0070C0"/>
        </w:rPr>
      </w:pPr>
      <w:r w:rsidRPr="00C441D1">
        <w:rPr>
          <w:bCs/>
        </w:rPr>
        <w:t xml:space="preserve">Приходите на ДВВУ за 2013 г. са </w:t>
      </w:r>
      <w:r w:rsidRPr="00C441D1">
        <w:t xml:space="preserve">в размер на 7,1 млн. лв. или 176,7 % спрямо утвърдените с разчетите към ЗДБРБ за 2013 г. Преизпълнението е реализирано предимно от такси за обучение и от договори за образователни услуги. Основна част от приходите са именно от продажба на услуги – 6,2 млн. лв. Постъпилите </w:t>
      </w:r>
      <w:r w:rsidRPr="00C441D1">
        <w:rPr>
          <w:bCs/>
        </w:rPr>
        <w:t>помощи,</w:t>
      </w:r>
      <w:r w:rsidRPr="00C441D1">
        <w:t xml:space="preserve"> дарения и други безвъзмездно получени суми</w:t>
      </w:r>
      <w:r>
        <w:t xml:space="preserve"> </w:t>
      </w:r>
      <w:r w:rsidRPr="00C441D1">
        <w:t xml:space="preserve">по бюджета на ДВВУ през 2013 г. са в размер на 0,1 млн. лв., като преобладаващата част от тях са </w:t>
      </w:r>
      <w:r w:rsidRPr="00C441D1">
        <w:rPr>
          <w:szCs w:val="28"/>
        </w:rPr>
        <w:t>дарения, получени от Европейския съюз и други международни организации.</w:t>
      </w:r>
    </w:p>
    <w:p w:rsidR="000938C1" w:rsidRPr="00C441D1" w:rsidRDefault="000938C1" w:rsidP="00C441D1">
      <w:pPr>
        <w:ind w:firstLine="708"/>
        <w:jc w:val="both"/>
        <w:rPr>
          <w:color w:val="0070C0"/>
          <w:lang w:eastAsia="en-US"/>
        </w:rPr>
      </w:pPr>
      <w:r w:rsidRPr="00C441D1">
        <w:rPr>
          <w:lang w:eastAsia="en-US"/>
        </w:rPr>
        <w:t>Годишният отчет на разходите по бюджетите на ДВВУ възлиза на 33,7 млн. лв., което е 123,3 % от разчета към ЗДБРБ за 2013 г. През отчетния период са изразходвани 24,3 млн. лв. за персонал (заплати, др. възнаграждения и плащания и осигурителни вноски), което представлява 72,1 % от общите разходи. Изпълнението на този вид разходи е 104,5 % спрямо годишния разчет и е с 10,4 % повече от предходната година, като това основно се дължи на увеличения от 01.01.2013 г. размер на заплатите на военнослужещите и цивилните служители, и на осигурителната вноска за фонд „Пенсии” на военнослужещите</w:t>
      </w:r>
    </w:p>
    <w:p w:rsidR="000938C1" w:rsidRDefault="000938C1" w:rsidP="00C441D1">
      <w:pPr>
        <w:tabs>
          <w:tab w:val="right" w:pos="7938"/>
        </w:tabs>
        <w:ind w:firstLine="720"/>
        <w:jc w:val="both"/>
      </w:pPr>
      <w:r w:rsidRPr="00C441D1">
        <w:t>През 2013 г. за издръжка са изразходвани 6,8 млн. лв. или 20,3 % от общите разходи (18,2 % повече от 2012 г.). Извършените през 2013 г. капиталови разходи са в размер на 1,2 млн. лв., което представлява 3,5 % от общите разходи на военните училища.</w:t>
      </w:r>
    </w:p>
    <w:p w:rsidR="000938C1" w:rsidRPr="00C441D1" w:rsidRDefault="000938C1" w:rsidP="00C441D1">
      <w:pPr>
        <w:tabs>
          <w:tab w:val="right" w:pos="7938"/>
        </w:tabs>
        <w:ind w:firstLine="720"/>
        <w:jc w:val="both"/>
      </w:pPr>
    </w:p>
    <w:p w:rsidR="000938C1" w:rsidRPr="00C441D1" w:rsidRDefault="000938C1" w:rsidP="00F30F79">
      <w:pPr>
        <w:pStyle w:val="Heading2"/>
        <w:numPr>
          <w:ilvl w:val="1"/>
          <w:numId w:val="31"/>
        </w:numPr>
        <w:rPr>
          <w:rFonts w:ascii="Times New Roman" w:hAnsi="Times New Roman" w:cs="Times New Roman"/>
          <w:i w:val="0"/>
          <w:iCs w:val="0"/>
          <w:sz w:val="24"/>
        </w:rPr>
      </w:pPr>
      <w:bookmarkStart w:id="341" w:name="_Toc324863450"/>
      <w:bookmarkStart w:id="342" w:name="_Toc393728102"/>
      <w:r w:rsidRPr="00C441D1">
        <w:rPr>
          <w:rFonts w:ascii="Times New Roman" w:hAnsi="Times New Roman" w:cs="Times New Roman"/>
          <w:i w:val="0"/>
          <w:iCs w:val="0"/>
          <w:sz w:val="24"/>
        </w:rPr>
        <w:t>Българска академия на науките</w:t>
      </w:r>
      <w:bookmarkEnd w:id="341"/>
      <w:bookmarkEnd w:id="342"/>
    </w:p>
    <w:p w:rsidR="000938C1" w:rsidRPr="00C441D1" w:rsidRDefault="000938C1" w:rsidP="00C441D1">
      <w:pPr>
        <w:spacing w:before="120" w:after="120"/>
        <w:ind w:firstLine="720"/>
        <w:jc w:val="both"/>
        <w:rPr>
          <w:color w:val="0070C0"/>
        </w:rPr>
      </w:pPr>
      <w:r w:rsidRPr="00C441D1">
        <w:t>Отчетените приходи и помощи в системата на БАН към 31.12.2013 г. са в размер на 41,4 млн. лв. и надвишават заложените разчети в ЗДБРБ за 2013 г. с 38,1 %. Сравнени с предходната година, приходите на БАН са намалели с 0,8 млн. лв. или 1,8 %. Основна част от реализираните приходи представлява постъпления от продажба на услуги, стоки и продукция (64,5 %), като постъпленията от този вид приходи изпълняват предварителния разчет, но са с 2</w:t>
      </w:r>
      <w:r>
        <w:t>4,7</w:t>
      </w:r>
      <w:r w:rsidRPr="00C441D1">
        <w:t xml:space="preserve"> % по-малко от предходната година. Даренията, помощите и другите безвъзмездно получени суми от БАН възлизат на 12,0 млн. лв. (28,9 % от общите приходи), като в т. ч. 11,2 млн. лв. са получените суми от Европейския съюз по проектите CIP, INTERREG, CEEPUS, COST и др. Сравнени с 2012 г. получените дарения и помощи са 3,4 пъти повече.</w:t>
      </w:r>
    </w:p>
    <w:p w:rsidR="000938C1" w:rsidRPr="00C441D1" w:rsidRDefault="000938C1" w:rsidP="00C441D1">
      <w:pPr>
        <w:spacing w:before="120" w:after="120"/>
        <w:ind w:firstLine="720"/>
        <w:jc w:val="both"/>
      </w:pPr>
      <w:r w:rsidRPr="00C441D1">
        <w:t xml:space="preserve">Основна част от реализираните собствени приходи на поделенията в системата на БАН са от договори за научни разработки. Тези приходи са с целево предназначение, свързани са с конкретни договорни задължения и не могат да се ползват за общоакадемични нужди. </w:t>
      </w:r>
    </w:p>
    <w:p w:rsidR="000938C1" w:rsidRPr="00C441D1" w:rsidRDefault="000938C1" w:rsidP="00C441D1">
      <w:pPr>
        <w:ind w:firstLine="720"/>
        <w:jc w:val="both"/>
        <w:rPr>
          <w:color w:val="0070C0"/>
        </w:rPr>
      </w:pPr>
      <w:r w:rsidRPr="00C441D1">
        <w:t xml:space="preserve">Извършените разходи по бюджета на БАН за 2013 г. са в размер на 113,5 млн. лв., като превишават с 11,5 % (11,7 млн. лв.) предвидените в разчетите към ЗДБРБ за 2013 г. Допълнителните суми </w:t>
      </w:r>
      <w:r w:rsidRPr="00C441D1">
        <w:rPr>
          <w:lang w:eastAsia="en-US"/>
        </w:rPr>
        <w:t xml:space="preserve">по бюджета на БАН (общо 11 млн. лв.) са отпуснати в изпълнение на ПМС </w:t>
      </w:r>
      <w:r w:rsidRPr="00C441D1">
        <w:rPr>
          <w:lang w:val="en-US" w:eastAsia="en-US"/>
        </w:rPr>
        <w:t>No</w:t>
      </w:r>
      <w:r w:rsidRPr="002255D3">
        <w:rPr>
          <w:lang w:val="ru-RU" w:eastAsia="en-US"/>
        </w:rPr>
        <w:t xml:space="preserve">53 </w:t>
      </w:r>
      <w:r w:rsidRPr="00C441D1">
        <w:rPr>
          <w:lang w:eastAsia="en-US"/>
        </w:rPr>
        <w:t xml:space="preserve">от 2013 г. и ПМС </w:t>
      </w:r>
      <w:r w:rsidRPr="00C441D1">
        <w:rPr>
          <w:lang w:val="en-US" w:eastAsia="en-US"/>
        </w:rPr>
        <w:t>No</w:t>
      </w:r>
      <w:r w:rsidRPr="00C441D1">
        <w:rPr>
          <w:lang w:eastAsia="en-US"/>
        </w:rPr>
        <w:t>125 от 2013 г. с цел стимулиране на водещи иновативни и общественополезни научни изследвания</w:t>
      </w:r>
      <w:r>
        <w:rPr>
          <w:lang w:eastAsia="en-US"/>
        </w:rPr>
        <w:t xml:space="preserve"> </w:t>
      </w:r>
      <w:r w:rsidRPr="00C441D1">
        <w:rPr>
          <w:lang w:eastAsia="en-US"/>
        </w:rPr>
        <w:t xml:space="preserve">и за подпомагане на дейностите по научно обслужване с висока обществена и държавна значимост. </w:t>
      </w:r>
      <w:r w:rsidRPr="00C441D1">
        <w:t>Спрямо предходната година разходите са повече с 5,7 %. Най-голям дял заемат средствата за заплати, други възнаграждения и плащания за персонала и осигурителни вноски – 65,7 %, следвани от средствата за издръжка – 24,8 % и за капиталови разходи – 7,1</w:t>
      </w:r>
      <w:r>
        <w:t xml:space="preserve"> на сто</w:t>
      </w:r>
      <w:r w:rsidRPr="00C441D1">
        <w:t xml:space="preserve">. </w:t>
      </w:r>
    </w:p>
    <w:p w:rsidR="000938C1" w:rsidRDefault="000938C1" w:rsidP="00C441D1">
      <w:pPr>
        <w:spacing w:before="120" w:after="120"/>
        <w:ind w:firstLine="720"/>
        <w:jc w:val="both"/>
      </w:pPr>
      <w:r w:rsidRPr="00C441D1">
        <w:t>Наличностите по сметките на БАН в края на годината представляват средства по международни програми и договори с възложители, имат конкретно предназначение и точно определени етапи и срокове за изпълнение, направление а разходване на средствата и не могат да се използват за общоакадемични нужди.</w:t>
      </w:r>
    </w:p>
    <w:p w:rsidR="000938C1" w:rsidRPr="004D5AAC" w:rsidRDefault="000938C1" w:rsidP="00F30F79">
      <w:pPr>
        <w:pStyle w:val="Heading2"/>
        <w:numPr>
          <w:ilvl w:val="1"/>
          <w:numId w:val="31"/>
        </w:numPr>
        <w:rPr>
          <w:rFonts w:ascii="Times New Roman" w:hAnsi="Times New Roman" w:cs="Times New Roman"/>
          <w:i w:val="0"/>
          <w:iCs w:val="0"/>
          <w:sz w:val="24"/>
        </w:rPr>
      </w:pPr>
      <w:bookmarkStart w:id="343" w:name="_Toc324863451"/>
      <w:bookmarkStart w:id="344" w:name="_Toc393728103"/>
      <w:bookmarkEnd w:id="290"/>
      <w:bookmarkEnd w:id="291"/>
      <w:bookmarkEnd w:id="328"/>
      <w:r w:rsidRPr="004D5AAC">
        <w:rPr>
          <w:rFonts w:ascii="Times New Roman" w:hAnsi="Times New Roman" w:cs="Times New Roman"/>
          <w:i w:val="0"/>
          <w:iCs w:val="0"/>
          <w:sz w:val="24"/>
        </w:rPr>
        <w:t>Национален фонд към Министерство на финансите</w:t>
      </w:r>
      <w:bookmarkEnd w:id="343"/>
      <w:bookmarkEnd w:id="344"/>
    </w:p>
    <w:p w:rsidR="000938C1" w:rsidRPr="004D5AAC" w:rsidRDefault="000938C1" w:rsidP="004D5AAC">
      <w:pPr>
        <w:ind w:firstLine="720"/>
        <w:jc w:val="both"/>
      </w:pPr>
      <w:r w:rsidRPr="004D5AAC">
        <w:t>Националният фонд е Сертифициращ орган и орган, отговорен за получаване на средствата от Структурните фондове и Кохезионния фонд (СКФ) на Европейския съюз (ЕС) през програмния период 2007 – 2013 г. съгласно Решение на Министерския съвет № 988/27.12.2005 г., както и по двустранните програми за трансгранично сътрудничество по външните граници на ЕС, финансирани от Инструмента за предприсъединителна помощ (ИПП), съгласно Решение на Министерския съвет № 523 от 31.07.2007 година.</w:t>
      </w:r>
    </w:p>
    <w:p w:rsidR="000938C1" w:rsidRPr="004D5AAC" w:rsidRDefault="000938C1" w:rsidP="004D5AAC">
      <w:pPr>
        <w:ind w:firstLine="720"/>
        <w:jc w:val="both"/>
      </w:pPr>
      <w:r w:rsidRPr="004D5AAC">
        <w:t xml:space="preserve">Националният фонд управлява финансовата помощ, предоставена на Република България от Европейската общност по пред-присъединителните програми като изпълнява функциите на централен съкровищен орган по програма ФАР, Разплащателен орган по КФ (Регламент 1164/94)/ИСПА и на Компетентен орган по програма САПАРД.   </w:t>
      </w:r>
    </w:p>
    <w:p w:rsidR="000938C1" w:rsidRPr="004D5AAC" w:rsidRDefault="000938C1" w:rsidP="004D5AAC">
      <w:pPr>
        <w:ind w:firstLine="720"/>
        <w:jc w:val="both"/>
      </w:pPr>
      <w:r w:rsidRPr="004D5AAC">
        <w:t>Националният фонд е отговорен за сертифицирането на разходите по частта за Шенген от Временния Инструмент за улесняване на бюджетните парични потоци и за подпомагане изпълнението на Шенгенското споразумение (Инструмента Шенген), определена е за централен съкровищен орган за средствата, отпуснати по Преходния финансов инструмент (ПФИ) и за разплащателен орган по Българо-швейцарската програма за сътрудничество за намаляване на икономическите и социалните неравенства в рамките на разширения Европейски съюз. Също така изпълнява функциите на централен съкровищен орган за средствата и сертификацията на разходите по Финансовия инструмент на Европейско икономическо пространство (ЕИП) пред Офиса на Финансовия механизъм, на Норвежкия финансов механизъм 2009-2014 г. и Финансовия механизъм на Европейското икономическо пространство 2009-2014 година.</w:t>
      </w:r>
    </w:p>
    <w:p w:rsidR="000938C1" w:rsidRPr="004D5AAC" w:rsidRDefault="000938C1" w:rsidP="004D5AAC">
      <w:pPr>
        <w:ind w:firstLine="720"/>
        <w:jc w:val="both"/>
      </w:pPr>
      <w:r w:rsidRPr="004D5AAC">
        <w:t>Изпълнението на проектите по програмите, съфинансирани със средства от ЕС, се извършва от Изпълнителните агенции/Управляващите органи/Програмните оператори/Междинните органи. За целите на касовата отчетност, всички активи, пасиви, съответно приходи и разходи на Изпълнителните агенции/Управляващите органи /Програмни оператори/Междинните органи се консолидират от извънбюджетната сметка на Националния фонд към министъра на финансите, независимо че организационно и юридически са структури в състава на други министерства и ведомства.</w:t>
      </w:r>
    </w:p>
    <w:p w:rsidR="000938C1" w:rsidRPr="004D5AAC" w:rsidRDefault="000938C1" w:rsidP="004D5AAC">
      <w:pPr>
        <w:ind w:firstLine="720"/>
        <w:jc w:val="both"/>
      </w:pPr>
      <w:r w:rsidRPr="004D5AAC">
        <w:t>В съответствие с годишните закони за държавния бюджет средствата от помощта и съответното националното съфинансиране по Структурните и Кохезионния фондове на ЕС, предприсъединителните инструменти, ПФИ, ЕИП, Инструмента Шенген, двустранните програми за трансгранично сътрудничество, Българо-швейцарската програма, Норвежкия финансов механизъм 2009-2014 г. и Финансов механизъм на Европейското икономическо пространство 2009-2014 г. се осигуряват чрез извънбюджетната сметка на Националния фонд към министъра на финансите (във връзка с влезлия в сила от 01.01.2014 г. Закон за публичните финанси се преименува в „сметка за средства от ЕС на Национален фонд“).</w:t>
      </w:r>
    </w:p>
    <w:p w:rsidR="000938C1" w:rsidRPr="004D5AAC" w:rsidRDefault="000938C1" w:rsidP="004D5AAC">
      <w:pPr>
        <w:ind w:firstLine="720"/>
        <w:jc w:val="both"/>
      </w:pPr>
      <w:r w:rsidRPr="004D5AAC">
        <w:t>По сметките на Национален фонд (НФ) през 2013 г. са постъпили приходи (нето) по СКФ на Европейския съюз, КФ (Регламент 1164/94)/ИСПА, ЕИП, двустранни програми за европейско териториално сътрудничество по външни граници на EС, Финансов механизъм на Европейското икономическо пространство 2009-2014 г., Норвежки финансов механизъм 2009-2014 г. и Българо-швейцарска програма за сътрудничество в размер на 1 786,2 млн. лв., като в тази сума са включени и отразените (нето) в отчетността на НФ операциите при постъпването по банковите бюджетни сметки на Министерство на регионалното развитие (МРР) на сумите за чуждото финансиране по двустранните програми за трансгранично сътрудничество.</w:t>
      </w:r>
    </w:p>
    <w:p w:rsidR="000938C1" w:rsidRPr="004D5AAC" w:rsidRDefault="000938C1" w:rsidP="004D5AAC">
      <w:pPr>
        <w:ind w:firstLine="720"/>
        <w:jc w:val="both"/>
      </w:pPr>
      <w:r w:rsidRPr="004D5AAC">
        <w:t>Важно е да се обърне внимание на факта, че равномерността на постъпване на средствата от Европейския съюз и другите донори зависи единствено от скоростта и ритмичността на усвояване на средствата от Управляващите органи/Изпълнителните агенции/ Програмните оператори/Междинните органи. Следва да се има предвид и спецификата на възстановяване на разходите от Европейската комисия, съгласно която, част от разходите, извършени през предходната година се възстановяват през следващата година (т.е.  част от разходите, направени през 2013 г., ще бъдат възстановени през 2014 г</w:t>
      </w:r>
      <w:r>
        <w:t>одина</w:t>
      </w:r>
      <w:r w:rsidRPr="004D5AAC">
        <w:t>).</w:t>
      </w:r>
    </w:p>
    <w:p w:rsidR="000938C1" w:rsidRPr="004D5AAC" w:rsidRDefault="000938C1" w:rsidP="004D5AAC">
      <w:pPr>
        <w:ind w:firstLine="720"/>
        <w:jc w:val="both"/>
      </w:pPr>
      <w:r w:rsidRPr="004D5AAC">
        <w:t xml:space="preserve">Във връзка с изпълнение на Оперативните програми, двустранните програми за европейско териториално сътрудничество по външни граници на EС, НФМ и ЕИП 2009 – 2014 г. по сметките на Национален фонд са получени трансфери от централния бюджет на стойност 591,2 млн. лева. </w:t>
      </w:r>
    </w:p>
    <w:p w:rsidR="000938C1" w:rsidRPr="004D5AAC" w:rsidRDefault="000938C1" w:rsidP="004D5AAC">
      <w:pPr>
        <w:ind w:firstLine="720"/>
        <w:jc w:val="both"/>
      </w:pPr>
      <w:r w:rsidRPr="004D5AAC">
        <w:t>Натрупаните лихви в резултат на управлението на свободните средства в обслужващите търговски банки за 2013 г. възлизат на 1,1 млн. лева.</w:t>
      </w:r>
    </w:p>
    <w:p w:rsidR="000938C1" w:rsidRPr="004D5AAC" w:rsidRDefault="000938C1" w:rsidP="004D5AAC">
      <w:pPr>
        <w:ind w:firstLine="720"/>
        <w:jc w:val="both"/>
      </w:pPr>
      <w:r w:rsidRPr="004D5AAC">
        <w:t>Извършените разходи (нето) през 2013 г. с натрупване чрез сметките на Национален фонд възлизат на 611,0 млн. лева. По видове разходи изпълнението е както следва: 76,28 % от общия размер са капиталови разходи, 23,69 % са субсидии, а 0,03 % са текущи разходи.</w:t>
      </w:r>
    </w:p>
    <w:p w:rsidR="000938C1" w:rsidRPr="004D5AAC" w:rsidRDefault="000938C1" w:rsidP="004D5AAC">
      <w:pPr>
        <w:ind w:firstLine="720"/>
        <w:jc w:val="both"/>
      </w:pPr>
      <w:r w:rsidRPr="004D5AAC">
        <w:t>Изходящите трансфери (нето) през отчетната година са в размер на 2 591,5 млн. лв. (включват предоставените трансфери към бенефициенти по Оперативните програми на ЕС, двустранни програми за европейско териториално сътрудничество по външни граници на EС, Финансов механизъм на Европейското икономическо пространство 2009-2014 г., Норвежки финансов механизъм 2009-2014 г., Българо-швейцарска програма за сътрудничество, възстановени суми по приключили проекти, възстановени недопустими разходи и др. от бенефициенти-бюджетни организации, както и предоставеното авансово финансиране по реда на ДДС6/2011 г.). В консолидираната отчетност на НФ са отразени и трансфери (нето) към бенефициенти в размер на 0,7 млн. лв., които са за сметка на средства предоставени на МРР от държавите-партньори по двустранните програми за трансгранично сътрудничество.</w:t>
      </w:r>
    </w:p>
    <w:p w:rsidR="000938C1" w:rsidRPr="004D5AAC" w:rsidRDefault="000938C1" w:rsidP="004D5AAC">
      <w:pPr>
        <w:ind w:firstLine="720"/>
        <w:jc w:val="both"/>
      </w:pPr>
      <w:r w:rsidRPr="004D5AAC">
        <w:t>Наличностите по сметките на Национален фонд към 31.12.2013 г. възлизат на 1 085,5 млн. лв., като в БНБ са в размер на 1 000,3 млн. лв., а в търговските банки (УниКредит Булбанк АД, Банка ДСК ЕАД и Райфайзенбанк (България) ЕАД) са в размер на 85,2 млн. лева.</w:t>
      </w:r>
    </w:p>
    <w:p w:rsidR="000938C1" w:rsidRPr="004D5AAC" w:rsidRDefault="000938C1" w:rsidP="004D5AAC">
      <w:pPr>
        <w:ind w:firstLine="720"/>
        <w:jc w:val="both"/>
        <w:rPr>
          <w:sz w:val="16"/>
          <w:szCs w:val="16"/>
        </w:rPr>
      </w:pPr>
    </w:p>
    <w:p w:rsidR="000938C1" w:rsidRPr="004D5AAC" w:rsidRDefault="000938C1" w:rsidP="004D5AAC">
      <w:pPr>
        <w:spacing w:after="120"/>
        <w:ind w:right="-482" w:firstLine="720"/>
        <w:jc w:val="both"/>
        <w:rPr>
          <w:b/>
          <w:i/>
        </w:rPr>
      </w:pPr>
      <w:r w:rsidRPr="004D5AAC">
        <w:rPr>
          <w:b/>
          <w:i/>
        </w:rPr>
        <w:t xml:space="preserve">Структурни и Кохезионен фондове </w:t>
      </w:r>
    </w:p>
    <w:p w:rsidR="000938C1" w:rsidRPr="004D5AAC" w:rsidRDefault="000938C1" w:rsidP="004D5AAC">
      <w:pPr>
        <w:ind w:firstLine="720"/>
        <w:jc w:val="both"/>
      </w:pPr>
      <w:r w:rsidRPr="004D5AAC">
        <w:t>В качеството си на Сертифициращ орган по Структурните и Кохезионния фондове на Европейския съюз, НФ изготви и изпрати до Европейската комисия (ЕК) през 2013 г. 69 бр. заявления за плащане на обща стойност 2 463,5 млн. лева, но поради ликвидни проблеми в ЕК и временното спиране на парите по ОП „Околна среда“, през отчетния период с натрупване по сметките на Национален фонд в БНБ са получени средства на обща стойност от 1 734,5 млн. лв., като се очаква възстановяване на заявените през 2013 г. 729,0 млн. лева (в началото на настоящата година част от тези средства в размер на 352,0 млн. лева бяха възстановени).</w:t>
      </w:r>
    </w:p>
    <w:p w:rsidR="000938C1" w:rsidRPr="004D5AAC" w:rsidRDefault="000938C1" w:rsidP="004D5AAC">
      <w:pPr>
        <w:ind w:firstLine="720"/>
        <w:jc w:val="both"/>
      </w:pPr>
      <w:r w:rsidRPr="004D5AAC">
        <w:t>Получените средства от ЕК през 2013 г. са разпределени по Оперативни програми както следва:</w:t>
      </w:r>
    </w:p>
    <w:p w:rsidR="000938C1" w:rsidRPr="004D5AAC" w:rsidRDefault="000938C1" w:rsidP="004D5AAC">
      <w:pPr>
        <w:tabs>
          <w:tab w:val="left" w:pos="1134"/>
        </w:tabs>
        <w:spacing w:after="120"/>
        <w:ind w:left="851"/>
        <w:jc w:val="both"/>
      </w:pPr>
      <w:r w:rsidRPr="004D5AAC">
        <w:t>•</w:t>
      </w:r>
      <w:r w:rsidRPr="004D5AAC">
        <w:tab/>
        <w:t>ОП „Развитие конкурентоспособността на българската икономика” – 239,5 млн. лева;</w:t>
      </w:r>
    </w:p>
    <w:p w:rsidR="000938C1" w:rsidRPr="004D5AAC" w:rsidRDefault="000938C1" w:rsidP="004D5AAC">
      <w:pPr>
        <w:tabs>
          <w:tab w:val="left" w:pos="1134"/>
        </w:tabs>
        <w:spacing w:after="120"/>
        <w:ind w:right="-482" w:firstLine="851"/>
        <w:jc w:val="both"/>
      </w:pPr>
      <w:r w:rsidRPr="004D5AAC">
        <w:t>•</w:t>
      </w:r>
      <w:r w:rsidRPr="004D5AAC">
        <w:tab/>
        <w:t>ОП „Техническа помощ” – 14,1 млн. лева;</w:t>
      </w:r>
    </w:p>
    <w:p w:rsidR="000938C1" w:rsidRPr="004D5AAC" w:rsidRDefault="000938C1" w:rsidP="004D5AAC">
      <w:pPr>
        <w:tabs>
          <w:tab w:val="left" w:pos="1134"/>
        </w:tabs>
        <w:spacing w:after="120"/>
        <w:ind w:right="-482" w:firstLine="851"/>
        <w:jc w:val="both"/>
      </w:pPr>
      <w:r w:rsidRPr="004D5AAC">
        <w:t>•</w:t>
      </w:r>
      <w:r w:rsidRPr="004D5AAC">
        <w:tab/>
        <w:t>ОП „Регионално развитие” – 509,4 млн. лева;</w:t>
      </w:r>
    </w:p>
    <w:p w:rsidR="000938C1" w:rsidRPr="004D5AAC" w:rsidRDefault="000938C1" w:rsidP="004D5AAC">
      <w:pPr>
        <w:tabs>
          <w:tab w:val="left" w:pos="1134"/>
        </w:tabs>
        <w:spacing w:after="120"/>
        <w:ind w:right="-482" w:firstLine="851"/>
        <w:jc w:val="both"/>
      </w:pPr>
      <w:r w:rsidRPr="004D5AAC">
        <w:t>•</w:t>
      </w:r>
      <w:r w:rsidRPr="004D5AAC">
        <w:tab/>
        <w:t>ОП „Транспорт” – 250,8 млн. лева;</w:t>
      </w:r>
    </w:p>
    <w:p w:rsidR="000938C1" w:rsidRPr="004D5AAC" w:rsidRDefault="000938C1" w:rsidP="004D5AAC">
      <w:pPr>
        <w:tabs>
          <w:tab w:val="left" w:pos="1134"/>
        </w:tabs>
        <w:spacing w:after="120"/>
        <w:ind w:right="-482" w:firstLine="851"/>
        <w:jc w:val="both"/>
      </w:pPr>
      <w:r w:rsidRPr="004D5AAC">
        <w:t>•</w:t>
      </w:r>
      <w:r w:rsidRPr="004D5AAC">
        <w:tab/>
        <w:t>ОП „Околна среда” – 117,7 млн. лева;</w:t>
      </w:r>
    </w:p>
    <w:p w:rsidR="000938C1" w:rsidRPr="004D5AAC" w:rsidRDefault="000938C1" w:rsidP="004D5AAC">
      <w:pPr>
        <w:tabs>
          <w:tab w:val="left" w:pos="1134"/>
        </w:tabs>
        <w:spacing w:after="120"/>
        <w:ind w:right="-482" w:firstLine="851"/>
        <w:jc w:val="both"/>
      </w:pPr>
      <w:r w:rsidRPr="004D5AAC">
        <w:t>•</w:t>
      </w:r>
      <w:r w:rsidRPr="004D5AAC">
        <w:tab/>
        <w:t>ОП „Развитие на човешките ресурси” – 555,0 млн. лева;</w:t>
      </w:r>
    </w:p>
    <w:p w:rsidR="000938C1" w:rsidRPr="004D5AAC" w:rsidRDefault="000938C1" w:rsidP="004D5AAC">
      <w:pPr>
        <w:tabs>
          <w:tab w:val="left" w:pos="1134"/>
        </w:tabs>
        <w:spacing w:after="120"/>
        <w:ind w:right="-482" w:firstLine="851"/>
        <w:jc w:val="both"/>
      </w:pPr>
      <w:r w:rsidRPr="004D5AAC">
        <w:t>•</w:t>
      </w:r>
      <w:r w:rsidRPr="004D5AAC">
        <w:tab/>
        <w:t>ОП „Административен капацитет” – 48,0 млн. лева.</w:t>
      </w:r>
    </w:p>
    <w:p w:rsidR="000938C1" w:rsidRPr="004D5AAC" w:rsidRDefault="000938C1" w:rsidP="004D5AAC">
      <w:pPr>
        <w:ind w:firstLine="720"/>
        <w:jc w:val="both"/>
      </w:pPr>
      <w:r w:rsidRPr="004D5AAC">
        <w:t>Във връзка с получените Междинни доклади по сертификация (МДС) и Декларации за допустимост на разходите (ДДР) са извършени 80 проверки на място от експертите на Национален фонд преди сертифициране на разходите към ЕК при Управляващите органи, Междинните звена и бенефициенти по програмите.</w:t>
      </w:r>
    </w:p>
    <w:p w:rsidR="000938C1" w:rsidRPr="004D5AAC" w:rsidRDefault="000938C1" w:rsidP="004D5AAC">
      <w:pPr>
        <w:ind w:firstLine="720"/>
        <w:jc w:val="both"/>
      </w:pPr>
      <w:r w:rsidRPr="004D5AAC">
        <w:t xml:space="preserve">Направените разходи (нето) по Оперативни програми, включително изходящите трансфери (нето) към бюджетни организации с натрупване са в размер на 3 118,0 млн. лв., като разпределението по Оперативни програми е следното: </w:t>
      </w:r>
    </w:p>
    <w:p w:rsidR="000938C1" w:rsidRPr="004D5AAC" w:rsidRDefault="000938C1" w:rsidP="004D5AAC">
      <w:pPr>
        <w:tabs>
          <w:tab w:val="left" w:pos="1134"/>
        </w:tabs>
        <w:spacing w:after="120"/>
        <w:ind w:left="851"/>
        <w:jc w:val="both"/>
      </w:pPr>
      <w:r w:rsidRPr="004D5AAC">
        <w:t>•</w:t>
      </w:r>
      <w:r w:rsidRPr="004D5AAC">
        <w:tab/>
        <w:t xml:space="preserve">ОП „Развитие конкурентоспособността на българската икономика” – 334,3 млн. лева;  </w:t>
      </w:r>
    </w:p>
    <w:p w:rsidR="000938C1" w:rsidRPr="004D5AAC" w:rsidRDefault="000938C1" w:rsidP="004D5AAC">
      <w:pPr>
        <w:tabs>
          <w:tab w:val="left" w:pos="1134"/>
        </w:tabs>
        <w:spacing w:after="120"/>
        <w:ind w:left="709" w:right="-482" w:firstLine="142"/>
        <w:jc w:val="both"/>
      </w:pPr>
      <w:r w:rsidRPr="004D5AAC">
        <w:t>•</w:t>
      </w:r>
      <w:r w:rsidRPr="004D5AAC">
        <w:tab/>
        <w:t>ОП „Техническа помощ” – 23,4 млн. лева;</w:t>
      </w:r>
    </w:p>
    <w:p w:rsidR="000938C1" w:rsidRPr="004D5AAC" w:rsidRDefault="000938C1" w:rsidP="004D5AAC">
      <w:pPr>
        <w:tabs>
          <w:tab w:val="left" w:pos="1134"/>
        </w:tabs>
        <w:spacing w:after="120"/>
        <w:ind w:left="709" w:right="-482" w:firstLine="142"/>
        <w:jc w:val="both"/>
      </w:pPr>
      <w:r w:rsidRPr="004D5AAC">
        <w:t>•</w:t>
      </w:r>
      <w:r w:rsidRPr="004D5AAC">
        <w:tab/>
        <w:t>ОП „Регионално развитие” – 688,0 млн. лева;</w:t>
      </w:r>
    </w:p>
    <w:p w:rsidR="000938C1" w:rsidRPr="004D5AAC" w:rsidRDefault="000938C1" w:rsidP="004D5AAC">
      <w:pPr>
        <w:tabs>
          <w:tab w:val="left" w:pos="1134"/>
        </w:tabs>
        <w:spacing w:after="120"/>
        <w:ind w:left="709" w:right="-482" w:firstLine="142"/>
        <w:jc w:val="both"/>
      </w:pPr>
      <w:r w:rsidRPr="004D5AAC">
        <w:t>•</w:t>
      </w:r>
      <w:r w:rsidRPr="004D5AAC">
        <w:tab/>
        <w:t xml:space="preserve">ОП „Транспорт” – 464,3 млн. лева; </w:t>
      </w:r>
    </w:p>
    <w:p w:rsidR="000938C1" w:rsidRPr="004D5AAC" w:rsidRDefault="000938C1" w:rsidP="004D5AAC">
      <w:pPr>
        <w:tabs>
          <w:tab w:val="left" w:pos="1134"/>
        </w:tabs>
        <w:spacing w:after="120"/>
        <w:ind w:left="709" w:right="-482" w:firstLine="142"/>
        <w:jc w:val="both"/>
      </w:pPr>
      <w:r w:rsidRPr="004D5AAC">
        <w:t>•</w:t>
      </w:r>
      <w:r w:rsidRPr="004D5AAC">
        <w:tab/>
        <w:t>ОП „Околна среда” – 870,2 млн. лева;</w:t>
      </w:r>
    </w:p>
    <w:p w:rsidR="000938C1" w:rsidRPr="004D5AAC" w:rsidRDefault="000938C1" w:rsidP="004D5AAC">
      <w:pPr>
        <w:tabs>
          <w:tab w:val="left" w:pos="1134"/>
        </w:tabs>
        <w:spacing w:after="120"/>
        <w:ind w:left="709" w:right="-482" w:firstLine="142"/>
        <w:jc w:val="both"/>
      </w:pPr>
      <w:r w:rsidRPr="004D5AAC">
        <w:t>•</w:t>
      </w:r>
      <w:r w:rsidRPr="004D5AAC">
        <w:tab/>
        <w:t xml:space="preserve">ОП „Развитие на човешките ресурси” – 683,1 млн. лева; </w:t>
      </w:r>
    </w:p>
    <w:p w:rsidR="000938C1" w:rsidRPr="004D5AAC" w:rsidRDefault="000938C1" w:rsidP="004D5AAC">
      <w:pPr>
        <w:tabs>
          <w:tab w:val="left" w:pos="1134"/>
        </w:tabs>
        <w:spacing w:after="120"/>
        <w:ind w:left="709" w:right="-482" w:firstLine="142"/>
        <w:jc w:val="both"/>
      </w:pPr>
      <w:r w:rsidRPr="004D5AAC">
        <w:t>•</w:t>
      </w:r>
      <w:r w:rsidRPr="004D5AAC">
        <w:tab/>
        <w:t>ОП „Административен капацитет” – 54,7 млн. лева.</w:t>
      </w:r>
    </w:p>
    <w:p w:rsidR="000938C1" w:rsidRPr="004D5AAC" w:rsidRDefault="000938C1" w:rsidP="004D5AAC">
      <w:pPr>
        <w:ind w:firstLine="720"/>
        <w:jc w:val="both"/>
        <w:rPr>
          <w:b/>
          <w:i/>
        </w:rPr>
      </w:pPr>
      <w:r w:rsidRPr="004D5AAC">
        <w:rPr>
          <w:b/>
          <w:i/>
        </w:rPr>
        <w:t>Програма ФАР и Преходен финансов инструмент</w:t>
      </w:r>
    </w:p>
    <w:p w:rsidR="000938C1" w:rsidRPr="004D5AAC" w:rsidRDefault="000938C1" w:rsidP="004D5AAC">
      <w:pPr>
        <w:ind w:firstLine="720"/>
        <w:jc w:val="both"/>
      </w:pPr>
      <w:r w:rsidRPr="004D5AAC">
        <w:t>През годината са извършени разходи на обща стойност 0,4 млн. лв., а са постъпили възстановени суми от бенефициенти по сметките на Национален фонд в размер на 1,5 млн. лева.</w:t>
      </w:r>
    </w:p>
    <w:p w:rsidR="000938C1" w:rsidRPr="004D5AAC" w:rsidRDefault="000938C1" w:rsidP="004D5AAC">
      <w:pPr>
        <w:ind w:firstLine="720"/>
        <w:jc w:val="both"/>
        <w:rPr>
          <w:b/>
          <w:i/>
        </w:rPr>
      </w:pPr>
      <w:r w:rsidRPr="004D5AAC">
        <w:rPr>
          <w:b/>
          <w:i/>
        </w:rPr>
        <w:t>Програма ИСПА/Кохезионен фонд (Регламент 1164/94)</w:t>
      </w:r>
    </w:p>
    <w:p w:rsidR="000938C1" w:rsidRPr="004D5AAC" w:rsidRDefault="000938C1" w:rsidP="004D5AAC">
      <w:pPr>
        <w:ind w:firstLine="720"/>
        <w:jc w:val="both"/>
      </w:pPr>
      <w:r w:rsidRPr="004D5AAC">
        <w:t>През отчетната година са възстановени средства от ЕК в размер на 23,4 млн. лева.</w:t>
      </w:r>
    </w:p>
    <w:p w:rsidR="000938C1" w:rsidRPr="004D5AAC" w:rsidRDefault="000938C1" w:rsidP="001375B3">
      <w:pPr>
        <w:spacing w:after="120"/>
        <w:ind w:firstLine="720"/>
        <w:jc w:val="both"/>
      </w:pPr>
      <w:r w:rsidRPr="004D5AAC">
        <w:t>Извършените разходи и трансфери (нето) по програмата за същия период са в размер на 8,6 млн. лв. По сметките на Национален фонд са постъпили възстановени суми, на обща стойност 13,8 млн. лв., в това число приходи от активирани банкови гаранции в размер на 6,1 млн. лева.</w:t>
      </w:r>
    </w:p>
    <w:p w:rsidR="000938C1" w:rsidRPr="004D5AAC" w:rsidRDefault="000938C1" w:rsidP="001375B3">
      <w:pPr>
        <w:spacing w:after="120"/>
        <w:ind w:firstLine="720"/>
        <w:jc w:val="both"/>
        <w:rPr>
          <w:b/>
          <w:i/>
        </w:rPr>
      </w:pPr>
      <w:r w:rsidRPr="004D5AAC">
        <w:rPr>
          <w:b/>
          <w:i/>
        </w:rPr>
        <w:t xml:space="preserve">Програма САПАРД </w:t>
      </w:r>
    </w:p>
    <w:p w:rsidR="000938C1" w:rsidRPr="004D5AAC" w:rsidRDefault="000938C1" w:rsidP="001375B3">
      <w:pPr>
        <w:spacing w:after="120"/>
        <w:ind w:firstLine="720"/>
        <w:jc w:val="both"/>
      </w:pPr>
      <w:r w:rsidRPr="004D5AAC">
        <w:t>На 31.12.2009 г. изтече валидността на Годишното финансово  споразумение (ГФС) 2006, с което се прекрати и изплащането на субсидии към крайни бенефициенти по програма САПАРД.</w:t>
      </w:r>
    </w:p>
    <w:p w:rsidR="000938C1" w:rsidRPr="004D5AAC" w:rsidRDefault="000938C1" w:rsidP="001375B3">
      <w:pPr>
        <w:spacing w:after="120"/>
        <w:ind w:firstLine="720"/>
        <w:jc w:val="both"/>
      </w:pPr>
      <w:r w:rsidRPr="004D5AAC">
        <w:t>През 2013 г. са извършени възстановявания от Агенция САПАРД и НАП по дългове в размер на 0,5 млн. лв. и са извършени възстановявания от НФ на надвъзстановени средства от бенефициенти в размер на 0,1 млн. лева.</w:t>
      </w:r>
    </w:p>
    <w:p w:rsidR="000938C1" w:rsidRPr="004D5AAC" w:rsidRDefault="000938C1" w:rsidP="001375B3">
      <w:pPr>
        <w:spacing w:after="120"/>
        <w:ind w:firstLine="720"/>
        <w:jc w:val="both"/>
        <w:rPr>
          <w:b/>
          <w:i/>
        </w:rPr>
      </w:pPr>
      <w:r w:rsidRPr="004D5AAC">
        <w:rPr>
          <w:b/>
          <w:i/>
        </w:rPr>
        <w:t>Инструмент за подобряване на бюджетните парични потоци и за подпомагане изпълнението на Шенгенското споразумение  (Инструмент Шенген)</w:t>
      </w:r>
    </w:p>
    <w:p w:rsidR="000938C1" w:rsidRPr="004D5AAC" w:rsidRDefault="000938C1" w:rsidP="004D5AAC">
      <w:pPr>
        <w:ind w:firstLine="720"/>
        <w:jc w:val="both"/>
      </w:pPr>
      <w:r w:rsidRPr="004D5AAC">
        <w:t>На 31.12.2010 г. приключиха плащанията по частта за Шенген от Временния Инструмент за улесняване на бюджетните парични потоци и за подпомагане изпълнението на Шенгенското споразумение. В тази връзка следва да се отбележи, че 100 % от контрактуваното по инструмента беше разплатено.</w:t>
      </w:r>
    </w:p>
    <w:p w:rsidR="000938C1" w:rsidRPr="004D5AAC" w:rsidRDefault="000938C1" w:rsidP="004D5AAC">
      <w:pPr>
        <w:ind w:firstLine="720"/>
        <w:jc w:val="both"/>
      </w:pPr>
      <w:r w:rsidRPr="004D5AAC">
        <w:t>Във връзка с изпълнение на ПМС № 17 от 15.02.2010 г. за одобряване финансирането на проекти, свързани с изпълнението на поетите ангажименти от страна на Република България за присъединяване към Шенгенското пространство през годината с натрупване са извършени разходи в размер на 0,01 млн. лв., а са  постъпили възстановени суми по сметките на Национален фонд в размер на 0,1 млн. лева.</w:t>
      </w:r>
    </w:p>
    <w:p w:rsidR="000938C1" w:rsidRPr="004D5AAC" w:rsidRDefault="000938C1" w:rsidP="004D5AAC">
      <w:pPr>
        <w:ind w:firstLine="720"/>
        <w:jc w:val="both"/>
        <w:rPr>
          <w:b/>
          <w:i/>
        </w:rPr>
      </w:pPr>
      <w:r w:rsidRPr="004D5AAC">
        <w:rPr>
          <w:b/>
          <w:i/>
        </w:rPr>
        <w:t>Финансов механизъм на Европейското икономическо пространство (ФМ на ЕИП 2004-2009 г.)</w:t>
      </w:r>
    </w:p>
    <w:p w:rsidR="000938C1" w:rsidRPr="004D5AAC" w:rsidRDefault="000938C1" w:rsidP="004D5AAC">
      <w:pPr>
        <w:ind w:firstLine="720"/>
        <w:jc w:val="both"/>
      </w:pPr>
      <w:r w:rsidRPr="004D5AAC">
        <w:t xml:space="preserve">Получените по програмата средства (нето) през 2013 г. са в размер на 0,5 млн. лева. </w:t>
      </w:r>
    </w:p>
    <w:p w:rsidR="000938C1" w:rsidRPr="004D5AAC" w:rsidRDefault="000938C1" w:rsidP="004D5AAC">
      <w:pPr>
        <w:ind w:firstLine="720"/>
        <w:jc w:val="both"/>
      </w:pPr>
      <w:r w:rsidRPr="004D5AAC">
        <w:t>Сумата (нето) на разходите и изходящите трансфери към бюджетни организации, които са направени през същия период по ФМ на ЕИП са на обща стойност 0,9 млн. лв. Възстановените средства от бенефициенти, включително от бюджетни организации по механизма са в размер на 0,1 млн. лева.</w:t>
      </w:r>
    </w:p>
    <w:p w:rsidR="000938C1" w:rsidRPr="004D5AAC" w:rsidRDefault="000938C1" w:rsidP="004D5AAC">
      <w:pPr>
        <w:ind w:firstLine="720"/>
        <w:jc w:val="both"/>
        <w:rPr>
          <w:b/>
          <w:i/>
        </w:rPr>
      </w:pPr>
      <w:r w:rsidRPr="004D5AAC">
        <w:rPr>
          <w:b/>
          <w:i/>
        </w:rPr>
        <w:t>Двустранни програми за европейско териториално сътрудничество през периода 2007 – 2013 г. по външни граници на Европейския съюз</w:t>
      </w:r>
    </w:p>
    <w:p w:rsidR="000938C1" w:rsidRPr="004D5AAC" w:rsidRDefault="000938C1" w:rsidP="004D5AAC">
      <w:pPr>
        <w:ind w:firstLine="720"/>
        <w:jc w:val="both"/>
      </w:pPr>
      <w:r w:rsidRPr="004D5AAC">
        <w:t>В качеството си на Сертифициращ орган по двустранните програми за трансгранично сътрудничество по външни граници на Европейския съюз през 2013 г. НФ изготви и изпрати до ЕК 12 бр. заявления за плащане на обща стойност 24,8 млн. лева, от които към края на годината са дължими 6,3 млн. лева (в началото на 2014 г. тези средства бяха възстановени от ЕК).</w:t>
      </w:r>
    </w:p>
    <w:p w:rsidR="000938C1" w:rsidRPr="004D5AAC" w:rsidRDefault="000938C1" w:rsidP="004D5AAC">
      <w:pPr>
        <w:ind w:firstLine="720"/>
        <w:jc w:val="both"/>
      </w:pPr>
      <w:r w:rsidRPr="004D5AAC">
        <w:t xml:space="preserve">Получените по програмата средства (нето) през годината с натрупване са в размер на 23,4 млн. лв. В отчетността на НФ са отразени (нето), постъпилите по банковите бюджетни сметки на МРР средства за сметка на чуждото финансиране по тези програми са в размер на 0,5 млн. лева. </w:t>
      </w:r>
    </w:p>
    <w:p w:rsidR="000938C1" w:rsidRPr="004D5AAC" w:rsidRDefault="000938C1" w:rsidP="004D5AAC">
      <w:pPr>
        <w:ind w:firstLine="720"/>
        <w:jc w:val="both"/>
      </w:pPr>
      <w:r w:rsidRPr="004D5AAC">
        <w:t>Сумата на разходите и изходящите трансфери (нето) към бюджетни организации в страната, които са направени през същия период по двустранните програми са на обща стойност 32,5 млн. лв., включително за плащания към бенефициенти в страната от банковите бюджетни сметки на МРР за сметка на чуждото финансиране по двустранните програми за трансгранично сътрудничество. Възстановени са средства от бенефициенти, включително от бенефициенти-бюджетни организации, по програмите са 0,5 млн. лева.</w:t>
      </w:r>
    </w:p>
    <w:p w:rsidR="000938C1" w:rsidRPr="004D5AAC" w:rsidRDefault="000938C1" w:rsidP="004D5AAC">
      <w:pPr>
        <w:ind w:firstLine="720"/>
        <w:jc w:val="both"/>
        <w:rPr>
          <w:b/>
          <w:i/>
        </w:rPr>
      </w:pPr>
      <w:r w:rsidRPr="004D5AAC">
        <w:rPr>
          <w:b/>
          <w:i/>
        </w:rPr>
        <w:t xml:space="preserve">Финансов механизъм на Европейското икономическо пространство 2009-2014 г. и Норвежки финансов механизъм 2009-2014 г. </w:t>
      </w:r>
    </w:p>
    <w:p w:rsidR="000938C1" w:rsidRPr="004D5AAC" w:rsidRDefault="000938C1" w:rsidP="004D5AAC">
      <w:pPr>
        <w:ind w:firstLine="720"/>
        <w:jc w:val="both"/>
      </w:pPr>
      <w:r w:rsidRPr="004D5AAC">
        <w:t xml:space="preserve">Получените общо по двете програми средства към 31.12.2013 г. са в размер на 14,2 млн. лева. </w:t>
      </w:r>
    </w:p>
    <w:p w:rsidR="000938C1" w:rsidRPr="004D5AAC" w:rsidRDefault="000938C1" w:rsidP="004D5AAC">
      <w:pPr>
        <w:ind w:firstLine="720"/>
        <w:jc w:val="both"/>
      </w:pPr>
      <w:r w:rsidRPr="004D5AAC">
        <w:t>Сумата на разходите и изходящите трансфери (нето), които са направени са на обща стойност 2,4 млн. лева.</w:t>
      </w:r>
    </w:p>
    <w:p w:rsidR="000938C1" w:rsidRPr="004D5AAC" w:rsidRDefault="000938C1" w:rsidP="004D5AAC">
      <w:pPr>
        <w:ind w:firstLine="720"/>
        <w:jc w:val="both"/>
      </w:pPr>
      <w:r w:rsidRPr="004D5AAC">
        <w:t>За периода (01.01.2013 – 31.12.2013 г.) дирекция „Национален фонд” е процедирала към Офиса на Финансовия механизъм на ЕИП и НФМ 9 междинни финансови доклада с обща стойност на заявените средства 7,2 млн. лева.</w:t>
      </w:r>
    </w:p>
    <w:p w:rsidR="000938C1" w:rsidRPr="004D5AAC" w:rsidRDefault="000938C1" w:rsidP="004D5AAC">
      <w:pPr>
        <w:ind w:firstLine="720"/>
        <w:jc w:val="both"/>
        <w:rPr>
          <w:b/>
          <w:i/>
        </w:rPr>
      </w:pPr>
      <w:r w:rsidRPr="004D5AAC">
        <w:rPr>
          <w:b/>
          <w:i/>
        </w:rPr>
        <w:t>Българо-швейцарска програма за сътрудничество за намаляване на икономическите и социални неравенства в рамките на разширения Европейски съюз</w:t>
      </w:r>
    </w:p>
    <w:p w:rsidR="000938C1" w:rsidRPr="004D5AAC" w:rsidRDefault="000938C1" w:rsidP="004D5AAC">
      <w:pPr>
        <w:ind w:firstLine="720"/>
        <w:jc w:val="both"/>
      </w:pPr>
      <w:r w:rsidRPr="004D5AAC">
        <w:t>Получените средства по програмата са в размер на 0,07 млн. лева.</w:t>
      </w:r>
    </w:p>
    <w:p w:rsidR="000938C1" w:rsidRPr="004D5AAC" w:rsidRDefault="000938C1" w:rsidP="004D5AAC">
      <w:pPr>
        <w:ind w:firstLine="720"/>
        <w:jc w:val="both"/>
      </w:pPr>
      <w:r w:rsidRPr="004D5AAC">
        <w:t>Извършените изходящи трансфери към бенефициенти-бюджетни организации от началото на периода са в размер на 0,08 млн. лева.</w:t>
      </w:r>
    </w:p>
    <w:p w:rsidR="000938C1" w:rsidRPr="004D5AAC" w:rsidRDefault="000938C1" w:rsidP="00F30F79">
      <w:pPr>
        <w:pStyle w:val="Heading2"/>
        <w:numPr>
          <w:ilvl w:val="1"/>
          <w:numId w:val="31"/>
        </w:numPr>
        <w:rPr>
          <w:rFonts w:ascii="Times New Roman" w:hAnsi="Times New Roman" w:cs="Times New Roman"/>
          <w:i w:val="0"/>
          <w:iCs w:val="0"/>
          <w:sz w:val="24"/>
        </w:rPr>
      </w:pPr>
      <w:bookmarkStart w:id="345" w:name="_Toc136597770"/>
      <w:bookmarkStart w:id="346" w:name="_Toc136601673"/>
      <w:bookmarkStart w:id="347" w:name="_Toc261276609"/>
      <w:bookmarkStart w:id="348" w:name="_Toc262637652"/>
      <w:bookmarkStart w:id="349" w:name="_Toc324863452"/>
      <w:bookmarkStart w:id="350" w:name="_Toc393728104"/>
      <w:r w:rsidRPr="004D5AAC">
        <w:rPr>
          <w:rFonts w:ascii="Times New Roman" w:hAnsi="Times New Roman" w:cs="Times New Roman"/>
          <w:i w:val="0"/>
          <w:iCs w:val="0"/>
          <w:sz w:val="24"/>
        </w:rPr>
        <w:t>Държавен фонд “Земеделие”</w:t>
      </w:r>
      <w:bookmarkEnd w:id="345"/>
      <w:bookmarkEnd w:id="346"/>
      <w:bookmarkEnd w:id="347"/>
      <w:bookmarkEnd w:id="348"/>
      <w:bookmarkEnd w:id="349"/>
      <w:bookmarkEnd w:id="350"/>
    </w:p>
    <w:p w:rsidR="000938C1" w:rsidRPr="00CF1A14" w:rsidRDefault="000938C1" w:rsidP="00417535">
      <w:pPr>
        <w:ind w:firstLine="720"/>
        <w:jc w:val="both"/>
        <w:rPr>
          <w:b/>
          <w:i/>
          <w:color w:val="0070C0"/>
          <w:sz w:val="12"/>
          <w:szCs w:val="12"/>
          <w:u w:val="single"/>
        </w:rPr>
      </w:pPr>
      <w:r w:rsidRPr="00CF1A14">
        <w:rPr>
          <w:b/>
          <w:i/>
          <w:color w:val="0070C0"/>
        </w:rPr>
        <w:tab/>
      </w:r>
    </w:p>
    <w:p w:rsidR="000938C1" w:rsidRPr="0055141A" w:rsidRDefault="000938C1" w:rsidP="004D5AAC">
      <w:pPr>
        <w:ind w:firstLine="720"/>
        <w:jc w:val="both"/>
        <w:rPr>
          <w:noProof/>
          <w:szCs w:val="20"/>
          <w:lang w:eastAsia="en-US"/>
        </w:rPr>
      </w:pPr>
      <w:r w:rsidRPr="0055141A">
        <w:rPr>
          <w:noProof/>
          <w:lang w:eastAsia="en-US"/>
        </w:rPr>
        <w:t>В утвърдената план-сметка на Държавен фонд „Земеделие” за 2013 г</w:t>
      </w:r>
      <w:r w:rsidRPr="002255D3">
        <w:rPr>
          <w:noProof/>
          <w:lang w:val="ru-RU" w:eastAsia="en-US"/>
        </w:rPr>
        <w:t>.</w:t>
      </w:r>
      <w:r>
        <w:rPr>
          <w:noProof/>
          <w:lang w:val="en-US" w:eastAsia="en-US"/>
        </w:rPr>
        <w:t xml:space="preserve"> </w:t>
      </w:r>
      <w:r w:rsidRPr="0055141A">
        <w:rPr>
          <w:noProof/>
          <w:lang w:eastAsia="en-US"/>
        </w:rPr>
        <w:t>размерът на планираните приходи е  777</w:t>
      </w:r>
      <w:r>
        <w:rPr>
          <w:noProof/>
          <w:lang w:eastAsia="en-US"/>
        </w:rPr>
        <w:t>,</w:t>
      </w:r>
      <w:r w:rsidRPr="0055141A">
        <w:rPr>
          <w:noProof/>
          <w:lang w:eastAsia="en-US"/>
        </w:rPr>
        <w:t>7 млн.</w:t>
      </w:r>
      <w:r>
        <w:rPr>
          <w:noProof/>
          <w:lang w:eastAsia="en-US"/>
        </w:rPr>
        <w:t xml:space="preserve"> </w:t>
      </w:r>
      <w:r w:rsidRPr="0055141A">
        <w:rPr>
          <w:noProof/>
          <w:lang w:eastAsia="en-US"/>
        </w:rPr>
        <w:t>лв., в това число национални средства 16</w:t>
      </w:r>
      <w:r>
        <w:rPr>
          <w:noProof/>
          <w:lang w:eastAsia="en-US"/>
        </w:rPr>
        <w:t>,</w:t>
      </w:r>
      <w:r w:rsidRPr="002255D3">
        <w:rPr>
          <w:noProof/>
          <w:lang w:val="ru-RU" w:eastAsia="en-US"/>
        </w:rPr>
        <w:t>0</w:t>
      </w:r>
      <w:r w:rsidRPr="0055141A">
        <w:rPr>
          <w:noProof/>
          <w:lang w:eastAsia="en-US"/>
        </w:rPr>
        <w:t xml:space="preserve"> млн.</w:t>
      </w:r>
      <w:r>
        <w:rPr>
          <w:noProof/>
          <w:lang w:eastAsia="en-US"/>
        </w:rPr>
        <w:t xml:space="preserve"> </w:t>
      </w:r>
      <w:r w:rsidRPr="0055141A">
        <w:rPr>
          <w:noProof/>
          <w:lang w:eastAsia="en-US"/>
        </w:rPr>
        <w:t xml:space="preserve">лв. и </w:t>
      </w:r>
      <w:r>
        <w:rPr>
          <w:noProof/>
          <w:lang w:eastAsia="en-US"/>
        </w:rPr>
        <w:t> 761,</w:t>
      </w:r>
      <w:r w:rsidRPr="002255D3">
        <w:rPr>
          <w:noProof/>
          <w:lang w:val="ru-RU" w:eastAsia="en-US"/>
        </w:rPr>
        <w:t>7</w:t>
      </w:r>
      <w:r w:rsidRPr="0055141A">
        <w:rPr>
          <w:noProof/>
          <w:lang w:eastAsia="en-US"/>
        </w:rPr>
        <w:t xml:space="preserve"> млн.</w:t>
      </w:r>
      <w:r>
        <w:rPr>
          <w:noProof/>
          <w:lang w:eastAsia="en-US"/>
        </w:rPr>
        <w:t xml:space="preserve"> </w:t>
      </w:r>
      <w:r w:rsidRPr="0055141A">
        <w:rPr>
          <w:noProof/>
          <w:lang w:eastAsia="en-US"/>
        </w:rPr>
        <w:t>лв. европейски средства. По отчетни данни</w:t>
      </w:r>
      <w:r w:rsidRPr="002255D3">
        <w:rPr>
          <w:noProof/>
          <w:lang w:val="ru-RU" w:eastAsia="en-US"/>
        </w:rPr>
        <w:t>,</w:t>
      </w:r>
      <w:r w:rsidRPr="0055141A">
        <w:rPr>
          <w:noProof/>
          <w:lang w:eastAsia="en-US"/>
        </w:rPr>
        <w:t xml:space="preserve"> постъпленията към 31.12.2013 г. са в размер на  694</w:t>
      </w:r>
      <w:r>
        <w:rPr>
          <w:noProof/>
          <w:lang w:eastAsia="en-US"/>
        </w:rPr>
        <w:t>,</w:t>
      </w:r>
      <w:r w:rsidRPr="0055141A">
        <w:rPr>
          <w:noProof/>
          <w:lang w:eastAsia="en-US"/>
        </w:rPr>
        <w:t>5 млн.</w:t>
      </w:r>
      <w:r>
        <w:rPr>
          <w:noProof/>
          <w:lang w:eastAsia="en-US"/>
        </w:rPr>
        <w:t xml:space="preserve"> </w:t>
      </w:r>
      <w:r w:rsidRPr="0055141A">
        <w:rPr>
          <w:noProof/>
          <w:lang w:eastAsia="en-US"/>
        </w:rPr>
        <w:t>лв.</w:t>
      </w:r>
      <w:r w:rsidRPr="002255D3">
        <w:rPr>
          <w:noProof/>
          <w:lang w:val="ru-RU" w:eastAsia="en-US"/>
        </w:rPr>
        <w:t xml:space="preserve">, </w:t>
      </w:r>
      <w:r w:rsidRPr="006171A4">
        <w:rPr>
          <w:noProof/>
          <w:lang w:eastAsia="en-US"/>
        </w:rPr>
        <w:t>или</w:t>
      </w:r>
      <w:r>
        <w:rPr>
          <w:noProof/>
          <w:lang w:val="en-US" w:eastAsia="en-US"/>
        </w:rPr>
        <w:t xml:space="preserve"> </w:t>
      </w:r>
      <w:r w:rsidRPr="006171A4">
        <w:rPr>
          <w:noProof/>
          <w:lang w:eastAsia="en-US"/>
        </w:rPr>
        <w:t>о</w:t>
      </w:r>
      <w:r w:rsidRPr="0055141A">
        <w:rPr>
          <w:noProof/>
          <w:lang w:eastAsia="en-US"/>
        </w:rPr>
        <w:t xml:space="preserve">бщото изпълнение на приходите през отчетния период е </w:t>
      </w:r>
      <w:r>
        <w:rPr>
          <w:noProof/>
          <w:lang w:eastAsia="en-US"/>
        </w:rPr>
        <w:t>89,3 на сто</w:t>
      </w:r>
      <w:r w:rsidRPr="0055141A">
        <w:rPr>
          <w:noProof/>
          <w:lang w:eastAsia="en-US"/>
        </w:rPr>
        <w:t xml:space="preserve">. </w:t>
      </w:r>
    </w:p>
    <w:p w:rsidR="000938C1" w:rsidRPr="0055141A" w:rsidRDefault="000938C1" w:rsidP="004D5AAC">
      <w:pPr>
        <w:ind w:firstLine="720"/>
        <w:jc w:val="both"/>
        <w:rPr>
          <w:bCs/>
          <w:noProof/>
          <w:highlight w:val="yellow"/>
          <w:lang w:eastAsia="en-US"/>
        </w:rPr>
      </w:pPr>
      <w:r w:rsidRPr="0055141A">
        <w:rPr>
          <w:noProof/>
          <w:lang w:eastAsia="en-US"/>
        </w:rPr>
        <w:t xml:space="preserve">Основна част от приходите на ДФ „Земеделие” за 2013 г. са заложените за възстановяване средства по параграф 46-00 „Помощи, дарения и други безвъзмездно получени суми от чужбина” в размер на </w:t>
      </w:r>
      <w:r>
        <w:rPr>
          <w:noProof/>
          <w:lang w:eastAsia="en-US"/>
        </w:rPr>
        <w:t>761,</w:t>
      </w:r>
      <w:r w:rsidRPr="00E2139B">
        <w:rPr>
          <w:noProof/>
          <w:lang w:eastAsia="en-US"/>
        </w:rPr>
        <w:t>7</w:t>
      </w:r>
      <w:r>
        <w:rPr>
          <w:noProof/>
          <w:lang w:val="en-US" w:eastAsia="en-US"/>
        </w:rPr>
        <w:t xml:space="preserve"> </w:t>
      </w:r>
      <w:r w:rsidRPr="0055141A">
        <w:rPr>
          <w:noProof/>
          <w:lang w:eastAsia="en-US"/>
        </w:rPr>
        <w:t>млн.</w:t>
      </w:r>
      <w:r>
        <w:rPr>
          <w:noProof/>
          <w:lang w:val="en-US" w:eastAsia="en-US"/>
        </w:rPr>
        <w:t xml:space="preserve"> </w:t>
      </w:r>
      <w:r w:rsidRPr="0055141A">
        <w:rPr>
          <w:noProof/>
          <w:lang w:eastAsia="en-US"/>
        </w:rPr>
        <w:t xml:space="preserve">лв., в т.ч. от </w:t>
      </w:r>
      <w:r>
        <w:rPr>
          <w:noProof/>
          <w:lang w:eastAsia="en-US"/>
        </w:rPr>
        <w:t>Европейския земеделски фонд за развитие на селските райони (</w:t>
      </w:r>
      <w:r w:rsidRPr="0055141A">
        <w:rPr>
          <w:noProof/>
          <w:lang w:eastAsia="en-US"/>
        </w:rPr>
        <w:t>ЕЗФРСР</w:t>
      </w:r>
      <w:r>
        <w:rPr>
          <w:noProof/>
          <w:lang w:eastAsia="en-US"/>
        </w:rPr>
        <w:t>)</w:t>
      </w:r>
      <w:r w:rsidRPr="0055141A">
        <w:rPr>
          <w:noProof/>
          <w:lang w:eastAsia="en-US"/>
        </w:rPr>
        <w:t xml:space="preserve"> – </w:t>
      </w:r>
      <w:r>
        <w:rPr>
          <w:noProof/>
          <w:lang w:eastAsia="en-US"/>
        </w:rPr>
        <w:t>700,</w:t>
      </w:r>
      <w:r w:rsidRPr="0055141A">
        <w:rPr>
          <w:noProof/>
          <w:lang w:eastAsia="en-US"/>
        </w:rPr>
        <w:t>4 млн.</w:t>
      </w:r>
      <w:r>
        <w:rPr>
          <w:noProof/>
          <w:lang w:val="en-US" w:eastAsia="en-US"/>
        </w:rPr>
        <w:t xml:space="preserve"> </w:t>
      </w:r>
      <w:r w:rsidRPr="0055141A">
        <w:rPr>
          <w:noProof/>
          <w:lang w:eastAsia="en-US"/>
        </w:rPr>
        <w:t xml:space="preserve">лв., от </w:t>
      </w:r>
      <w:r>
        <w:rPr>
          <w:noProof/>
          <w:lang w:eastAsia="en-US"/>
        </w:rPr>
        <w:t>Европейския фонд за рибарство (</w:t>
      </w:r>
      <w:r w:rsidRPr="0055141A">
        <w:rPr>
          <w:noProof/>
          <w:lang w:eastAsia="en-US"/>
        </w:rPr>
        <w:t>ЕФР</w:t>
      </w:r>
      <w:r>
        <w:rPr>
          <w:noProof/>
          <w:lang w:eastAsia="en-US"/>
        </w:rPr>
        <w:t>)</w:t>
      </w:r>
      <w:r>
        <w:rPr>
          <w:noProof/>
          <w:lang w:val="en-US" w:eastAsia="en-US"/>
        </w:rPr>
        <w:t xml:space="preserve"> </w:t>
      </w:r>
      <w:r>
        <w:rPr>
          <w:noProof/>
          <w:lang w:eastAsia="en-US"/>
        </w:rPr>
        <w:t>–</w:t>
      </w:r>
      <w:r w:rsidRPr="0055141A">
        <w:rPr>
          <w:noProof/>
          <w:lang w:eastAsia="en-US"/>
        </w:rPr>
        <w:t xml:space="preserve"> 25</w:t>
      </w:r>
      <w:r>
        <w:rPr>
          <w:noProof/>
          <w:lang w:eastAsia="en-US"/>
        </w:rPr>
        <w:t>,</w:t>
      </w:r>
      <w:r w:rsidRPr="00E2139B">
        <w:rPr>
          <w:noProof/>
          <w:lang w:eastAsia="en-US"/>
        </w:rPr>
        <w:t>6</w:t>
      </w:r>
      <w:r w:rsidRPr="0055141A">
        <w:rPr>
          <w:noProof/>
          <w:lang w:eastAsia="en-US"/>
        </w:rPr>
        <w:t xml:space="preserve"> млн.</w:t>
      </w:r>
      <w:r>
        <w:rPr>
          <w:noProof/>
          <w:lang w:val="en-US" w:eastAsia="en-US"/>
        </w:rPr>
        <w:t xml:space="preserve"> </w:t>
      </w:r>
      <w:r w:rsidRPr="0055141A">
        <w:rPr>
          <w:noProof/>
          <w:lang w:eastAsia="en-US"/>
        </w:rPr>
        <w:t xml:space="preserve">лв. </w:t>
      </w:r>
      <w:r w:rsidRPr="00E2139B">
        <w:rPr>
          <w:noProof/>
          <w:lang w:eastAsia="en-US"/>
        </w:rPr>
        <w:t xml:space="preserve">и от </w:t>
      </w:r>
      <w:r>
        <w:rPr>
          <w:noProof/>
          <w:lang w:eastAsia="en-US"/>
        </w:rPr>
        <w:t>Европейския фонд за гарантиране на земеделието (</w:t>
      </w:r>
      <w:r w:rsidRPr="00E2139B">
        <w:rPr>
          <w:noProof/>
          <w:lang w:eastAsia="en-US"/>
        </w:rPr>
        <w:t>ЕФГЗ</w:t>
      </w:r>
      <w:r>
        <w:rPr>
          <w:noProof/>
          <w:lang w:eastAsia="en-US"/>
        </w:rPr>
        <w:t>)</w:t>
      </w:r>
      <w:r w:rsidRPr="00E2139B">
        <w:rPr>
          <w:noProof/>
          <w:lang w:eastAsia="en-US"/>
        </w:rPr>
        <w:t xml:space="preserve"> – 35,7 млн. лв. </w:t>
      </w:r>
      <w:r w:rsidRPr="0055141A">
        <w:rPr>
          <w:bCs/>
          <w:noProof/>
          <w:lang w:eastAsia="en-US"/>
        </w:rPr>
        <w:t>Към 31 декември 2013 г. са отчетени възстановени средства  в размер на 679</w:t>
      </w:r>
      <w:r>
        <w:rPr>
          <w:bCs/>
          <w:noProof/>
          <w:lang w:eastAsia="en-US"/>
        </w:rPr>
        <w:t>,</w:t>
      </w:r>
      <w:r w:rsidRPr="00E2139B">
        <w:rPr>
          <w:bCs/>
          <w:noProof/>
          <w:lang w:eastAsia="en-US"/>
        </w:rPr>
        <w:t>6</w:t>
      </w:r>
      <w:r>
        <w:rPr>
          <w:bCs/>
          <w:noProof/>
          <w:lang w:val="en-US" w:eastAsia="en-US"/>
        </w:rPr>
        <w:t xml:space="preserve"> </w:t>
      </w:r>
      <w:r w:rsidRPr="0055141A">
        <w:rPr>
          <w:bCs/>
          <w:noProof/>
          <w:lang w:eastAsia="en-US"/>
        </w:rPr>
        <w:t>млн. лв., като от тях 66</w:t>
      </w:r>
      <w:r w:rsidRPr="00E2139B">
        <w:rPr>
          <w:bCs/>
          <w:noProof/>
          <w:lang w:eastAsia="en-US"/>
        </w:rPr>
        <w:t>8,0</w:t>
      </w:r>
      <w:r w:rsidRPr="0055141A">
        <w:rPr>
          <w:bCs/>
          <w:noProof/>
          <w:lang w:eastAsia="en-US"/>
        </w:rPr>
        <w:t xml:space="preserve"> млн. лв. са получени от  ЕЗФРСР и 11</w:t>
      </w:r>
      <w:r>
        <w:rPr>
          <w:bCs/>
          <w:noProof/>
          <w:lang w:eastAsia="en-US"/>
        </w:rPr>
        <w:t>,</w:t>
      </w:r>
      <w:r w:rsidRPr="00E2139B">
        <w:rPr>
          <w:bCs/>
          <w:noProof/>
          <w:lang w:eastAsia="en-US"/>
        </w:rPr>
        <w:t xml:space="preserve">6 </w:t>
      </w:r>
      <w:r w:rsidRPr="0055141A">
        <w:rPr>
          <w:bCs/>
          <w:noProof/>
          <w:lang w:eastAsia="en-US"/>
        </w:rPr>
        <w:t xml:space="preserve">млн. лв. от ЕФР. </w:t>
      </w:r>
    </w:p>
    <w:p w:rsidR="000938C1" w:rsidRPr="0055141A" w:rsidRDefault="000938C1" w:rsidP="004D5AAC">
      <w:pPr>
        <w:ind w:firstLine="709"/>
        <w:jc w:val="both"/>
        <w:rPr>
          <w:szCs w:val="20"/>
          <w:lang w:eastAsia="en-US"/>
        </w:rPr>
      </w:pPr>
      <w:r w:rsidRPr="0055141A">
        <w:rPr>
          <w:szCs w:val="20"/>
          <w:lang w:eastAsia="en-US"/>
        </w:rPr>
        <w:t>Поради проблеми с ликвидността</w:t>
      </w:r>
      <w:r w:rsidRPr="002255D3">
        <w:rPr>
          <w:szCs w:val="20"/>
          <w:lang w:val="ru-RU" w:eastAsia="en-US"/>
        </w:rPr>
        <w:t>,</w:t>
      </w:r>
      <w:r w:rsidRPr="0055141A">
        <w:rPr>
          <w:szCs w:val="20"/>
          <w:lang w:eastAsia="en-US"/>
        </w:rPr>
        <w:t xml:space="preserve"> в началото на 2013 г. Е</w:t>
      </w:r>
      <w:r w:rsidRPr="00E2139B">
        <w:rPr>
          <w:szCs w:val="20"/>
          <w:lang w:eastAsia="en-US"/>
        </w:rPr>
        <w:t>вропейската комисия (ЕК)</w:t>
      </w:r>
      <w:r w:rsidRPr="0055141A">
        <w:rPr>
          <w:szCs w:val="20"/>
          <w:lang w:eastAsia="en-US"/>
        </w:rPr>
        <w:t xml:space="preserve"> възстанови разходите от ЕЗФРСР за последното тримесечие на предишната 2012 г</w:t>
      </w:r>
      <w:r w:rsidRPr="00E2139B">
        <w:rPr>
          <w:szCs w:val="20"/>
          <w:lang w:eastAsia="en-US"/>
        </w:rPr>
        <w:t>.</w:t>
      </w:r>
      <w:r w:rsidRPr="0055141A">
        <w:rPr>
          <w:szCs w:val="20"/>
          <w:lang w:eastAsia="en-US"/>
        </w:rPr>
        <w:t xml:space="preserve"> на два транша - през март и април, при което вторият транш пресрочи с повече от един месец регламентирания 45-дневен срок. Отложено е за по-късен етап възстановяването от ЕК на 1</w:t>
      </w:r>
      <w:r>
        <w:rPr>
          <w:szCs w:val="20"/>
          <w:lang w:eastAsia="en-US"/>
        </w:rPr>
        <w:t>,</w:t>
      </w:r>
      <w:r w:rsidRPr="002255D3">
        <w:rPr>
          <w:szCs w:val="20"/>
          <w:lang w:val="ru-RU" w:eastAsia="en-US"/>
        </w:rPr>
        <w:t>16</w:t>
      </w:r>
      <w:r w:rsidRPr="0055141A">
        <w:rPr>
          <w:szCs w:val="20"/>
          <w:lang w:eastAsia="en-US"/>
        </w:rPr>
        <w:t xml:space="preserve"> млн.евро за 2013 г. до потвърждаването на допустимостта на разходите.</w:t>
      </w:r>
      <w:r>
        <w:rPr>
          <w:szCs w:val="20"/>
          <w:lang w:eastAsia="en-US"/>
        </w:rPr>
        <w:t xml:space="preserve"> В последното тримесечие на 2013 г. са извършени разходи на стойност 24,2 млн. евро по </w:t>
      </w:r>
      <w:r w:rsidRPr="00215551">
        <w:rPr>
          <w:szCs w:val="20"/>
          <w:lang w:eastAsia="en-US"/>
        </w:rPr>
        <w:t>ЕФГЗ и 287,5 млн. евро по ЕЗФРСР, които подлежат на възстановяване през 2014 г</w:t>
      </w:r>
      <w:r>
        <w:rPr>
          <w:szCs w:val="20"/>
          <w:lang w:eastAsia="en-US"/>
        </w:rPr>
        <w:t>одина</w:t>
      </w:r>
      <w:r w:rsidRPr="00215551">
        <w:rPr>
          <w:szCs w:val="20"/>
          <w:lang w:eastAsia="en-US"/>
        </w:rPr>
        <w:t>.</w:t>
      </w:r>
    </w:p>
    <w:p w:rsidR="000938C1" w:rsidRPr="002255D3" w:rsidRDefault="000938C1" w:rsidP="004D5AAC">
      <w:pPr>
        <w:tabs>
          <w:tab w:val="left" w:pos="0"/>
        </w:tabs>
        <w:autoSpaceDE w:val="0"/>
        <w:autoSpaceDN w:val="0"/>
        <w:adjustRightInd w:val="0"/>
        <w:jc w:val="both"/>
        <w:rPr>
          <w:lang w:val="ru-RU"/>
        </w:rPr>
      </w:pPr>
      <w:r w:rsidRPr="0055141A">
        <w:rPr>
          <w:szCs w:val="20"/>
          <w:lang w:eastAsia="en-US"/>
        </w:rPr>
        <w:tab/>
        <w:t xml:space="preserve">През 2013 г., по Оперативна програма за развитие на сектор „Рибарство” 2007-2013 г. (ОПРСР) са изпратени </w:t>
      </w:r>
      <w:r w:rsidRPr="0055141A">
        <w:rPr>
          <w:lang w:val="ru-RU"/>
        </w:rPr>
        <w:t>до ЕК три заявления (осмо, девето и десето) за междинно плащане на обща стойност 17</w:t>
      </w:r>
      <w:r>
        <w:rPr>
          <w:lang w:val="ru-RU"/>
        </w:rPr>
        <w:t>,</w:t>
      </w:r>
      <w:r w:rsidRPr="0055141A">
        <w:t>5 млн.</w:t>
      </w:r>
      <w:r w:rsidRPr="0055141A">
        <w:rPr>
          <w:lang w:val="ru-RU"/>
        </w:rPr>
        <w:t xml:space="preserve"> лв. Възстановените средства към 31.12.2013 г. от ЕФР са в размер на общо 11</w:t>
      </w:r>
      <w:r>
        <w:rPr>
          <w:lang w:val="ru-RU"/>
        </w:rPr>
        <w:t>,</w:t>
      </w:r>
      <w:r w:rsidRPr="0055141A">
        <w:t xml:space="preserve">6 млн. </w:t>
      </w:r>
      <w:r w:rsidRPr="0055141A">
        <w:rPr>
          <w:lang w:val="ru-RU"/>
        </w:rPr>
        <w:t>лв., в т.ч. частично възстановени средства в размер на 4</w:t>
      </w:r>
      <w:r>
        <w:rPr>
          <w:lang w:val="ru-RU"/>
        </w:rPr>
        <w:t>,</w:t>
      </w:r>
      <w:r w:rsidRPr="0055141A">
        <w:rPr>
          <w:lang w:val="ru-RU"/>
        </w:rPr>
        <w:t>3 млн. лв. по изпратеното през 2012 г. седмо заявление. Десетото заявление за междинно плащане, в размер на 10</w:t>
      </w:r>
      <w:r>
        <w:rPr>
          <w:lang w:val="ru-RU"/>
        </w:rPr>
        <w:t>,</w:t>
      </w:r>
      <w:r w:rsidRPr="0055141A">
        <w:rPr>
          <w:lang w:val="ru-RU"/>
        </w:rPr>
        <w:t>2 млн. лв., е изпратено  до ЕК на  27.12.2013 г., а средствата са възстановени в срок - на 04.03.2014 г</w:t>
      </w:r>
      <w:r>
        <w:rPr>
          <w:lang w:val="ru-RU"/>
        </w:rPr>
        <w:t>одина</w:t>
      </w:r>
      <w:r w:rsidRPr="0055141A">
        <w:rPr>
          <w:lang w:val="ru-RU"/>
        </w:rPr>
        <w:t>.</w:t>
      </w:r>
    </w:p>
    <w:p w:rsidR="000938C1" w:rsidRPr="0055141A" w:rsidRDefault="000938C1" w:rsidP="004D5AAC">
      <w:pPr>
        <w:tabs>
          <w:tab w:val="left" w:pos="0"/>
        </w:tabs>
        <w:autoSpaceDE w:val="0"/>
        <w:autoSpaceDN w:val="0"/>
        <w:adjustRightInd w:val="0"/>
        <w:jc w:val="both"/>
        <w:rPr>
          <w:bCs/>
          <w:noProof/>
          <w:lang w:eastAsia="en-US"/>
        </w:rPr>
      </w:pPr>
      <w:r w:rsidRPr="0055141A">
        <w:rPr>
          <w:color w:val="FF0000"/>
          <w:lang w:val="ru-RU"/>
        </w:rPr>
        <w:tab/>
      </w:r>
      <w:r w:rsidRPr="0055141A">
        <w:rPr>
          <w:bCs/>
          <w:noProof/>
          <w:lang w:eastAsia="en-US"/>
        </w:rPr>
        <w:t>Заложените приходи от налози върху захарта и изоглюкозата за 2013 г. са в размер на 1</w:t>
      </w:r>
      <w:r>
        <w:rPr>
          <w:bCs/>
          <w:noProof/>
          <w:lang w:eastAsia="en-US"/>
        </w:rPr>
        <w:t>,</w:t>
      </w:r>
      <w:r w:rsidRPr="0055141A">
        <w:rPr>
          <w:bCs/>
          <w:noProof/>
          <w:lang w:eastAsia="en-US"/>
        </w:rPr>
        <w:t>05 млн.</w:t>
      </w:r>
      <w:r>
        <w:rPr>
          <w:bCs/>
          <w:noProof/>
          <w:lang w:eastAsia="en-US"/>
        </w:rPr>
        <w:t xml:space="preserve"> </w:t>
      </w:r>
      <w:r w:rsidRPr="0055141A">
        <w:rPr>
          <w:bCs/>
          <w:noProof/>
          <w:lang w:eastAsia="en-US"/>
        </w:rPr>
        <w:t>лв., като е отчетено 100</w:t>
      </w:r>
      <w:r>
        <w:rPr>
          <w:bCs/>
          <w:noProof/>
          <w:lang w:eastAsia="en-US"/>
        </w:rPr>
        <w:t xml:space="preserve"> </w:t>
      </w:r>
      <w:r w:rsidRPr="0055141A">
        <w:rPr>
          <w:bCs/>
          <w:noProof/>
          <w:lang w:eastAsia="en-US"/>
        </w:rPr>
        <w:t>% изпълнение на планираните постъпления по схема “Квотен режим” за периода. Събраните средства представляват производствена такса, определена върху 89 198 тона квота за производство на изоглюкоза. От установените и събрани суми 75</w:t>
      </w:r>
      <w:r>
        <w:rPr>
          <w:bCs/>
          <w:noProof/>
          <w:lang w:eastAsia="en-US"/>
        </w:rPr>
        <w:t xml:space="preserve"> </w:t>
      </w:r>
      <w:r w:rsidRPr="0055141A">
        <w:rPr>
          <w:bCs/>
          <w:noProof/>
          <w:lang w:eastAsia="en-US"/>
        </w:rPr>
        <w:t>% се превеждат чрез Министерство на финансите към бюджета на Европейската общност, а 25</w:t>
      </w:r>
      <w:r>
        <w:rPr>
          <w:bCs/>
          <w:noProof/>
          <w:lang w:eastAsia="en-US"/>
        </w:rPr>
        <w:t xml:space="preserve"> </w:t>
      </w:r>
      <w:r w:rsidRPr="0055141A">
        <w:rPr>
          <w:bCs/>
          <w:noProof/>
          <w:lang w:eastAsia="en-US"/>
        </w:rPr>
        <w:t>% остават в националния бюджет като административни разходи.</w:t>
      </w:r>
    </w:p>
    <w:p w:rsidR="000938C1" w:rsidRPr="0055141A" w:rsidRDefault="000938C1" w:rsidP="004D5AAC">
      <w:pPr>
        <w:shd w:val="clear" w:color="auto" w:fill="FFFFFF"/>
        <w:ind w:firstLine="720"/>
        <w:jc w:val="both"/>
        <w:rPr>
          <w:noProof/>
          <w:spacing w:val="15"/>
          <w:lang w:eastAsia="en-US"/>
        </w:rPr>
      </w:pPr>
      <w:r w:rsidRPr="0055141A">
        <w:rPr>
          <w:noProof/>
          <w:lang w:eastAsia="en-US"/>
        </w:rPr>
        <w:t xml:space="preserve">Отчетените приходи в края на 2013 г. от национални източници са в </w:t>
      </w:r>
      <w:r w:rsidRPr="0055141A">
        <w:rPr>
          <w:noProof/>
          <w:spacing w:val="-1"/>
          <w:lang w:eastAsia="en-US"/>
        </w:rPr>
        <w:t>размер на 14</w:t>
      </w:r>
      <w:r w:rsidRPr="00215551">
        <w:rPr>
          <w:noProof/>
          <w:spacing w:val="-1"/>
          <w:lang w:eastAsia="en-US"/>
        </w:rPr>
        <w:t>,</w:t>
      </w:r>
      <w:r w:rsidRPr="0055141A">
        <w:rPr>
          <w:noProof/>
          <w:spacing w:val="-1"/>
          <w:lang w:eastAsia="en-US"/>
        </w:rPr>
        <w:t>9 млн.</w:t>
      </w:r>
      <w:r>
        <w:rPr>
          <w:noProof/>
          <w:spacing w:val="-1"/>
          <w:lang w:eastAsia="en-US"/>
        </w:rPr>
        <w:t xml:space="preserve"> </w:t>
      </w:r>
      <w:r w:rsidRPr="0055141A">
        <w:rPr>
          <w:noProof/>
          <w:spacing w:val="-1"/>
          <w:lang w:eastAsia="en-US"/>
        </w:rPr>
        <w:t>лв., което представлява изпълнение на 9</w:t>
      </w:r>
      <w:r w:rsidRPr="00215551">
        <w:rPr>
          <w:noProof/>
          <w:spacing w:val="-1"/>
          <w:lang w:eastAsia="en-US"/>
        </w:rPr>
        <w:t xml:space="preserve">3,0 </w:t>
      </w:r>
      <w:r w:rsidRPr="00215551">
        <w:rPr>
          <w:noProof/>
          <w:lang w:eastAsia="en-US"/>
        </w:rPr>
        <w:t>% от заложените в план-сметката</w:t>
      </w:r>
      <w:r w:rsidRPr="0055141A">
        <w:rPr>
          <w:noProof/>
          <w:lang w:eastAsia="en-US"/>
        </w:rPr>
        <w:t xml:space="preserve"> за 2013 г. </w:t>
      </w:r>
      <w:r w:rsidRPr="0055141A">
        <w:rPr>
          <w:noProof/>
          <w:spacing w:val="9"/>
          <w:lang w:eastAsia="en-US"/>
        </w:rPr>
        <w:t>Планираните приходи и доходи от собственост за 2013 г. са 13</w:t>
      </w:r>
      <w:r w:rsidRPr="00215551">
        <w:rPr>
          <w:noProof/>
          <w:spacing w:val="9"/>
          <w:lang w:eastAsia="en-US"/>
        </w:rPr>
        <w:t>,</w:t>
      </w:r>
      <w:r w:rsidRPr="0055141A">
        <w:rPr>
          <w:noProof/>
          <w:spacing w:val="9"/>
          <w:lang w:eastAsia="en-US"/>
        </w:rPr>
        <w:t>0</w:t>
      </w:r>
      <w:r w:rsidRPr="0055141A">
        <w:rPr>
          <w:noProof/>
          <w:spacing w:val="8"/>
          <w:lang w:eastAsia="en-US"/>
        </w:rPr>
        <w:t xml:space="preserve"> млн.</w:t>
      </w:r>
      <w:r>
        <w:rPr>
          <w:noProof/>
          <w:spacing w:val="8"/>
          <w:lang w:eastAsia="en-US"/>
        </w:rPr>
        <w:t xml:space="preserve"> </w:t>
      </w:r>
      <w:r w:rsidRPr="0055141A">
        <w:rPr>
          <w:noProof/>
          <w:spacing w:val="8"/>
          <w:lang w:eastAsia="en-US"/>
        </w:rPr>
        <w:t>лв., а отчетените постъпления са 6</w:t>
      </w:r>
      <w:r w:rsidRPr="00215551">
        <w:rPr>
          <w:noProof/>
          <w:spacing w:val="8"/>
          <w:lang w:eastAsia="en-US"/>
        </w:rPr>
        <w:t>,</w:t>
      </w:r>
      <w:r w:rsidRPr="0055141A">
        <w:rPr>
          <w:noProof/>
          <w:spacing w:val="8"/>
          <w:lang w:eastAsia="en-US"/>
        </w:rPr>
        <w:t>3 млн.</w:t>
      </w:r>
      <w:r>
        <w:rPr>
          <w:noProof/>
          <w:spacing w:val="8"/>
          <w:lang w:eastAsia="en-US"/>
        </w:rPr>
        <w:t xml:space="preserve"> </w:t>
      </w:r>
      <w:r w:rsidRPr="0055141A">
        <w:rPr>
          <w:noProof/>
          <w:spacing w:val="8"/>
          <w:lang w:eastAsia="en-US"/>
        </w:rPr>
        <w:t>лв., които са основно п</w:t>
      </w:r>
      <w:r w:rsidRPr="0055141A">
        <w:rPr>
          <w:noProof/>
          <w:spacing w:val="9"/>
          <w:lang w:eastAsia="en-US"/>
        </w:rPr>
        <w:t xml:space="preserve">риходи от лихви по предоставени инвестиционни и краткосрочни </w:t>
      </w:r>
      <w:r w:rsidRPr="0055141A">
        <w:rPr>
          <w:noProof/>
          <w:spacing w:val="8"/>
          <w:lang w:eastAsia="en-US"/>
        </w:rPr>
        <w:t>заеми в страната.</w:t>
      </w:r>
    </w:p>
    <w:p w:rsidR="000938C1" w:rsidRDefault="000938C1" w:rsidP="004D5AAC">
      <w:pPr>
        <w:pStyle w:val="Header"/>
        <w:ind w:firstLine="720"/>
        <w:jc w:val="both"/>
        <w:rPr>
          <w:noProof/>
          <w:spacing w:val="3"/>
          <w:lang w:eastAsia="en-US"/>
        </w:rPr>
      </w:pPr>
      <w:r w:rsidRPr="00215551">
        <w:rPr>
          <w:noProof/>
          <w:spacing w:val="3"/>
          <w:lang w:eastAsia="en-US"/>
        </w:rPr>
        <w:t>Към 31.12.2013 г. по план-сметката на ДФ</w:t>
      </w:r>
      <w:r w:rsidRPr="00215551">
        <w:rPr>
          <w:noProof/>
          <w:lang w:eastAsia="en-US"/>
        </w:rPr>
        <w:t>„Земеделие”</w:t>
      </w:r>
      <w:r w:rsidRPr="00215551">
        <w:rPr>
          <w:noProof/>
          <w:spacing w:val="3"/>
          <w:lang w:eastAsia="en-US"/>
        </w:rPr>
        <w:t xml:space="preserve"> са отчетени и приходи от глоби, санкции и наказателни лихви в размер на 7,2 млн. лв., по параграф 36-00 „Други неданъчни приходи” в размер на 0,96 млн. лв. и по параграф 37 „Внесен ДДС и други данъци върху продажбите” в размер на 0,6 млн. л</w:t>
      </w:r>
      <w:r>
        <w:rPr>
          <w:noProof/>
          <w:spacing w:val="3"/>
          <w:lang w:eastAsia="en-US"/>
        </w:rPr>
        <w:t>е</w:t>
      </w:r>
      <w:r w:rsidRPr="00215551">
        <w:rPr>
          <w:noProof/>
          <w:spacing w:val="3"/>
          <w:lang w:eastAsia="en-US"/>
        </w:rPr>
        <w:t>в</w:t>
      </w:r>
      <w:r>
        <w:rPr>
          <w:noProof/>
          <w:spacing w:val="3"/>
          <w:lang w:eastAsia="en-US"/>
        </w:rPr>
        <w:t>а</w:t>
      </w:r>
      <w:r w:rsidRPr="00215551">
        <w:rPr>
          <w:noProof/>
          <w:spacing w:val="3"/>
          <w:lang w:eastAsia="en-US"/>
        </w:rPr>
        <w:t>.</w:t>
      </w:r>
    </w:p>
    <w:p w:rsidR="000938C1" w:rsidRPr="00A737B1" w:rsidRDefault="000938C1" w:rsidP="004D5AAC">
      <w:pPr>
        <w:tabs>
          <w:tab w:val="center" w:pos="4153"/>
          <w:tab w:val="right" w:pos="8306"/>
        </w:tabs>
        <w:ind w:firstLine="720"/>
        <w:jc w:val="both"/>
        <w:rPr>
          <w:noProof/>
          <w:szCs w:val="20"/>
          <w:lang w:eastAsia="en-US"/>
        </w:rPr>
      </w:pPr>
      <w:r w:rsidRPr="00A737B1">
        <w:rPr>
          <w:noProof/>
          <w:szCs w:val="20"/>
          <w:lang w:eastAsia="en-US"/>
        </w:rPr>
        <w:t>Чрез Разплащателната агенция към Държавен фонд „Земеделие” се изплащат средствата по договорената с ЕК финансова рамка за селско стопанство - за директни плащания, пазарна подкрепа</w:t>
      </w:r>
      <w:r w:rsidRPr="00A737B1">
        <w:rPr>
          <w:noProof/>
          <w:szCs w:val="20"/>
          <w:lang w:val="ru-RU" w:eastAsia="en-US"/>
        </w:rPr>
        <w:t>,</w:t>
      </w:r>
      <w:r w:rsidRPr="00A737B1">
        <w:rPr>
          <w:noProof/>
          <w:szCs w:val="20"/>
          <w:lang w:eastAsia="en-US"/>
        </w:rPr>
        <w:t xml:space="preserve"> развитие на селските районии по програмата за рибарство и аквакултури, което гарантира възможността да се прилага Общата селскостопанска политика /ОСП/ и Общата рибарска политика /ОРП/ на Европейския съюз.</w:t>
      </w:r>
    </w:p>
    <w:p w:rsidR="000938C1" w:rsidRPr="00A737B1" w:rsidRDefault="000938C1" w:rsidP="004D5AAC">
      <w:pPr>
        <w:tabs>
          <w:tab w:val="center" w:pos="4153"/>
          <w:tab w:val="right" w:pos="8306"/>
        </w:tabs>
        <w:ind w:firstLine="720"/>
        <w:jc w:val="both"/>
        <w:rPr>
          <w:noProof/>
          <w:szCs w:val="20"/>
          <w:lang w:eastAsia="en-US"/>
        </w:rPr>
      </w:pPr>
      <w:r w:rsidRPr="00A737B1">
        <w:rPr>
          <w:noProof/>
          <w:szCs w:val="20"/>
          <w:lang w:eastAsia="en-US"/>
        </w:rPr>
        <w:t xml:space="preserve">През отчетния период, по предложение на </w:t>
      </w:r>
      <w:r w:rsidRPr="00A737B1">
        <w:rPr>
          <w:noProof/>
          <w:lang w:eastAsia="en-US"/>
        </w:rPr>
        <w:t>ДФ „Земеделие”</w:t>
      </w:r>
      <w:r w:rsidRPr="00A737B1">
        <w:rPr>
          <w:noProof/>
          <w:szCs w:val="20"/>
          <w:lang w:eastAsia="en-US"/>
        </w:rPr>
        <w:t xml:space="preserve"> чрез Министерство на земеделието и храните (МЗХ) бяха предложени четири промени в приходната и разходна част на план-сметката на </w:t>
      </w:r>
      <w:r w:rsidRPr="00A737B1">
        <w:rPr>
          <w:noProof/>
          <w:lang w:eastAsia="en-US"/>
        </w:rPr>
        <w:t>ДФ „Земеделие”</w:t>
      </w:r>
      <w:r w:rsidRPr="00A737B1">
        <w:rPr>
          <w:noProof/>
          <w:szCs w:val="20"/>
          <w:lang w:eastAsia="en-US"/>
        </w:rPr>
        <w:t>. Предложените промени бяха свързани със следното:</w:t>
      </w:r>
    </w:p>
    <w:p w:rsidR="000938C1" w:rsidRPr="00A737B1" w:rsidRDefault="000938C1" w:rsidP="00F30F79">
      <w:pPr>
        <w:numPr>
          <w:ilvl w:val="0"/>
          <w:numId w:val="64"/>
        </w:numPr>
        <w:tabs>
          <w:tab w:val="left" w:pos="993"/>
        </w:tabs>
        <w:ind w:left="0" w:firstLine="709"/>
        <w:jc w:val="both"/>
        <w:rPr>
          <w:noProof/>
          <w:szCs w:val="20"/>
          <w:lang w:eastAsia="en-US"/>
        </w:rPr>
      </w:pPr>
      <w:r w:rsidRPr="00A737B1">
        <w:rPr>
          <w:noProof/>
          <w:szCs w:val="20"/>
          <w:lang w:eastAsia="en-US"/>
        </w:rPr>
        <w:t>намаление на трансфера от републиканския бюджет на ДФ „Земеделие” с цел предоставяне на допълнителни средства по бюджета на МЗХ, в размер на 12</w:t>
      </w:r>
      <w:r w:rsidRPr="00260CB7">
        <w:rPr>
          <w:noProof/>
          <w:szCs w:val="20"/>
          <w:lang w:eastAsia="en-US"/>
        </w:rPr>
        <w:t>,0</w:t>
      </w:r>
      <w:r w:rsidRPr="00A737B1">
        <w:rPr>
          <w:noProof/>
          <w:szCs w:val="20"/>
          <w:lang w:eastAsia="en-US"/>
        </w:rPr>
        <w:t xml:space="preserve"> млн. лв., в изпълнение на ПМС № 162/09.08.2013 г</w:t>
      </w:r>
      <w:r w:rsidRPr="00260CB7">
        <w:rPr>
          <w:noProof/>
          <w:szCs w:val="20"/>
          <w:lang w:eastAsia="en-US"/>
        </w:rPr>
        <w:t>одина</w:t>
      </w:r>
      <w:r w:rsidRPr="00A737B1">
        <w:rPr>
          <w:noProof/>
          <w:szCs w:val="20"/>
          <w:lang w:eastAsia="en-US"/>
        </w:rPr>
        <w:t>;</w:t>
      </w:r>
    </w:p>
    <w:p w:rsidR="000938C1" w:rsidRPr="00A737B1" w:rsidRDefault="000938C1" w:rsidP="00F30F79">
      <w:pPr>
        <w:numPr>
          <w:ilvl w:val="0"/>
          <w:numId w:val="64"/>
        </w:numPr>
        <w:tabs>
          <w:tab w:val="left" w:pos="993"/>
        </w:tabs>
        <w:ind w:left="0" w:firstLine="709"/>
        <w:jc w:val="both"/>
        <w:rPr>
          <w:noProof/>
          <w:szCs w:val="20"/>
          <w:lang w:eastAsia="en-US"/>
        </w:rPr>
      </w:pPr>
      <w:r w:rsidRPr="00A737B1">
        <w:rPr>
          <w:noProof/>
          <w:szCs w:val="20"/>
          <w:lang w:eastAsia="en-US"/>
        </w:rPr>
        <w:t>одобряване на допълнителен трансфер в размер на 15</w:t>
      </w:r>
      <w:r w:rsidRPr="00260CB7">
        <w:rPr>
          <w:noProof/>
          <w:szCs w:val="20"/>
          <w:lang w:eastAsia="en-US"/>
        </w:rPr>
        <w:t>,0</w:t>
      </w:r>
      <w:r w:rsidRPr="00A737B1">
        <w:rPr>
          <w:noProof/>
          <w:szCs w:val="20"/>
          <w:lang w:eastAsia="en-US"/>
        </w:rPr>
        <w:t xml:space="preserve"> млн. лв. за увеличаване на средствата за национални доплащания за тютюнопроизводителите с 11</w:t>
      </w:r>
      <w:r w:rsidRPr="00260CB7">
        <w:rPr>
          <w:noProof/>
          <w:szCs w:val="20"/>
          <w:lang w:eastAsia="en-US"/>
        </w:rPr>
        <w:t>,</w:t>
      </w:r>
      <w:r w:rsidRPr="00A737B1">
        <w:rPr>
          <w:noProof/>
          <w:szCs w:val="20"/>
          <w:lang w:eastAsia="en-US"/>
        </w:rPr>
        <w:t>5 млн. лв. и на държавната помощ за производителите на плодове и зеленчуци с 3</w:t>
      </w:r>
      <w:r w:rsidRPr="00260CB7">
        <w:rPr>
          <w:noProof/>
          <w:szCs w:val="20"/>
          <w:lang w:eastAsia="en-US"/>
        </w:rPr>
        <w:t>,</w:t>
      </w:r>
      <w:r w:rsidRPr="00A737B1">
        <w:rPr>
          <w:noProof/>
          <w:szCs w:val="20"/>
          <w:lang w:eastAsia="en-US"/>
        </w:rPr>
        <w:t>5 млн. лв., осигурени в изпълнение на ПМС № 217/26.09.2013 г</w:t>
      </w:r>
      <w:r w:rsidRPr="00260CB7">
        <w:rPr>
          <w:noProof/>
          <w:szCs w:val="20"/>
          <w:lang w:eastAsia="en-US"/>
        </w:rPr>
        <w:t>одина</w:t>
      </w:r>
      <w:r w:rsidRPr="00A737B1">
        <w:rPr>
          <w:noProof/>
          <w:szCs w:val="20"/>
          <w:lang w:eastAsia="en-US"/>
        </w:rPr>
        <w:t>;</w:t>
      </w:r>
    </w:p>
    <w:p w:rsidR="000938C1" w:rsidRPr="00A737B1" w:rsidRDefault="000938C1" w:rsidP="00F30F79">
      <w:pPr>
        <w:numPr>
          <w:ilvl w:val="0"/>
          <w:numId w:val="64"/>
        </w:numPr>
        <w:tabs>
          <w:tab w:val="left" w:pos="993"/>
        </w:tabs>
        <w:ind w:left="0" w:firstLine="709"/>
        <w:jc w:val="both"/>
        <w:rPr>
          <w:noProof/>
          <w:szCs w:val="20"/>
          <w:lang w:eastAsia="en-US"/>
        </w:rPr>
      </w:pPr>
      <w:r w:rsidRPr="00A737B1">
        <w:rPr>
          <w:noProof/>
          <w:szCs w:val="20"/>
          <w:lang w:eastAsia="en-US"/>
        </w:rPr>
        <w:t>одобряване на допълнителен трансфер от централния бюджет в размер на 15</w:t>
      </w:r>
      <w:r w:rsidRPr="00260CB7">
        <w:rPr>
          <w:noProof/>
          <w:szCs w:val="20"/>
          <w:lang w:eastAsia="en-US"/>
        </w:rPr>
        <w:t>,0</w:t>
      </w:r>
      <w:r w:rsidRPr="00A737B1">
        <w:rPr>
          <w:noProof/>
          <w:szCs w:val="20"/>
          <w:lang w:eastAsia="en-US"/>
        </w:rPr>
        <w:t xml:space="preserve"> млн. лв. за осигуряване на допълнителни средства за разплащане на субсидии към бенефициенти по схемата за национални доплащания за животни за 2013 г., в изпълнение на ПМС № 290/18.12.2013 г</w:t>
      </w:r>
      <w:r w:rsidRPr="00260CB7">
        <w:rPr>
          <w:noProof/>
          <w:szCs w:val="20"/>
          <w:lang w:eastAsia="en-US"/>
        </w:rPr>
        <w:t>одина</w:t>
      </w:r>
      <w:r w:rsidRPr="00A737B1">
        <w:rPr>
          <w:noProof/>
          <w:szCs w:val="20"/>
          <w:lang w:eastAsia="en-US"/>
        </w:rPr>
        <w:t xml:space="preserve">. </w:t>
      </w:r>
    </w:p>
    <w:p w:rsidR="000938C1" w:rsidRPr="00A737B1" w:rsidRDefault="000938C1" w:rsidP="00F30F79">
      <w:pPr>
        <w:numPr>
          <w:ilvl w:val="0"/>
          <w:numId w:val="64"/>
        </w:numPr>
        <w:tabs>
          <w:tab w:val="left" w:pos="993"/>
        </w:tabs>
        <w:ind w:left="0" w:firstLine="709"/>
        <w:jc w:val="both"/>
        <w:rPr>
          <w:noProof/>
          <w:szCs w:val="20"/>
          <w:lang w:eastAsia="en-US"/>
        </w:rPr>
      </w:pPr>
      <w:r w:rsidRPr="00A737B1">
        <w:rPr>
          <w:lang w:val="ru-RU" w:eastAsia="en-US"/>
        </w:rPr>
        <w:t xml:space="preserve">осигуряване на допълнителни средства за разплащане по ПРСР и други вътрешно компенсирани промени по план-сметката, както и </w:t>
      </w:r>
      <w:r w:rsidRPr="00A737B1">
        <w:rPr>
          <w:noProof/>
          <w:szCs w:val="20"/>
          <w:lang w:eastAsia="en-US"/>
        </w:rPr>
        <w:t>отразяване на фактическите плащания към бенефициенти – бюджетни предприятия, планирани в частта на разходите, а предоставени през годината чрез трансфер</w:t>
      </w:r>
      <w:r w:rsidRPr="00A737B1">
        <w:rPr>
          <w:lang w:val="ru-RU" w:eastAsia="en-US"/>
        </w:rPr>
        <w:t>.</w:t>
      </w:r>
    </w:p>
    <w:p w:rsidR="000938C1" w:rsidRPr="00A737B1" w:rsidRDefault="000938C1" w:rsidP="004D5AAC">
      <w:pPr>
        <w:tabs>
          <w:tab w:val="center" w:pos="4153"/>
          <w:tab w:val="right" w:pos="8306"/>
        </w:tabs>
        <w:ind w:firstLine="720"/>
        <w:jc w:val="both"/>
        <w:rPr>
          <w:noProof/>
          <w:szCs w:val="20"/>
          <w:lang w:eastAsia="en-US"/>
        </w:rPr>
      </w:pPr>
      <w:r w:rsidRPr="00A737B1">
        <w:rPr>
          <w:noProof/>
          <w:szCs w:val="20"/>
          <w:lang w:eastAsia="en-US"/>
        </w:rPr>
        <w:tab/>
        <w:t>Промените на план-сметката са утвърдени с Решения на Министерския съвет № 480 от 12.08.2013 г.,  № 657 от 31.10.2013 г., № 784 от 12.12.2013 г. и № 793 от 18.12.2013 г</w:t>
      </w:r>
      <w:r w:rsidRPr="00260CB7">
        <w:rPr>
          <w:noProof/>
          <w:szCs w:val="20"/>
          <w:lang w:eastAsia="en-US"/>
        </w:rPr>
        <w:t>одина</w:t>
      </w:r>
      <w:r w:rsidRPr="00A737B1">
        <w:rPr>
          <w:noProof/>
          <w:szCs w:val="20"/>
          <w:lang w:eastAsia="en-US"/>
        </w:rPr>
        <w:t>.</w:t>
      </w:r>
    </w:p>
    <w:p w:rsidR="000938C1" w:rsidRPr="00A737B1" w:rsidRDefault="000938C1" w:rsidP="004D5AAC">
      <w:pPr>
        <w:tabs>
          <w:tab w:val="center" w:pos="4153"/>
          <w:tab w:val="right" w:pos="8306"/>
        </w:tabs>
        <w:ind w:firstLine="720"/>
        <w:jc w:val="both"/>
        <w:rPr>
          <w:noProof/>
          <w:szCs w:val="20"/>
          <w:lang w:eastAsia="en-US"/>
        </w:rPr>
      </w:pPr>
      <w:r w:rsidRPr="00A737B1">
        <w:rPr>
          <w:noProof/>
          <w:szCs w:val="20"/>
          <w:lang w:eastAsia="en-US"/>
        </w:rPr>
        <w:t>С Р</w:t>
      </w:r>
      <w:r w:rsidRPr="00260CB7">
        <w:rPr>
          <w:noProof/>
          <w:szCs w:val="20"/>
          <w:lang w:eastAsia="en-US"/>
        </w:rPr>
        <w:t>МС</w:t>
      </w:r>
      <w:r w:rsidRPr="00A737B1">
        <w:rPr>
          <w:noProof/>
          <w:szCs w:val="20"/>
          <w:lang w:eastAsia="en-US"/>
        </w:rPr>
        <w:t xml:space="preserve"> № 167</w:t>
      </w:r>
      <w:r w:rsidRPr="00260CB7">
        <w:rPr>
          <w:noProof/>
          <w:szCs w:val="20"/>
          <w:lang w:eastAsia="en-US"/>
        </w:rPr>
        <w:t>/</w:t>
      </w:r>
      <w:r w:rsidRPr="00A737B1">
        <w:rPr>
          <w:noProof/>
          <w:szCs w:val="20"/>
          <w:lang w:eastAsia="en-US"/>
        </w:rPr>
        <w:t>2013 г., изпълнителният директор на ДФ „Земеделие” е получил съгласие да обяви прием на заявления за подпомагане при условия на договаряне над бюджета по 15 мерки от ПРСР и да сключи договори за отпускане на безвъзмездна финансова помощ с максимален размер на договорената финансова помощ – 597</w:t>
      </w:r>
      <w:r w:rsidRPr="00260CB7">
        <w:rPr>
          <w:noProof/>
          <w:szCs w:val="20"/>
          <w:lang w:eastAsia="en-US"/>
        </w:rPr>
        <w:t>,</w:t>
      </w:r>
      <w:r w:rsidRPr="00A737B1">
        <w:rPr>
          <w:noProof/>
          <w:szCs w:val="20"/>
          <w:lang w:eastAsia="en-US"/>
        </w:rPr>
        <w:t>4 млн. лв., като средствата да бъдат осигурени от неусвоения бюджет по съответните мерки на програмата и от намаленията по договорените средства в процеса на изпълнение на поетите ангажименти от ползвателите на финансовата помощ. Със същото решение е дадено съгласие и на изп. директор на Изпълнителната агенция по рибарство и аквакултури (ИАРА) да договори (с 29</w:t>
      </w:r>
      <w:r w:rsidRPr="00260CB7">
        <w:rPr>
          <w:noProof/>
          <w:szCs w:val="20"/>
          <w:lang w:eastAsia="en-US"/>
        </w:rPr>
        <w:t>,</w:t>
      </w:r>
      <w:r w:rsidRPr="00A737B1">
        <w:rPr>
          <w:noProof/>
          <w:szCs w:val="20"/>
          <w:lang w:eastAsia="en-US"/>
        </w:rPr>
        <w:t>5 млн. лв.) над бюджета по пет мерки от ОПРСР, като средствата да бъдат осигурени от неусвоения бюджет по съответните мерки на програмата и от намаленията по договорените средства в процеса на изпълнение на поетите ангажименти от ползвателите на финансовата помощ.</w:t>
      </w:r>
    </w:p>
    <w:p w:rsidR="000938C1" w:rsidRPr="00A737B1" w:rsidRDefault="000938C1" w:rsidP="004D5AAC">
      <w:pPr>
        <w:tabs>
          <w:tab w:val="center" w:pos="4153"/>
          <w:tab w:val="right" w:pos="8306"/>
        </w:tabs>
        <w:ind w:firstLine="720"/>
        <w:jc w:val="both"/>
        <w:rPr>
          <w:noProof/>
          <w:lang w:eastAsia="en-US"/>
        </w:rPr>
      </w:pPr>
      <w:r w:rsidRPr="00A737B1">
        <w:rPr>
          <w:noProof/>
          <w:lang w:eastAsia="en-US"/>
        </w:rPr>
        <w:t>Отчетените общо разходи към 31.12.2013 г. са в размер на 753</w:t>
      </w:r>
      <w:r w:rsidRPr="00260CB7">
        <w:rPr>
          <w:noProof/>
          <w:lang w:eastAsia="en-US"/>
        </w:rPr>
        <w:t>,3</w:t>
      </w:r>
      <w:r w:rsidRPr="00A737B1">
        <w:rPr>
          <w:noProof/>
          <w:lang w:eastAsia="en-US"/>
        </w:rPr>
        <w:t xml:space="preserve"> млн.</w:t>
      </w:r>
      <w:r>
        <w:rPr>
          <w:noProof/>
          <w:lang w:eastAsia="en-US"/>
        </w:rPr>
        <w:t xml:space="preserve"> </w:t>
      </w:r>
      <w:r w:rsidRPr="00A737B1">
        <w:rPr>
          <w:noProof/>
          <w:lang w:eastAsia="en-US"/>
        </w:rPr>
        <w:t>лв. при планирани 741</w:t>
      </w:r>
      <w:r w:rsidRPr="00260CB7">
        <w:rPr>
          <w:noProof/>
          <w:lang w:eastAsia="en-US"/>
        </w:rPr>
        <w:t>,5</w:t>
      </w:r>
      <w:r w:rsidRPr="00A737B1">
        <w:rPr>
          <w:noProof/>
          <w:lang w:eastAsia="en-US"/>
        </w:rPr>
        <w:t xml:space="preserve"> млн.</w:t>
      </w:r>
      <w:r>
        <w:rPr>
          <w:noProof/>
          <w:lang w:eastAsia="en-US"/>
        </w:rPr>
        <w:t xml:space="preserve"> </w:t>
      </w:r>
      <w:r w:rsidRPr="00A737B1">
        <w:rPr>
          <w:noProof/>
          <w:lang w:eastAsia="en-US"/>
        </w:rPr>
        <w:t>лв., което представлява 1</w:t>
      </w:r>
      <w:r w:rsidRPr="00260CB7">
        <w:rPr>
          <w:noProof/>
          <w:lang w:eastAsia="en-US"/>
        </w:rPr>
        <w:t>,</w:t>
      </w:r>
      <w:r w:rsidRPr="00A737B1">
        <w:rPr>
          <w:noProof/>
          <w:lang w:eastAsia="en-US"/>
        </w:rPr>
        <w:t xml:space="preserve">6 %  над планираните. </w:t>
      </w:r>
    </w:p>
    <w:p w:rsidR="000938C1" w:rsidRPr="00A737B1" w:rsidRDefault="000938C1" w:rsidP="004D5AAC">
      <w:pPr>
        <w:spacing w:after="120"/>
        <w:ind w:firstLine="720"/>
        <w:jc w:val="both"/>
        <w:rPr>
          <w:bCs/>
          <w:noProof/>
          <w:lang w:val="ru-RU" w:eastAsia="en-US"/>
        </w:rPr>
      </w:pPr>
      <w:r w:rsidRPr="00A737B1">
        <w:rPr>
          <w:bCs/>
          <w:noProof/>
          <w:lang w:val="ru-RU" w:eastAsia="en-US"/>
        </w:rPr>
        <w:t xml:space="preserve">За 2013 г. в план-сметката на ДФ „Земеделие” са планирани субсидии за нефинансови предприятия </w:t>
      </w:r>
      <w:r w:rsidRPr="00260CB7">
        <w:rPr>
          <w:bCs/>
          <w:noProof/>
          <w:lang w:val="ru-RU" w:eastAsia="en-US"/>
        </w:rPr>
        <w:t>в размер на 431,8</w:t>
      </w:r>
      <w:r w:rsidRPr="00A737B1">
        <w:rPr>
          <w:bCs/>
          <w:noProof/>
          <w:lang w:val="ru-RU" w:eastAsia="en-US"/>
        </w:rPr>
        <w:t xml:space="preserve"> млн.</w:t>
      </w:r>
      <w:r>
        <w:rPr>
          <w:bCs/>
          <w:noProof/>
          <w:lang w:val="en-US" w:eastAsia="en-US"/>
        </w:rPr>
        <w:t xml:space="preserve"> </w:t>
      </w:r>
      <w:r w:rsidRPr="00A737B1">
        <w:rPr>
          <w:bCs/>
          <w:noProof/>
          <w:lang w:val="ru-RU" w:eastAsia="en-US"/>
        </w:rPr>
        <w:t>лв. Изплатените средства към 31.12.2013 г. са в размер на 401</w:t>
      </w:r>
      <w:r w:rsidRPr="00260CB7">
        <w:rPr>
          <w:bCs/>
          <w:noProof/>
          <w:lang w:val="ru-RU" w:eastAsia="en-US"/>
        </w:rPr>
        <w:t>,9</w:t>
      </w:r>
      <w:r w:rsidRPr="00A737B1">
        <w:rPr>
          <w:bCs/>
          <w:noProof/>
          <w:lang w:val="ru-RU" w:eastAsia="en-US"/>
        </w:rPr>
        <w:t xml:space="preserve"> млн. лв., като от тях </w:t>
      </w:r>
      <w:r w:rsidRPr="00260CB7">
        <w:rPr>
          <w:bCs/>
          <w:noProof/>
          <w:lang w:val="ru-RU" w:eastAsia="en-US"/>
        </w:rPr>
        <w:t xml:space="preserve">257,4 </w:t>
      </w:r>
      <w:r w:rsidRPr="00A737B1">
        <w:rPr>
          <w:bCs/>
          <w:noProof/>
          <w:lang w:val="ru-RU" w:eastAsia="en-US"/>
        </w:rPr>
        <w:t>млн. лв. са по национални програми и 87</w:t>
      </w:r>
      <w:r w:rsidRPr="00260CB7">
        <w:rPr>
          <w:bCs/>
          <w:noProof/>
          <w:lang w:val="ru-RU" w:eastAsia="en-US"/>
        </w:rPr>
        <w:t>,</w:t>
      </w:r>
      <w:r w:rsidRPr="00A737B1">
        <w:rPr>
          <w:bCs/>
          <w:noProof/>
          <w:lang w:val="ru-RU" w:eastAsia="en-US"/>
        </w:rPr>
        <w:t xml:space="preserve">8 млн. лв. са национално съфинансиране. Общата сума на изплатените по параграф 43-00 средства включва следните субсидии за нефинансови предприятия: </w:t>
      </w:r>
    </w:p>
    <w:p w:rsidR="000938C1" w:rsidRPr="00A737B1" w:rsidRDefault="000938C1" w:rsidP="00F30F79">
      <w:pPr>
        <w:numPr>
          <w:ilvl w:val="0"/>
          <w:numId w:val="65"/>
        </w:numPr>
        <w:tabs>
          <w:tab w:val="left" w:pos="993"/>
        </w:tabs>
        <w:ind w:left="0" w:firstLine="709"/>
        <w:jc w:val="both"/>
        <w:rPr>
          <w:bCs/>
          <w:noProof/>
          <w:lang w:val="ru-RU" w:eastAsia="en-US"/>
        </w:rPr>
      </w:pPr>
      <w:r w:rsidRPr="00A737B1">
        <w:rPr>
          <w:bCs/>
          <w:noProof/>
          <w:lang w:val="ru-RU" w:eastAsia="en-US"/>
        </w:rPr>
        <w:t>за непублични бенефициенти по ЕЗФРСР - в размер на 125</w:t>
      </w:r>
      <w:r w:rsidRPr="00260CB7">
        <w:rPr>
          <w:bCs/>
          <w:noProof/>
          <w:lang w:val="ru-RU" w:eastAsia="en-US"/>
        </w:rPr>
        <w:t>,5</w:t>
      </w:r>
      <w:r w:rsidRPr="00A737B1">
        <w:rPr>
          <w:bCs/>
          <w:noProof/>
          <w:lang w:val="ru-RU" w:eastAsia="en-US"/>
        </w:rPr>
        <w:t xml:space="preserve"> млн. лв. (в т.ч. 79,6 млн.</w:t>
      </w:r>
      <w:r>
        <w:rPr>
          <w:bCs/>
          <w:noProof/>
          <w:lang w:val="ru-RU" w:eastAsia="en-US"/>
        </w:rPr>
        <w:t xml:space="preserve"> </w:t>
      </w:r>
      <w:r w:rsidRPr="00A737B1">
        <w:rPr>
          <w:bCs/>
          <w:noProof/>
          <w:lang w:val="ru-RU" w:eastAsia="en-US"/>
        </w:rPr>
        <w:t>лв. национално съфинансиране);</w:t>
      </w:r>
    </w:p>
    <w:p w:rsidR="000938C1" w:rsidRPr="00A737B1" w:rsidRDefault="000938C1" w:rsidP="00F30F79">
      <w:pPr>
        <w:numPr>
          <w:ilvl w:val="0"/>
          <w:numId w:val="65"/>
        </w:numPr>
        <w:tabs>
          <w:tab w:val="left" w:pos="993"/>
        </w:tabs>
        <w:ind w:left="0" w:firstLine="709"/>
        <w:jc w:val="both"/>
        <w:rPr>
          <w:bCs/>
          <w:noProof/>
          <w:lang w:val="ru-RU" w:eastAsia="en-US"/>
        </w:rPr>
      </w:pPr>
      <w:r w:rsidRPr="00A737B1">
        <w:rPr>
          <w:bCs/>
          <w:noProof/>
          <w:lang w:val="ru-RU" w:eastAsia="en-US"/>
        </w:rPr>
        <w:t>за пазарни мерки по ЕФГЗ – в размер на 10</w:t>
      </w:r>
      <w:r w:rsidRPr="00260CB7">
        <w:rPr>
          <w:bCs/>
          <w:noProof/>
          <w:lang w:val="ru-RU" w:eastAsia="en-US"/>
        </w:rPr>
        <w:t>,</w:t>
      </w:r>
      <w:r w:rsidRPr="00A737B1">
        <w:rPr>
          <w:bCs/>
          <w:noProof/>
          <w:lang w:val="ru-RU" w:eastAsia="en-US"/>
        </w:rPr>
        <w:t>3 млн. лв. (в т.ч. 8</w:t>
      </w:r>
      <w:r w:rsidRPr="00260CB7">
        <w:rPr>
          <w:bCs/>
          <w:noProof/>
          <w:lang w:val="ru-RU" w:eastAsia="en-US"/>
        </w:rPr>
        <w:t>,</w:t>
      </w:r>
      <w:r w:rsidRPr="00A737B1">
        <w:rPr>
          <w:bCs/>
          <w:noProof/>
          <w:lang w:val="ru-RU" w:eastAsia="en-US"/>
        </w:rPr>
        <w:t>2 млн.</w:t>
      </w:r>
      <w:r>
        <w:rPr>
          <w:bCs/>
          <w:noProof/>
          <w:lang w:val="ru-RU" w:eastAsia="en-US"/>
        </w:rPr>
        <w:t xml:space="preserve"> </w:t>
      </w:r>
      <w:r w:rsidRPr="00A737B1">
        <w:rPr>
          <w:bCs/>
          <w:noProof/>
          <w:lang w:val="ru-RU" w:eastAsia="en-US"/>
        </w:rPr>
        <w:t>лв. национално съфинансиране);</w:t>
      </w:r>
    </w:p>
    <w:p w:rsidR="000938C1" w:rsidRPr="00A737B1" w:rsidRDefault="000938C1" w:rsidP="00F30F79">
      <w:pPr>
        <w:numPr>
          <w:ilvl w:val="0"/>
          <w:numId w:val="65"/>
        </w:numPr>
        <w:tabs>
          <w:tab w:val="left" w:pos="993"/>
        </w:tabs>
        <w:ind w:left="0" w:firstLine="709"/>
        <w:jc w:val="both"/>
        <w:rPr>
          <w:bCs/>
          <w:noProof/>
          <w:lang w:val="ru-RU" w:eastAsia="en-US"/>
        </w:rPr>
      </w:pPr>
      <w:r w:rsidRPr="00A737B1">
        <w:rPr>
          <w:bCs/>
          <w:noProof/>
          <w:lang w:val="ru-RU" w:eastAsia="en-US"/>
        </w:rPr>
        <w:t xml:space="preserve"> държавна помощ по одобрени за подпомагане финансови схеми - в размер на 79</w:t>
      </w:r>
      <w:r w:rsidRPr="00260CB7">
        <w:rPr>
          <w:bCs/>
          <w:noProof/>
          <w:lang w:val="ru-RU" w:eastAsia="en-US"/>
        </w:rPr>
        <w:t>,</w:t>
      </w:r>
      <w:r w:rsidRPr="00A737B1">
        <w:rPr>
          <w:bCs/>
          <w:noProof/>
          <w:lang w:val="ru-RU" w:eastAsia="en-US"/>
        </w:rPr>
        <w:t>8 млн. л</w:t>
      </w:r>
      <w:r w:rsidRPr="00260CB7">
        <w:rPr>
          <w:bCs/>
          <w:noProof/>
          <w:lang w:val="ru-RU" w:eastAsia="en-US"/>
        </w:rPr>
        <w:t>е</w:t>
      </w:r>
      <w:r w:rsidRPr="00A737B1">
        <w:rPr>
          <w:bCs/>
          <w:noProof/>
          <w:lang w:val="ru-RU" w:eastAsia="en-US"/>
        </w:rPr>
        <w:t>в</w:t>
      </w:r>
      <w:r w:rsidRPr="00260CB7">
        <w:rPr>
          <w:bCs/>
          <w:noProof/>
          <w:lang w:val="ru-RU" w:eastAsia="en-US"/>
        </w:rPr>
        <w:t>а</w:t>
      </w:r>
      <w:r w:rsidRPr="00A737B1">
        <w:rPr>
          <w:bCs/>
          <w:noProof/>
          <w:lang w:val="ru-RU" w:eastAsia="en-US"/>
        </w:rPr>
        <w:t>;</w:t>
      </w:r>
    </w:p>
    <w:p w:rsidR="000938C1" w:rsidRPr="00A737B1" w:rsidRDefault="000938C1" w:rsidP="00F30F79">
      <w:pPr>
        <w:numPr>
          <w:ilvl w:val="0"/>
          <w:numId w:val="65"/>
        </w:numPr>
        <w:tabs>
          <w:tab w:val="left" w:pos="993"/>
        </w:tabs>
        <w:ind w:left="0" w:firstLine="709"/>
        <w:jc w:val="both"/>
        <w:rPr>
          <w:bCs/>
          <w:noProof/>
          <w:lang w:val="ru-RU" w:eastAsia="en-US"/>
        </w:rPr>
      </w:pPr>
      <w:r w:rsidRPr="00A737B1">
        <w:rPr>
          <w:bCs/>
          <w:noProof/>
          <w:lang w:val="ru-RU" w:eastAsia="en-US"/>
        </w:rPr>
        <w:t xml:space="preserve"> средства за покриване на разходите за ДДС за пазарни мерки – 8</w:t>
      </w:r>
      <w:r w:rsidRPr="00260CB7">
        <w:rPr>
          <w:bCs/>
          <w:noProof/>
          <w:lang w:val="ru-RU" w:eastAsia="en-US"/>
        </w:rPr>
        <w:t>,</w:t>
      </w:r>
      <w:r w:rsidRPr="00A737B1">
        <w:rPr>
          <w:bCs/>
          <w:noProof/>
          <w:lang w:val="ru-RU" w:eastAsia="en-US"/>
        </w:rPr>
        <w:t>2 млн. л</w:t>
      </w:r>
      <w:r w:rsidRPr="00260CB7">
        <w:rPr>
          <w:bCs/>
          <w:noProof/>
          <w:lang w:val="ru-RU" w:eastAsia="en-US"/>
        </w:rPr>
        <w:t>е</w:t>
      </w:r>
      <w:r w:rsidRPr="00A737B1">
        <w:rPr>
          <w:bCs/>
          <w:noProof/>
          <w:lang w:val="ru-RU" w:eastAsia="en-US"/>
        </w:rPr>
        <w:t>в</w:t>
      </w:r>
      <w:r w:rsidRPr="00260CB7">
        <w:rPr>
          <w:bCs/>
          <w:noProof/>
          <w:lang w:val="ru-RU" w:eastAsia="en-US"/>
        </w:rPr>
        <w:t>а</w:t>
      </w:r>
      <w:r w:rsidRPr="00A737B1">
        <w:rPr>
          <w:bCs/>
          <w:noProof/>
          <w:lang w:val="ru-RU" w:eastAsia="en-US"/>
        </w:rPr>
        <w:t>;</w:t>
      </w:r>
    </w:p>
    <w:p w:rsidR="000938C1" w:rsidRPr="00A737B1" w:rsidRDefault="000938C1" w:rsidP="00F30F79">
      <w:pPr>
        <w:numPr>
          <w:ilvl w:val="0"/>
          <w:numId w:val="65"/>
        </w:numPr>
        <w:tabs>
          <w:tab w:val="left" w:pos="993"/>
        </w:tabs>
        <w:ind w:left="0" w:firstLine="709"/>
        <w:jc w:val="both"/>
        <w:rPr>
          <w:bCs/>
          <w:noProof/>
          <w:lang w:val="ru-RU" w:eastAsia="en-US"/>
        </w:rPr>
      </w:pPr>
      <w:r w:rsidRPr="00A737B1">
        <w:rPr>
          <w:bCs/>
          <w:noProof/>
          <w:lang w:val="ru-RU" w:eastAsia="en-US"/>
        </w:rPr>
        <w:t xml:space="preserve"> национални доплащания за животни – 92</w:t>
      </w:r>
      <w:r w:rsidRPr="00260CB7">
        <w:rPr>
          <w:bCs/>
          <w:noProof/>
          <w:lang w:val="ru-RU" w:eastAsia="en-US"/>
        </w:rPr>
        <w:t>,8</w:t>
      </w:r>
      <w:r w:rsidRPr="00A737B1">
        <w:rPr>
          <w:bCs/>
          <w:noProof/>
          <w:lang w:val="en-AU" w:eastAsia="en-US"/>
        </w:rPr>
        <w:t> </w:t>
      </w:r>
      <w:r w:rsidRPr="00A737B1">
        <w:rPr>
          <w:bCs/>
          <w:noProof/>
          <w:lang w:val="ru-RU" w:eastAsia="en-US"/>
        </w:rPr>
        <w:t>млн.</w:t>
      </w:r>
      <w:r w:rsidRPr="00A737B1">
        <w:rPr>
          <w:bCs/>
          <w:noProof/>
          <w:lang w:val="en-AU" w:eastAsia="en-US"/>
        </w:rPr>
        <w:t> </w:t>
      </w:r>
      <w:r w:rsidRPr="00A737B1">
        <w:rPr>
          <w:bCs/>
          <w:noProof/>
          <w:lang w:val="ru-RU" w:eastAsia="en-US"/>
        </w:rPr>
        <w:t>л</w:t>
      </w:r>
      <w:r w:rsidRPr="00260CB7">
        <w:rPr>
          <w:bCs/>
          <w:noProof/>
          <w:lang w:val="ru-RU" w:eastAsia="en-US"/>
        </w:rPr>
        <w:t>е</w:t>
      </w:r>
      <w:r w:rsidRPr="00A737B1">
        <w:rPr>
          <w:bCs/>
          <w:noProof/>
          <w:lang w:val="ru-RU" w:eastAsia="en-US"/>
        </w:rPr>
        <w:t>в</w:t>
      </w:r>
      <w:r w:rsidRPr="00260CB7">
        <w:rPr>
          <w:bCs/>
          <w:noProof/>
          <w:lang w:val="ru-RU" w:eastAsia="en-US"/>
        </w:rPr>
        <w:t>а</w:t>
      </w:r>
      <w:r w:rsidRPr="00A737B1">
        <w:rPr>
          <w:bCs/>
          <w:noProof/>
          <w:lang w:val="ru-RU" w:eastAsia="en-US"/>
        </w:rPr>
        <w:t>;</w:t>
      </w:r>
    </w:p>
    <w:p w:rsidR="000938C1" w:rsidRPr="00A737B1" w:rsidRDefault="000938C1" w:rsidP="00F30F79">
      <w:pPr>
        <w:numPr>
          <w:ilvl w:val="0"/>
          <w:numId w:val="65"/>
        </w:numPr>
        <w:tabs>
          <w:tab w:val="left" w:pos="993"/>
        </w:tabs>
        <w:ind w:left="0" w:firstLine="709"/>
        <w:jc w:val="both"/>
        <w:rPr>
          <w:bCs/>
          <w:noProof/>
          <w:lang w:val="ru-RU" w:eastAsia="en-US"/>
        </w:rPr>
      </w:pPr>
      <w:r w:rsidRPr="00A737B1">
        <w:rPr>
          <w:bCs/>
          <w:noProof/>
          <w:lang w:val="ru-RU" w:eastAsia="en-US"/>
        </w:rPr>
        <w:t xml:space="preserve"> национални доплащания за тютюнопроизводителите – 84</w:t>
      </w:r>
      <w:r w:rsidRPr="00260CB7">
        <w:rPr>
          <w:bCs/>
          <w:noProof/>
          <w:lang w:val="ru-RU" w:eastAsia="en-US"/>
        </w:rPr>
        <w:t>,0</w:t>
      </w:r>
      <w:r w:rsidRPr="00A737B1">
        <w:rPr>
          <w:bCs/>
          <w:noProof/>
          <w:lang w:val="ru-RU" w:eastAsia="en-US"/>
        </w:rPr>
        <w:t xml:space="preserve"> млн. л</w:t>
      </w:r>
      <w:r w:rsidRPr="00260CB7">
        <w:rPr>
          <w:bCs/>
          <w:noProof/>
          <w:lang w:val="ru-RU" w:eastAsia="en-US"/>
        </w:rPr>
        <w:t>е</w:t>
      </w:r>
      <w:r w:rsidRPr="00A737B1">
        <w:rPr>
          <w:bCs/>
          <w:noProof/>
          <w:lang w:val="ru-RU" w:eastAsia="en-US"/>
        </w:rPr>
        <w:t>в</w:t>
      </w:r>
      <w:r w:rsidRPr="00260CB7">
        <w:rPr>
          <w:bCs/>
          <w:noProof/>
          <w:lang w:val="ru-RU" w:eastAsia="en-US"/>
        </w:rPr>
        <w:t>а</w:t>
      </w:r>
      <w:r w:rsidRPr="00A737B1">
        <w:rPr>
          <w:bCs/>
          <w:noProof/>
          <w:lang w:val="ru-RU" w:eastAsia="en-US"/>
        </w:rPr>
        <w:t>;</w:t>
      </w:r>
    </w:p>
    <w:p w:rsidR="000938C1" w:rsidRPr="00A737B1" w:rsidRDefault="000938C1" w:rsidP="00F30F79">
      <w:pPr>
        <w:numPr>
          <w:ilvl w:val="0"/>
          <w:numId w:val="65"/>
        </w:numPr>
        <w:tabs>
          <w:tab w:val="left" w:pos="993"/>
        </w:tabs>
        <w:ind w:left="0" w:firstLine="709"/>
        <w:jc w:val="both"/>
        <w:rPr>
          <w:bCs/>
          <w:noProof/>
          <w:lang w:val="ru-RU" w:eastAsia="en-US"/>
        </w:rPr>
      </w:pPr>
      <w:r w:rsidRPr="00A737B1">
        <w:rPr>
          <w:bCs/>
          <w:noProof/>
          <w:lang w:val="ru-RU" w:eastAsia="en-US"/>
        </w:rPr>
        <w:t xml:space="preserve"> национални доплащания на площ за предходни кампании – 0</w:t>
      </w:r>
      <w:r w:rsidRPr="00260CB7">
        <w:rPr>
          <w:bCs/>
          <w:noProof/>
          <w:lang w:val="ru-RU" w:eastAsia="en-US"/>
        </w:rPr>
        <w:t>,8</w:t>
      </w:r>
      <w:r w:rsidRPr="00A737B1">
        <w:rPr>
          <w:bCs/>
          <w:noProof/>
          <w:lang w:val="ru-RU" w:eastAsia="en-US"/>
        </w:rPr>
        <w:t xml:space="preserve"> млн. л</w:t>
      </w:r>
      <w:r w:rsidRPr="00260CB7">
        <w:rPr>
          <w:bCs/>
          <w:noProof/>
          <w:lang w:val="ru-RU" w:eastAsia="en-US"/>
        </w:rPr>
        <w:t>е</w:t>
      </w:r>
      <w:r w:rsidRPr="00A737B1">
        <w:rPr>
          <w:bCs/>
          <w:noProof/>
          <w:lang w:val="ru-RU" w:eastAsia="en-US"/>
        </w:rPr>
        <w:t>в</w:t>
      </w:r>
      <w:r w:rsidRPr="00260CB7">
        <w:rPr>
          <w:bCs/>
          <w:noProof/>
          <w:lang w:val="ru-RU" w:eastAsia="en-US"/>
        </w:rPr>
        <w:t>а;</w:t>
      </w:r>
    </w:p>
    <w:p w:rsidR="000938C1" w:rsidRPr="00A737B1" w:rsidRDefault="000938C1" w:rsidP="00F30F79">
      <w:pPr>
        <w:numPr>
          <w:ilvl w:val="0"/>
          <w:numId w:val="65"/>
        </w:numPr>
        <w:tabs>
          <w:tab w:val="left" w:pos="993"/>
        </w:tabs>
        <w:ind w:left="0" w:firstLine="709"/>
        <w:jc w:val="both"/>
        <w:rPr>
          <w:bCs/>
          <w:noProof/>
          <w:lang w:val="ru-RU" w:eastAsia="en-US"/>
        </w:rPr>
      </w:pPr>
      <w:r w:rsidRPr="00A737B1">
        <w:rPr>
          <w:bCs/>
          <w:noProof/>
          <w:lang w:val="ru-RU" w:eastAsia="en-US"/>
        </w:rPr>
        <w:t>други субсидии и плащания в размер на 0</w:t>
      </w:r>
      <w:r w:rsidRPr="00260CB7">
        <w:rPr>
          <w:bCs/>
          <w:noProof/>
          <w:lang w:val="ru-RU" w:eastAsia="en-US"/>
        </w:rPr>
        <w:t>,</w:t>
      </w:r>
      <w:r w:rsidRPr="00A737B1">
        <w:rPr>
          <w:bCs/>
          <w:noProof/>
          <w:lang w:val="ru-RU" w:eastAsia="en-US"/>
        </w:rPr>
        <w:t>4 млн. л</w:t>
      </w:r>
      <w:r w:rsidRPr="00260CB7">
        <w:rPr>
          <w:bCs/>
          <w:noProof/>
          <w:lang w:val="ru-RU" w:eastAsia="en-US"/>
        </w:rPr>
        <w:t>е</w:t>
      </w:r>
      <w:r w:rsidRPr="00A737B1">
        <w:rPr>
          <w:bCs/>
          <w:noProof/>
          <w:lang w:val="ru-RU" w:eastAsia="en-US"/>
        </w:rPr>
        <w:t>в</w:t>
      </w:r>
      <w:r w:rsidRPr="00260CB7">
        <w:rPr>
          <w:bCs/>
          <w:noProof/>
          <w:lang w:val="ru-RU" w:eastAsia="en-US"/>
        </w:rPr>
        <w:t>а</w:t>
      </w:r>
      <w:r w:rsidRPr="00A737B1">
        <w:rPr>
          <w:bCs/>
          <w:noProof/>
          <w:lang w:val="ru-RU" w:eastAsia="en-US"/>
        </w:rPr>
        <w:t>.</w:t>
      </w:r>
    </w:p>
    <w:p w:rsidR="000938C1" w:rsidRPr="00A737B1" w:rsidRDefault="000938C1" w:rsidP="004D5AAC">
      <w:pPr>
        <w:ind w:firstLine="720"/>
        <w:jc w:val="both"/>
        <w:rPr>
          <w:bCs/>
          <w:noProof/>
          <w:lang w:val="ru-RU" w:eastAsia="en-US"/>
        </w:rPr>
      </w:pPr>
      <w:r w:rsidRPr="00A737B1">
        <w:rPr>
          <w:bCs/>
          <w:noProof/>
          <w:lang w:val="ru-RU" w:eastAsia="en-US"/>
        </w:rPr>
        <w:t>Изплатените субсидии през 2013 г., на организации с нестопанска цел са в размер на 7</w:t>
      </w:r>
      <w:r w:rsidRPr="00260CB7">
        <w:rPr>
          <w:bCs/>
          <w:noProof/>
          <w:lang w:val="ru-RU" w:eastAsia="en-US"/>
        </w:rPr>
        <w:t>,</w:t>
      </w:r>
      <w:r w:rsidRPr="00A737B1">
        <w:rPr>
          <w:bCs/>
          <w:noProof/>
          <w:lang w:val="ru-RU" w:eastAsia="en-US"/>
        </w:rPr>
        <w:t>8 млн. лв., в т.ч. 1</w:t>
      </w:r>
      <w:r w:rsidRPr="00260CB7">
        <w:rPr>
          <w:bCs/>
          <w:noProof/>
          <w:lang w:val="ru-RU" w:eastAsia="en-US"/>
        </w:rPr>
        <w:t>,</w:t>
      </w:r>
      <w:r w:rsidRPr="00A737B1">
        <w:rPr>
          <w:bCs/>
          <w:noProof/>
          <w:lang w:val="ru-RU" w:eastAsia="en-US"/>
        </w:rPr>
        <w:t xml:space="preserve">6 млн. лв. национално съфинансиране. </w:t>
      </w:r>
    </w:p>
    <w:p w:rsidR="000938C1" w:rsidRPr="00A737B1" w:rsidRDefault="000938C1" w:rsidP="004D5AAC">
      <w:pPr>
        <w:spacing w:after="120"/>
        <w:ind w:firstLine="720"/>
        <w:jc w:val="both"/>
        <w:rPr>
          <w:noProof/>
          <w:szCs w:val="20"/>
          <w:lang w:eastAsia="en-US"/>
        </w:rPr>
      </w:pPr>
      <w:r w:rsidRPr="00A737B1">
        <w:rPr>
          <w:noProof/>
          <w:szCs w:val="20"/>
          <w:lang w:eastAsia="en-US"/>
        </w:rPr>
        <w:t>От заложения ресурс през 2013 г. за капит</w:t>
      </w:r>
      <w:r w:rsidRPr="00260CB7">
        <w:rPr>
          <w:noProof/>
          <w:szCs w:val="20"/>
          <w:lang w:eastAsia="en-US"/>
        </w:rPr>
        <w:t>алови трансфери в размер на 251,8</w:t>
      </w:r>
      <w:r w:rsidRPr="00A737B1">
        <w:rPr>
          <w:noProof/>
          <w:szCs w:val="20"/>
          <w:lang w:eastAsia="en-US"/>
        </w:rPr>
        <w:t xml:space="preserve"> млн.</w:t>
      </w:r>
      <w:r>
        <w:rPr>
          <w:noProof/>
          <w:szCs w:val="20"/>
          <w:lang w:eastAsia="en-US"/>
        </w:rPr>
        <w:t xml:space="preserve"> </w:t>
      </w:r>
      <w:r w:rsidRPr="00A737B1">
        <w:rPr>
          <w:noProof/>
          <w:szCs w:val="20"/>
          <w:lang w:eastAsia="en-US"/>
        </w:rPr>
        <w:t>лв. са предоставени 290</w:t>
      </w:r>
      <w:r w:rsidRPr="00260CB7">
        <w:rPr>
          <w:noProof/>
          <w:szCs w:val="20"/>
          <w:lang w:eastAsia="en-US"/>
        </w:rPr>
        <w:t>,1</w:t>
      </w:r>
      <w:r w:rsidRPr="00A737B1">
        <w:rPr>
          <w:noProof/>
          <w:szCs w:val="20"/>
          <w:lang w:eastAsia="en-US"/>
        </w:rPr>
        <w:t xml:space="preserve"> млн.</w:t>
      </w:r>
      <w:r>
        <w:rPr>
          <w:noProof/>
          <w:szCs w:val="20"/>
          <w:lang w:eastAsia="en-US"/>
        </w:rPr>
        <w:t xml:space="preserve"> </w:t>
      </w:r>
      <w:r w:rsidRPr="00A737B1">
        <w:rPr>
          <w:noProof/>
          <w:szCs w:val="20"/>
          <w:lang w:eastAsia="en-US"/>
        </w:rPr>
        <w:t>лв. или с 15</w:t>
      </w:r>
      <w:r w:rsidRPr="00260CB7">
        <w:rPr>
          <w:noProof/>
          <w:szCs w:val="20"/>
          <w:lang w:eastAsia="en-US"/>
        </w:rPr>
        <w:t>,</w:t>
      </w:r>
      <w:r w:rsidRPr="00A737B1">
        <w:rPr>
          <w:noProof/>
          <w:szCs w:val="20"/>
          <w:lang w:eastAsia="en-US"/>
        </w:rPr>
        <w:t xml:space="preserve">2 % изпълнение над плана, в това число капиталови трансфери за: нефинансови предприятия и организации с нестопанска цел - бенефициенти по ПРСР </w:t>
      </w:r>
      <w:r w:rsidRPr="00260CB7">
        <w:rPr>
          <w:noProof/>
          <w:szCs w:val="20"/>
          <w:lang w:eastAsia="en-US"/>
        </w:rPr>
        <w:t>–</w:t>
      </w:r>
      <w:r w:rsidRPr="00A737B1">
        <w:rPr>
          <w:noProof/>
          <w:szCs w:val="20"/>
          <w:lang w:eastAsia="en-US"/>
        </w:rPr>
        <w:t xml:space="preserve"> 265</w:t>
      </w:r>
      <w:r w:rsidRPr="00260CB7">
        <w:rPr>
          <w:noProof/>
          <w:szCs w:val="20"/>
          <w:lang w:eastAsia="en-US"/>
        </w:rPr>
        <w:t>,1</w:t>
      </w:r>
      <w:r w:rsidRPr="00A737B1">
        <w:rPr>
          <w:noProof/>
          <w:szCs w:val="20"/>
          <w:lang w:eastAsia="en-US"/>
        </w:rPr>
        <w:t xml:space="preserve"> млн.</w:t>
      </w:r>
      <w:r>
        <w:rPr>
          <w:noProof/>
          <w:szCs w:val="20"/>
          <w:lang w:eastAsia="en-US"/>
        </w:rPr>
        <w:t xml:space="preserve"> </w:t>
      </w:r>
      <w:r w:rsidRPr="00A737B1">
        <w:rPr>
          <w:noProof/>
          <w:szCs w:val="20"/>
          <w:lang w:eastAsia="en-US"/>
        </w:rPr>
        <w:t>лв. (в т.ч. 51</w:t>
      </w:r>
      <w:r w:rsidRPr="00260CB7">
        <w:rPr>
          <w:noProof/>
          <w:szCs w:val="20"/>
          <w:lang w:eastAsia="en-US"/>
        </w:rPr>
        <w:t>,</w:t>
      </w:r>
      <w:r w:rsidRPr="00A737B1">
        <w:rPr>
          <w:noProof/>
          <w:szCs w:val="20"/>
          <w:lang w:eastAsia="en-US"/>
        </w:rPr>
        <w:t>7 млн. лв национално съфинансиране и 1</w:t>
      </w:r>
      <w:r w:rsidRPr="00260CB7">
        <w:rPr>
          <w:noProof/>
          <w:szCs w:val="20"/>
          <w:lang w:eastAsia="en-US"/>
        </w:rPr>
        <w:t>,3</w:t>
      </w:r>
      <w:r w:rsidRPr="00A737B1">
        <w:rPr>
          <w:noProof/>
          <w:szCs w:val="20"/>
          <w:lang w:eastAsia="en-US"/>
        </w:rPr>
        <w:t xml:space="preserve"> млн. лв. по национални програми), нефинансови предприятия – бенефициенти по ОПРСР – 21</w:t>
      </w:r>
      <w:r w:rsidRPr="00260CB7">
        <w:rPr>
          <w:noProof/>
          <w:szCs w:val="20"/>
          <w:lang w:eastAsia="en-US"/>
        </w:rPr>
        <w:t>,3</w:t>
      </w:r>
      <w:r w:rsidRPr="00A737B1">
        <w:rPr>
          <w:noProof/>
          <w:szCs w:val="20"/>
          <w:lang w:eastAsia="en-US"/>
        </w:rPr>
        <w:t xml:space="preserve"> млн. лв. (в т.ч. </w:t>
      </w:r>
      <w:r w:rsidRPr="00260CB7">
        <w:rPr>
          <w:noProof/>
          <w:szCs w:val="20"/>
          <w:lang w:eastAsia="en-US"/>
        </w:rPr>
        <w:t>5,0</w:t>
      </w:r>
      <w:r w:rsidRPr="00A737B1">
        <w:rPr>
          <w:noProof/>
          <w:szCs w:val="20"/>
          <w:lang w:eastAsia="en-US"/>
        </w:rPr>
        <w:t xml:space="preserve"> млн. лв. национално съфинансиране), капиталови трансфери за изпълнени, но не разплатени проекти по програма САПАРД </w:t>
      </w:r>
      <w:r w:rsidRPr="00260CB7">
        <w:rPr>
          <w:noProof/>
          <w:szCs w:val="20"/>
          <w:lang w:eastAsia="en-US"/>
        </w:rPr>
        <w:t>–</w:t>
      </w:r>
      <w:r w:rsidRPr="00A737B1">
        <w:rPr>
          <w:noProof/>
          <w:szCs w:val="20"/>
          <w:lang w:eastAsia="en-US"/>
        </w:rPr>
        <w:t xml:space="preserve"> 3</w:t>
      </w:r>
      <w:r w:rsidRPr="00260CB7">
        <w:rPr>
          <w:noProof/>
          <w:szCs w:val="20"/>
          <w:lang w:eastAsia="en-US"/>
        </w:rPr>
        <w:t xml:space="preserve">,6 </w:t>
      </w:r>
      <w:r w:rsidRPr="00A737B1">
        <w:rPr>
          <w:noProof/>
          <w:szCs w:val="20"/>
          <w:lang w:eastAsia="en-US"/>
        </w:rPr>
        <w:t>млн. л</w:t>
      </w:r>
      <w:r>
        <w:rPr>
          <w:noProof/>
          <w:szCs w:val="20"/>
          <w:lang w:eastAsia="en-US"/>
        </w:rPr>
        <w:t>е</w:t>
      </w:r>
      <w:r w:rsidRPr="00A737B1">
        <w:rPr>
          <w:noProof/>
          <w:szCs w:val="20"/>
          <w:lang w:eastAsia="en-US"/>
        </w:rPr>
        <w:t>в</w:t>
      </w:r>
      <w:r>
        <w:rPr>
          <w:noProof/>
          <w:szCs w:val="20"/>
          <w:lang w:eastAsia="en-US"/>
        </w:rPr>
        <w:t>а</w:t>
      </w:r>
      <w:r w:rsidRPr="00A737B1">
        <w:rPr>
          <w:noProof/>
          <w:szCs w:val="20"/>
          <w:lang w:eastAsia="en-US"/>
        </w:rPr>
        <w:t xml:space="preserve">. </w:t>
      </w:r>
    </w:p>
    <w:p w:rsidR="000938C1" w:rsidRPr="002255D3" w:rsidRDefault="000938C1" w:rsidP="004D5AAC">
      <w:pPr>
        <w:pStyle w:val="Header"/>
        <w:ind w:firstLine="720"/>
        <w:jc w:val="both"/>
        <w:rPr>
          <w:noProof/>
          <w:lang w:val="ru-RU"/>
        </w:rPr>
      </w:pPr>
      <w:r w:rsidRPr="00260CB7">
        <w:rPr>
          <w:noProof/>
          <w:lang w:eastAsia="en-US"/>
        </w:rPr>
        <w:t>Освен посочените параметри, разходите в план-сметката на ДФ „Земеделие” включват разходите за издръжка на фонда, работни заплати (вкл. за възнаграждения, изплатени по мярката за техническата помощ от ПРСР) и свързаните с тях осигурителни плащания, други текущи разходи, както и капиталови разходи за основен ремонт и за придобиване на дълготрайни активи на фонда.</w:t>
      </w:r>
    </w:p>
    <w:p w:rsidR="000938C1" w:rsidRPr="00CF1A14" w:rsidRDefault="000938C1" w:rsidP="004D5AAC">
      <w:pPr>
        <w:ind w:firstLine="720"/>
        <w:jc w:val="both"/>
        <w:rPr>
          <w:noProof/>
          <w:color w:val="0070C0"/>
          <w:spacing w:val="1"/>
          <w:u w:val="single"/>
        </w:rPr>
      </w:pPr>
    </w:p>
    <w:p w:rsidR="000938C1" w:rsidRPr="00260CB7" w:rsidRDefault="000938C1" w:rsidP="004D5AAC">
      <w:pPr>
        <w:shd w:val="clear" w:color="auto" w:fill="FFFFFF"/>
        <w:ind w:right="10" w:firstLine="720"/>
        <w:jc w:val="both"/>
      </w:pPr>
      <w:r w:rsidRPr="00260CB7">
        <w:rPr>
          <w:b/>
          <w:i/>
          <w:spacing w:val="1"/>
          <w:u w:val="single"/>
        </w:rPr>
        <w:t>Програмата за развитие на селските райони (2007-2013 г.)</w:t>
      </w:r>
      <w:r w:rsidRPr="00260CB7">
        <w:rPr>
          <w:spacing w:val="1"/>
        </w:rPr>
        <w:t xml:space="preserve"> отразява националната </w:t>
      </w:r>
      <w:r w:rsidRPr="00260CB7">
        <w:t xml:space="preserve">стратегия за развитие на селските райони чрез пакет от мерки, групирани в съответствие с </w:t>
      </w:r>
      <w:r w:rsidRPr="00260CB7">
        <w:rPr>
          <w:spacing w:val="2"/>
        </w:rPr>
        <w:t xml:space="preserve">осите, определени в съответните регламенти на Общността, постигането на която се </w:t>
      </w:r>
      <w:r w:rsidRPr="00260CB7">
        <w:rPr>
          <w:spacing w:val="-2"/>
        </w:rPr>
        <w:t xml:space="preserve">осъществява с финансовата помощ от Европейския земеделски фонд за развитие на селските </w:t>
      </w:r>
      <w:r w:rsidRPr="00260CB7">
        <w:rPr>
          <w:spacing w:val="-3"/>
        </w:rPr>
        <w:t>райони.</w:t>
      </w:r>
    </w:p>
    <w:p w:rsidR="000938C1" w:rsidRPr="00260CB7" w:rsidRDefault="000938C1" w:rsidP="004D5AAC">
      <w:pPr>
        <w:shd w:val="clear" w:color="auto" w:fill="FFFFFF"/>
        <w:ind w:firstLine="720"/>
        <w:jc w:val="both"/>
        <w:rPr>
          <w:spacing w:val="-3"/>
        </w:rPr>
      </w:pPr>
      <w:r w:rsidRPr="00260CB7">
        <w:rPr>
          <w:spacing w:val="-3"/>
        </w:rPr>
        <w:t>Определени са следните стратегически цели за периода 2007 — 2013 г.:</w:t>
      </w:r>
    </w:p>
    <w:p w:rsidR="000938C1" w:rsidRPr="00260CB7" w:rsidRDefault="000938C1" w:rsidP="00F30F79">
      <w:pPr>
        <w:numPr>
          <w:ilvl w:val="0"/>
          <w:numId w:val="38"/>
        </w:numPr>
        <w:shd w:val="clear" w:color="auto" w:fill="FFFFFF"/>
        <w:tabs>
          <w:tab w:val="clear" w:pos="1287"/>
          <w:tab w:val="num" w:pos="1254"/>
        </w:tabs>
        <w:ind w:left="0" w:firstLine="927"/>
        <w:jc w:val="both"/>
        <w:rPr>
          <w:spacing w:val="-2"/>
        </w:rPr>
      </w:pPr>
      <w:r w:rsidRPr="00260CB7">
        <w:rPr>
          <w:spacing w:val="-1"/>
        </w:rPr>
        <w:t>развитие на конкурентоспособни и основани на иновации земеделие, горско</w:t>
      </w:r>
      <w:r w:rsidRPr="00260CB7">
        <w:rPr>
          <w:spacing w:val="-2"/>
        </w:rPr>
        <w:t>стопанство и хранително-вкусова промишленост;</w:t>
      </w:r>
    </w:p>
    <w:p w:rsidR="000938C1" w:rsidRPr="00260CB7" w:rsidRDefault="000938C1" w:rsidP="00F30F79">
      <w:pPr>
        <w:numPr>
          <w:ilvl w:val="0"/>
          <w:numId w:val="38"/>
        </w:numPr>
        <w:shd w:val="clear" w:color="auto" w:fill="FFFFFF"/>
        <w:tabs>
          <w:tab w:val="clear" w:pos="1287"/>
          <w:tab w:val="num" w:pos="1254"/>
        </w:tabs>
        <w:ind w:left="0" w:firstLine="927"/>
        <w:jc w:val="both"/>
        <w:rPr>
          <w:spacing w:val="-2"/>
        </w:rPr>
      </w:pPr>
      <w:r w:rsidRPr="00260CB7">
        <w:rPr>
          <w:spacing w:val="-2"/>
        </w:rPr>
        <w:t>опазване на природните ресурси и околната среда в селските райони;</w:t>
      </w:r>
    </w:p>
    <w:p w:rsidR="000938C1" w:rsidRPr="00260CB7" w:rsidRDefault="000938C1" w:rsidP="00F30F79">
      <w:pPr>
        <w:numPr>
          <w:ilvl w:val="0"/>
          <w:numId w:val="38"/>
        </w:numPr>
        <w:shd w:val="clear" w:color="auto" w:fill="FFFFFF"/>
        <w:tabs>
          <w:tab w:val="clear" w:pos="1287"/>
          <w:tab w:val="num" w:pos="1254"/>
        </w:tabs>
        <w:ind w:left="0" w:firstLine="927"/>
        <w:jc w:val="both"/>
      </w:pPr>
      <w:r w:rsidRPr="00260CB7">
        <w:rPr>
          <w:spacing w:val="-1"/>
        </w:rPr>
        <w:t xml:space="preserve">подобряване на качеството на живот и разнообразяване на възможностите за заетост в </w:t>
      </w:r>
      <w:r w:rsidRPr="00260CB7">
        <w:rPr>
          <w:spacing w:val="-2"/>
        </w:rPr>
        <w:t>селските райони.</w:t>
      </w:r>
    </w:p>
    <w:p w:rsidR="000938C1" w:rsidRPr="00260CB7" w:rsidRDefault="000938C1" w:rsidP="004D5AAC">
      <w:pPr>
        <w:shd w:val="clear" w:color="auto" w:fill="FFFFFF"/>
        <w:ind w:firstLine="720"/>
        <w:jc w:val="both"/>
      </w:pPr>
      <w:r w:rsidRPr="00260CB7">
        <w:rPr>
          <w:spacing w:val="-1"/>
        </w:rPr>
        <w:t xml:space="preserve">Към постигането на тези цели са насочени и специфичните мерки по четирите оси на </w:t>
      </w:r>
      <w:r w:rsidRPr="00260CB7">
        <w:rPr>
          <w:spacing w:val="-2"/>
        </w:rPr>
        <w:t>Програмата за развитие на селските райони.</w:t>
      </w:r>
    </w:p>
    <w:p w:rsidR="000938C1" w:rsidRPr="00260CB7" w:rsidRDefault="000938C1" w:rsidP="004D5AAC">
      <w:pPr>
        <w:spacing w:after="120"/>
        <w:ind w:firstLine="709"/>
        <w:jc w:val="both"/>
        <w:rPr>
          <w:lang w:val="ru-RU" w:eastAsia="en-US"/>
        </w:rPr>
      </w:pPr>
      <w:r w:rsidRPr="00260CB7">
        <w:rPr>
          <w:lang w:val="ru-RU" w:eastAsia="en-US"/>
        </w:rPr>
        <w:t xml:space="preserve">По информация на ДФ </w:t>
      </w:r>
      <w:r w:rsidRPr="00260CB7">
        <w:rPr>
          <w:lang w:eastAsia="en-US"/>
        </w:rPr>
        <w:t>„</w:t>
      </w:r>
      <w:r w:rsidRPr="00260CB7">
        <w:rPr>
          <w:lang w:val="ru-RU" w:eastAsia="en-US"/>
        </w:rPr>
        <w:t>Земеделие</w:t>
      </w:r>
      <w:r w:rsidRPr="00260CB7">
        <w:rPr>
          <w:lang w:eastAsia="en-US"/>
        </w:rPr>
        <w:t>”</w:t>
      </w:r>
      <w:r w:rsidRPr="00260CB7">
        <w:rPr>
          <w:lang w:val="ru-RU" w:eastAsia="en-US"/>
        </w:rPr>
        <w:t xml:space="preserve">, през 2013 г. бюджетът, заложен за 2011 г. (който по правилото </w:t>
      </w:r>
      <w:r w:rsidRPr="00260CB7">
        <w:rPr>
          <w:lang w:val="en-US" w:eastAsia="en-US"/>
        </w:rPr>
        <w:t>n</w:t>
      </w:r>
      <w:r w:rsidRPr="00260CB7">
        <w:rPr>
          <w:lang w:val="ru-RU" w:eastAsia="en-US"/>
        </w:rPr>
        <w:t>+2 е следвало да се разплати до края на 2013 г.) е разплатен в пълен размер. Това от своя страна е предотвратило автоматичното отчисление на средства от бюджета на ПРСР. За разлика от предходните две календарни години, Разплащателна Агенция не отчита загуба на средства за 2013 г., поради което няма да се прилага процедурата по намаление на общия бюджет на ПРСР. Предвид постигнатите резултати, през 2013 г. изпълнението на ПРСР се придържа към предварително зададения бюджетен план на програмата, без отклонения.</w:t>
      </w:r>
    </w:p>
    <w:p w:rsidR="000938C1" w:rsidRPr="00260CB7" w:rsidRDefault="000938C1" w:rsidP="004D5AAC">
      <w:pPr>
        <w:autoSpaceDE w:val="0"/>
        <w:autoSpaceDN w:val="0"/>
        <w:adjustRightInd w:val="0"/>
        <w:ind w:firstLine="720"/>
        <w:jc w:val="both"/>
        <w:rPr>
          <w:lang w:eastAsia="en-US"/>
        </w:rPr>
      </w:pPr>
      <w:r w:rsidRPr="00260CB7">
        <w:rPr>
          <w:color w:val="000000"/>
          <w:lang w:eastAsia="en-US"/>
        </w:rPr>
        <w:t>За 2013 г. в план-сметката на ДФ „Земеделие”, планираните сред</w:t>
      </w:r>
      <w:r>
        <w:rPr>
          <w:color w:val="000000"/>
          <w:lang w:eastAsia="en-US"/>
        </w:rPr>
        <w:t>ства по ПРСР са в размер на 698,</w:t>
      </w:r>
      <w:r w:rsidRPr="00260CB7">
        <w:rPr>
          <w:color w:val="000000"/>
          <w:lang w:eastAsia="en-US"/>
        </w:rPr>
        <w:t>9 млн.</w:t>
      </w:r>
      <w:r>
        <w:rPr>
          <w:color w:val="000000"/>
          <w:lang w:eastAsia="en-US"/>
        </w:rPr>
        <w:t xml:space="preserve"> </w:t>
      </w:r>
      <w:r w:rsidRPr="00260CB7">
        <w:rPr>
          <w:color w:val="000000"/>
          <w:lang w:eastAsia="en-US"/>
        </w:rPr>
        <w:t>лв., в това число национално съфинансиране 190</w:t>
      </w:r>
      <w:r>
        <w:rPr>
          <w:color w:val="000000"/>
          <w:lang w:eastAsia="en-US"/>
        </w:rPr>
        <w:t>,</w:t>
      </w:r>
      <w:r w:rsidRPr="00260CB7">
        <w:rPr>
          <w:color w:val="000000"/>
          <w:lang w:eastAsia="en-US"/>
        </w:rPr>
        <w:t>0 млн.</w:t>
      </w:r>
      <w:r>
        <w:rPr>
          <w:color w:val="000000"/>
          <w:lang w:eastAsia="en-US"/>
        </w:rPr>
        <w:t xml:space="preserve"> </w:t>
      </w:r>
      <w:r w:rsidRPr="00260CB7">
        <w:rPr>
          <w:color w:val="000000"/>
          <w:lang w:eastAsia="en-US"/>
        </w:rPr>
        <w:t>лв. Към 31.12.2013 г. изплатените средства по програмата, са в размер на 673</w:t>
      </w:r>
      <w:r>
        <w:rPr>
          <w:color w:val="000000"/>
          <w:lang w:eastAsia="en-US"/>
        </w:rPr>
        <w:t>,</w:t>
      </w:r>
      <w:r w:rsidRPr="00260CB7">
        <w:rPr>
          <w:color w:val="000000"/>
          <w:lang w:eastAsia="en-US"/>
        </w:rPr>
        <w:t>0 млн.</w:t>
      </w:r>
      <w:r>
        <w:rPr>
          <w:color w:val="000000"/>
          <w:lang w:eastAsia="en-US"/>
        </w:rPr>
        <w:t xml:space="preserve"> </w:t>
      </w:r>
      <w:r w:rsidRPr="00260CB7">
        <w:rPr>
          <w:color w:val="000000"/>
          <w:lang w:eastAsia="en-US"/>
        </w:rPr>
        <w:t>лв., в това число национално съфинансиране 188</w:t>
      </w:r>
      <w:r>
        <w:rPr>
          <w:color w:val="000000"/>
          <w:lang w:eastAsia="en-US"/>
        </w:rPr>
        <w:t xml:space="preserve">,1 </w:t>
      </w:r>
      <w:r w:rsidRPr="00260CB7">
        <w:rPr>
          <w:color w:val="000000"/>
          <w:lang w:eastAsia="en-US"/>
        </w:rPr>
        <w:t>млн.лв. Други свързани с ПРСР разходи, изплатени по национални програми, са в размер на 38</w:t>
      </w:r>
      <w:r>
        <w:rPr>
          <w:color w:val="000000"/>
          <w:lang w:eastAsia="en-US"/>
        </w:rPr>
        <w:t>,</w:t>
      </w:r>
      <w:r w:rsidRPr="00260CB7">
        <w:rPr>
          <w:color w:val="000000"/>
          <w:lang w:eastAsia="en-US"/>
        </w:rPr>
        <w:t>6 млн. лв., в т.ч. средства за ДДС на общини-бенефициенти по програмата – 37</w:t>
      </w:r>
      <w:r>
        <w:rPr>
          <w:color w:val="000000"/>
          <w:lang w:eastAsia="en-US"/>
        </w:rPr>
        <w:t>,</w:t>
      </w:r>
      <w:r w:rsidRPr="00260CB7">
        <w:rPr>
          <w:color w:val="000000"/>
          <w:lang w:eastAsia="en-US"/>
        </w:rPr>
        <w:t>3 млн. л</w:t>
      </w:r>
      <w:r>
        <w:rPr>
          <w:color w:val="000000"/>
          <w:lang w:eastAsia="en-US"/>
        </w:rPr>
        <w:t>е</w:t>
      </w:r>
      <w:r w:rsidRPr="00260CB7">
        <w:rPr>
          <w:color w:val="000000"/>
          <w:lang w:eastAsia="en-US"/>
        </w:rPr>
        <w:t>в</w:t>
      </w:r>
      <w:r>
        <w:rPr>
          <w:color w:val="000000"/>
          <w:lang w:eastAsia="en-US"/>
        </w:rPr>
        <w:t>а</w:t>
      </w:r>
      <w:r w:rsidRPr="00260CB7">
        <w:rPr>
          <w:color w:val="000000"/>
          <w:lang w:eastAsia="en-US"/>
        </w:rPr>
        <w:t>.</w:t>
      </w:r>
    </w:p>
    <w:p w:rsidR="000938C1" w:rsidRPr="00260CB7" w:rsidRDefault="000938C1" w:rsidP="004D5AAC">
      <w:pPr>
        <w:ind w:firstLine="720"/>
        <w:jc w:val="both"/>
        <w:rPr>
          <w:color w:val="000000"/>
          <w:lang w:eastAsia="en-US"/>
        </w:rPr>
      </w:pPr>
      <w:r w:rsidRPr="00260CB7">
        <w:rPr>
          <w:color w:val="000000"/>
          <w:lang w:eastAsia="en-US"/>
        </w:rPr>
        <w:t>През 2013 г., по ПРСР са сключени</w:t>
      </w:r>
      <w:r>
        <w:rPr>
          <w:color w:val="000000"/>
          <w:lang w:eastAsia="en-US"/>
        </w:rPr>
        <w:t xml:space="preserve"> </w:t>
      </w:r>
      <w:r w:rsidRPr="00546E5A">
        <w:rPr>
          <w:color w:val="000000"/>
          <w:lang w:val="ru-RU" w:eastAsia="en-US"/>
        </w:rPr>
        <w:t>3 225</w:t>
      </w:r>
      <w:r w:rsidRPr="00260CB7">
        <w:rPr>
          <w:color w:val="000000"/>
          <w:lang w:eastAsia="en-US"/>
        </w:rPr>
        <w:t xml:space="preserve"> бр. договори с обща стойност на договорираната субсидия в размер на </w:t>
      </w:r>
      <w:r w:rsidRPr="00546E5A">
        <w:rPr>
          <w:color w:val="000000"/>
          <w:lang w:val="ru-RU" w:eastAsia="en-US"/>
        </w:rPr>
        <w:t>958</w:t>
      </w:r>
      <w:r>
        <w:rPr>
          <w:color w:val="000000"/>
          <w:lang w:val="ru-RU" w:eastAsia="en-US"/>
        </w:rPr>
        <w:t>,</w:t>
      </w:r>
      <w:r w:rsidRPr="00546E5A">
        <w:rPr>
          <w:color w:val="000000"/>
          <w:lang w:val="ru-RU" w:eastAsia="en-US"/>
        </w:rPr>
        <w:t>2</w:t>
      </w:r>
      <w:r w:rsidRPr="00260CB7">
        <w:rPr>
          <w:color w:val="000000"/>
          <w:lang w:eastAsia="en-US"/>
        </w:rPr>
        <w:t xml:space="preserve"> млн.</w:t>
      </w:r>
      <w:r>
        <w:rPr>
          <w:color w:val="000000"/>
          <w:lang w:eastAsia="en-US"/>
        </w:rPr>
        <w:t xml:space="preserve"> </w:t>
      </w:r>
      <w:r w:rsidRPr="00260CB7">
        <w:rPr>
          <w:color w:val="000000"/>
          <w:lang w:eastAsia="en-US"/>
        </w:rPr>
        <w:t>лв. Разпределението по мерки на брой на сключените договори и размер на договорираните субсидии през 201</w:t>
      </w:r>
      <w:r w:rsidRPr="00260CB7">
        <w:rPr>
          <w:color w:val="000000"/>
          <w:lang w:val="ru-RU" w:eastAsia="en-US"/>
        </w:rPr>
        <w:t>3</w:t>
      </w:r>
      <w:r w:rsidRPr="00260CB7">
        <w:rPr>
          <w:color w:val="000000"/>
          <w:lang w:eastAsia="en-US"/>
        </w:rPr>
        <w:t xml:space="preserve"> г. е както следва:           </w:t>
      </w:r>
    </w:p>
    <w:p w:rsidR="000938C1" w:rsidRPr="00260CB7" w:rsidRDefault="000938C1" w:rsidP="004D5AAC">
      <w:pPr>
        <w:ind w:firstLine="567"/>
        <w:jc w:val="both"/>
        <w:rPr>
          <w:color w:val="000000"/>
          <w:sz w:val="16"/>
          <w:szCs w:val="16"/>
          <w:lang w:eastAsia="en-US"/>
        </w:rPr>
      </w:pP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21"/>
        <w:gridCol w:w="1336"/>
        <w:gridCol w:w="1970"/>
      </w:tblGrid>
      <w:tr w:rsidR="000938C1" w:rsidRPr="00260CB7" w:rsidTr="00246730">
        <w:trPr>
          <w:trHeight w:val="724"/>
        </w:trPr>
        <w:tc>
          <w:tcPr>
            <w:tcW w:w="6321" w:type="dxa"/>
            <w:vAlign w:val="center"/>
          </w:tcPr>
          <w:p w:rsidR="000938C1" w:rsidRPr="00260CB7" w:rsidRDefault="000938C1" w:rsidP="00246730">
            <w:pPr>
              <w:ind w:firstLine="720"/>
              <w:jc w:val="center"/>
              <w:rPr>
                <w:b/>
                <w:bCs/>
                <w:color w:val="000000"/>
                <w:sz w:val="20"/>
                <w:szCs w:val="20"/>
                <w:lang w:val="en-AU"/>
              </w:rPr>
            </w:pPr>
            <w:r w:rsidRPr="00260CB7">
              <w:rPr>
                <w:b/>
                <w:bCs/>
                <w:color w:val="000000"/>
                <w:sz w:val="20"/>
                <w:szCs w:val="20"/>
                <w:lang w:val="en-AU"/>
              </w:rPr>
              <w:t>МЕРКИ ПО ПРСР</w:t>
            </w:r>
          </w:p>
        </w:tc>
        <w:tc>
          <w:tcPr>
            <w:tcW w:w="1336" w:type="dxa"/>
            <w:vAlign w:val="center"/>
          </w:tcPr>
          <w:p w:rsidR="000938C1" w:rsidRPr="00260CB7" w:rsidRDefault="000938C1" w:rsidP="00246730">
            <w:pPr>
              <w:rPr>
                <w:b/>
                <w:bCs/>
                <w:color w:val="000000"/>
                <w:sz w:val="20"/>
                <w:szCs w:val="20"/>
                <w:lang w:val="en-AU"/>
              </w:rPr>
            </w:pPr>
            <w:r w:rsidRPr="00260CB7">
              <w:rPr>
                <w:b/>
                <w:bCs/>
                <w:color w:val="000000"/>
                <w:sz w:val="20"/>
                <w:szCs w:val="20"/>
                <w:lang w:val="en-AU"/>
              </w:rPr>
              <w:t>Брой договори</w:t>
            </w:r>
          </w:p>
        </w:tc>
        <w:tc>
          <w:tcPr>
            <w:tcW w:w="1970" w:type="dxa"/>
            <w:vAlign w:val="center"/>
          </w:tcPr>
          <w:p w:rsidR="000938C1" w:rsidRPr="00260CB7" w:rsidRDefault="000938C1" w:rsidP="00246730">
            <w:pPr>
              <w:rPr>
                <w:b/>
                <w:bCs/>
                <w:color w:val="000000"/>
                <w:sz w:val="20"/>
                <w:szCs w:val="20"/>
                <w:lang w:val="ru-RU"/>
              </w:rPr>
            </w:pPr>
            <w:r w:rsidRPr="00260CB7">
              <w:rPr>
                <w:b/>
                <w:bCs/>
                <w:color w:val="000000"/>
                <w:sz w:val="20"/>
                <w:szCs w:val="20"/>
                <w:lang w:val="ru-RU"/>
              </w:rPr>
              <w:t>Размер на договорираната субсидия (млн. лв.)</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111 "Професионално обучение, информационни дейности и разпространение на научни знания"</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6</w:t>
            </w:r>
          </w:p>
        </w:tc>
        <w:tc>
          <w:tcPr>
            <w:tcW w:w="1970"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8</w:t>
            </w:r>
            <w:r>
              <w:rPr>
                <w:color w:val="000000"/>
                <w:sz w:val="20"/>
                <w:szCs w:val="20"/>
              </w:rPr>
              <w:t>,</w:t>
            </w:r>
            <w:r w:rsidRPr="00260CB7">
              <w:rPr>
                <w:color w:val="000000"/>
                <w:sz w:val="20"/>
                <w:szCs w:val="20"/>
              </w:rPr>
              <w:t>2</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112 "Създаване на стопанства на млади фермери"</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6</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1,</w:t>
            </w:r>
            <w:r w:rsidRPr="00260CB7">
              <w:rPr>
                <w:color w:val="000000"/>
                <w:sz w:val="20"/>
                <w:szCs w:val="20"/>
              </w:rPr>
              <w:t>9</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114"Използване на консултантски услуги от фермери и собственици на гори"</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25</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0,</w:t>
            </w:r>
            <w:r w:rsidRPr="00260CB7">
              <w:rPr>
                <w:color w:val="000000"/>
                <w:sz w:val="20"/>
                <w:szCs w:val="20"/>
              </w:rPr>
              <w:t>05</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en-AU"/>
              </w:rPr>
            </w:pPr>
            <w:r w:rsidRPr="00260CB7">
              <w:rPr>
                <w:color w:val="000000"/>
                <w:sz w:val="20"/>
                <w:szCs w:val="20"/>
                <w:lang w:val="en-AU"/>
              </w:rPr>
              <w:t>121 "Модернизиране на земеделските стопанства"</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670</w:t>
            </w:r>
          </w:p>
        </w:tc>
        <w:tc>
          <w:tcPr>
            <w:tcW w:w="1970"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185</w:t>
            </w:r>
            <w:r>
              <w:rPr>
                <w:color w:val="000000"/>
                <w:sz w:val="20"/>
                <w:szCs w:val="20"/>
              </w:rPr>
              <w:t>,</w:t>
            </w:r>
            <w:r w:rsidRPr="00260CB7">
              <w:rPr>
                <w:color w:val="000000"/>
                <w:sz w:val="20"/>
                <w:szCs w:val="20"/>
              </w:rPr>
              <w:t>4</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123 "Добавяне на стойност към земеделски и горски продукти"</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204</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168,</w:t>
            </w:r>
            <w:r w:rsidRPr="00260CB7">
              <w:rPr>
                <w:color w:val="000000"/>
                <w:sz w:val="20"/>
                <w:szCs w:val="20"/>
              </w:rPr>
              <w:t>0</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141 "Подпомагане на полупазарни стопанства в процес на преструктуриране"</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1422</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20,</w:t>
            </w:r>
            <w:r w:rsidRPr="00260CB7">
              <w:rPr>
                <w:color w:val="000000"/>
                <w:sz w:val="20"/>
                <w:szCs w:val="20"/>
              </w:rPr>
              <w:t>9</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223 "Първоначално залесяване на неземеделски земи"</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45</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11,</w:t>
            </w:r>
            <w:r w:rsidRPr="00260CB7">
              <w:rPr>
                <w:color w:val="000000"/>
                <w:sz w:val="20"/>
                <w:szCs w:val="20"/>
              </w:rPr>
              <w:t>3</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226 "Възстановяване на горския потенциал и въвеждане на превантивни дейности"</w:t>
            </w:r>
          </w:p>
        </w:tc>
        <w:tc>
          <w:tcPr>
            <w:tcW w:w="1336" w:type="dxa"/>
            <w:noWrap/>
            <w:vAlign w:val="center"/>
          </w:tcPr>
          <w:p w:rsidR="000938C1" w:rsidRPr="00260CB7" w:rsidRDefault="000938C1" w:rsidP="008274CE">
            <w:pPr>
              <w:ind w:firstLine="720"/>
              <w:jc w:val="right"/>
              <w:rPr>
                <w:color w:val="000000"/>
                <w:sz w:val="20"/>
                <w:szCs w:val="20"/>
                <w:lang w:val="en-AU"/>
              </w:rPr>
            </w:pPr>
            <w:r w:rsidRPr="00260CB7">
              <w:rPr>
                <w:color w:val="000000"/>
                <w:sz w:val="20"/>
                <w:szCs w:val="20"/>
              </w:rPr>
              <w:t>50</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16,</w:t>
            </w:r>
            <w:r w:rsidRPr="00260CB7">
              <w:rPr>
                <w:color w:val="000000"/>
                <w:sz w:val="20"/>
                <w:szCs w:val="20"/>
              </w:rPr>
              <w:t>35</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en-AU"/>
              </w:rPr>
              <w:t>313 "Насърчаване на туристическите дейности"</w:t>
            </w:r>
          </w:p>
        </w:tc>
        <w:tc>
          <w:tcPr>
            <w:tcW w:w="1336" w:type="dxa"/>
            <w:noWrap/>
            <w:vAlign w:val="center"/>
          </w:tcPr>
          <w:p w:rsidR="000938C1" w:rsidRPr="00260CB7" w:rsidRDefault="000938C1" w:rsidP="008274CE">
            <w:pPr>
              <w:ind w:firstLine="720"/>
              <w:jc w:val="right"/>
              <w:rPr>
                <w:color w:val="000000"/>
                <w:sz w:val="20"/>
                <w:szCs w:val="20"/>
                <w:lang w:val="en-AU"/>
              </w:rPr>
            </w:pPr>
            <w:r w:rsidRPr="00260CB7">
              <w:rPr>
                <w:color w:val="000000"/>
                <w:sz w:val="20"/>
                <w:szCs w:val="20"/>
              </w:rPr>
              <w:t>40</w:t>
            </w:r>
          </w:p>
        </w:tc>
        <w:tc>
          <w:tcPr>
            <w:tcW w:w="1970"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11.1</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321 "Основни услуги за населението и икономиката в селските райони"</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179</w:t>
            </w:r>
          </w:p>
        </w:tc>
        <w:tc>
          <w:tcPr>
            <w:tcW w:w="1970"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402</w:t>
            </w:r>
            <w:r>
              <w:rPr>
                <w:color w:val="000000"/>
                <w:sz w:val="20"/>
                <w:szCs w:val="20"/>
              </w:rPr>
              <w:t>,</w:t>
            </w:r>
            <w:r w:rsidRPr="00260CB7">
              <w:rPr>
                <w:color w:val="000000"/>
                <w:sz w:val="20"/>
                <w:szCs w:val="20"/>
              </w:rPr>
              <w:t>2</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322 "Обновяване и развитие на населените места"</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158</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103,</w:t>
            </w:r>
            <w:r w:rsidRPr="00260CB7">
              <w:rPr>
                <w:color w:val="000000"/>
                <w:sz w:val="20"/>
                <w:szCs w:val="20"/>
              </w:rPr>
              <w:t>7</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411 Местни стратегии за развитие – Подобряване качеството на живот в селските райони</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113</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5,</w:t>
            </w:r>
            <w:r w:rsidRPr="00260CB7">
              <w:rPr>
                <w:color w:val="000000"/>
                <w:sz w:val="20"/>
                <w:szCs w:val="20"/>
              </w:rPr>
              <w:t>9</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412 Местни стратегии за развитие – Подобряване на околната среда и природа</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7</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0,</w:t>
            </w:r>
            <w:r w:rsidRPr="00260CB7">
              <w:rPr>
                <w:color w:val="000000"/>
                <w:sz w:val="20"/>
                <w:szCs w:val="20"/>
              </w:rPr>
              <w:t>4</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413 Местни стратегии за развитие – Подобряване качеството на живот в селските райони</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231</w:t>
            </w:r>
          </w:p>
        </w:tc>
        <w:tc>
          <w:tcPr>
            <w:tcW w:w="1970"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18</w:t>
            </w:r>
            <w:r>
              <w:rPr>
                <w:color w:val="000000"/>
                <w:sz w:val="20"/>
                <w:szCs w:val="20"/>
              </w:rPr>
              <w:t>,</w:t>
            </w:r>
            <w:r w:rsidRPr="00260CB7">
              <w:rPr>
                <w:color w:val="000000"/>
                <w:sz w:val="20"/>
                <w:szCs w:val="20"/>
              </w:rPr>
              <w:t>7</w:t>
            </w:r>
          </w:p>
        </w:tc>
      </w:tr>
      <w:tr w:rsidR="000938C1" w:rsidRPr="00260CB7" w:rsidTr="00246730">
        <w:trPr>
          <w:trHeight w:val="507"/>
        </w:trPr>
        <w:tc>
          <w:tcPr>
            <w:tcW w:w="6321" w:type="dxa"/>
            <w:vAlign w:val="center"/>
          </w:tcPr>
          <w:p w:rsidR="000938C1" w:rsidRPr="00260CB7" w:rsidRDefault="000938C1" w:rsidP="00246730">
            <w:pPr>
              <w:rPr>
                <w:color w:val="000000"/>
                <w:sz w:val="20"/>
                <w:szCs w:val="20"/>
                <w:lang w:val="ru-RU"/>
              </w:rPr>
            </w:pPr>
            <w:r w:rsidRPr="00260CB7">
              <w:rPr>
                <w:color w:val="000000"/>
                <w:sz w:val="20"/>
                <w:szCs w:val="20"/>
                <w:lang w:val="ru-RU"/>
              </w:rPr>
              <w:t>511 Техническа помощ</w:t>
            </w:r>
          </w:p>
        </w:tc>
        <w:tc>
          <w:tcPr>
            <w:tcW w:w="1336" w:type="dxa"/>
            <w:noWrap/>
            <w:vAlign w:val="center"/>
          </w:tcPr>
          <w:p w:rsidR="000938C1" w:rsidRPr="00260CB7" w:rsidRDefault="000938C1" w:rsidP="008274CE">
            <w:pPr>
              <w:ind w:firstLine="720"/>
              <w:jc w:val="right"/>
              <w:rPr>
                <w:color w:val="000000"/>
                <w:sz w:val="20"/>
                <w:szCs w:val="20"/>
              </w:rPr>
            </w:pPr>
            <w:r w:rsidRPr="00260CB7">
              <w:rPr>
                <w:color w:val="000000"/>
                <w:sz w:val="20"/>
                <w:szCs w:val="20"/>
              </w:rPr>
              <w:t>69</w:t>
            </w:r>
          </w:p>
        </w:tc>
        <w:tc>
          <w:tcPr>
            <w:tcW w:w="1970" w:type="dxa"/>
            <w:noWrap/>
            <w:vAlign w:val="center"/>
          </w:tcPr>
          <w:p w:rsidR="000938C1" w:rsidRPr="00260CB7" w:rsidRDefault="000938C1" w:rsidP="008274CE">
            <w:pPr>
              <w:ind w:firstLine="720"/>
              <w:jc w:val="right"/>
              <w:rPr>
                <w:color w:val="000000"/>
                <w:sz w:val="20"/>
                <w:szCs w:val="20"/>
              </w:rPr>
            </w:pPr>
            <w:r>
              <w:rPr>
                <w:color w:val="000000"/>
                <w:sz w:val="20"/>
                <w:szCs w:val="20"/>
              </w:rPr>
              <w:t>4,</w:t>
            </w:r>
            <w:r w:rsidRPr="00260CB7">
              <w:rPr>
                <w:color w:val="000000"/>
                <w:sz w:val="20"/>
                <w:szCs w:val="20"/>
              </w:rPr>
              <w:t>1</w:t>
            </w:r>
          </w:p>
        </w:tc>
      </w:tr>
      <w:tr w:rsidR="000938C1" w:rsidRPr="00260CB7" w:rsidTr="00246730">
        <w:trPr>
          <w:trHeight w:val="507"/>
        </w:trPr>
        <w:tc>
          <w:tcPr>
            <w:tcW w:w="6321" w:type="dxa"/>
            <w:noWrap/>
            <w:vAlign w:val="center"/>
          </w:tcPr>
          <w:p w:rsidR="000938C1" w:rsidRPr="00260CB7" w:rsidRDefault="000938C1" w:rsidP="00246730">
            <w:pPr>
              <w:ind w:firstLine="720"/>
              <w:rPr>
                <w:b/>
                <w:bCs/>
                <w:color w:val="000000"/>
                <w:sz w:val="20"/>
                <w:szCs w:val="20"/>
                <w:lang w:val="en-AU"/>
              </w:rPr>
            </w:pPr>
            <w:r w:rsidRPr="00260CB7">
              <w:rPr>
                <w:b/>
                <w:bCs/>
                <w:color w:val="000000"/>
                <w:sz w:val="20"/>
                <w:szCs w:val="20"/>
                <w:lang w:val="en-AU"/>
              </w:rPr>
              <w:t>ОБЩО</w:t>
            </w:r>
          </w:p>
        </w:tc>
        <w:tc>
          <w:tcPr>
            <w:tcW w:w="1336" w:type="dxa"/>
            <w:noWrap/>
            <w:vAlign w:val="center"/>
          </w:tcPr>
          <w:p w:rsidR="000938C1" w:rsidRPr="00260CB7" w:rsidRDefault="000938C1" w:rsidP="008274CE">
            <w:pPr>
              <w:ind w:firstLine="720"/>
              <w:jc w:val="right"/>
              <w:rPr>
                <w:b/>
                <w:bCs/>
                <w:color w:val="000000"/>
                <w:sz w:val="20"/>
                <w:szCs w:val="20"/>
              </w:rPr>
            </w:pPr>
            <w:r w:rsidRPr="00260CB7">
              <w:rPr>
                <w:b/>
                <w:bCs/>
                <w:color w:val="000000"/>
                <w:sz w:val="20"/>
                <w:szCs w:val="20"/>
              </w:rPr>
              <w:t>3225</w:t>
            </w:r>
          </w:p>
        </w:tc>
        <w:tc>
          <w:tcPr>
            <w:tcW w:w="1970" w:type="dxa"/>
            <w:noWrap/>
            <w:vAlign w:val="center"/>
          </w:tcPr>
          <w:p w:rsidR="000938C1" w:rsidRPr="00260CB7" w:rsidRDefault="000938C1" w:rsidP="008274CE">
            <w:pPr>
              <w:ind w:firstLine="720"/>
              <w:jc w:val="right"/>
              <w:rPr>
                <w:b/>
                <w:bCs/>
                <w:color w:val="000000"/>
                <w:sz w:val="20"/>
                <w:szCs w:val="20"/>
                <w:lang w:val="ru-RU"/>
              </w:rPr>
            </w:pPr>
            <w:r w:rsidRPr="00260CB7">
              <w:rPr>
                <w:b/>
                <w:bCs/>
                <w:color w:val="000000"/>
                <w:sz w:val="20"/>
                <w:szCs w:val="20"/>
              </w:rPr>
              <w:t>958</w:t>
            </w:r>
            <w:r>
              <w:rPr>
                <w:b/>
                <w:bCs/>
                <w:color w:val="000000"/>
                <w:sz w:val="20"/>
                <w:szCs w:val="20"/>
              </w:rPr>
              <w:t>,</w:t>
            </w:r>
            <w:r w:rsidRPr="00260CB7">
              <w:rPr>
                <w:b/>
                <w:bCs/>
                <w:color w:val="000000"/>
                <w:sz w:val="20"/>
                <w:szCs w:val="20"/>
              </w:rPr>
              <w:t>2</w:t>
            </w:r>
          </w:p>
        </w:tc>
      </w:tr>
    </w:tbl>
    <w:p w:rsidR="000938C1" w:rsidRPr="00260CB7" w:rsidRDefault="000938C1" w:rsidP="004D5AAC">
      <w:pPr>
        <w:spacing w:before="120" w:after="120" w:line="360" w:lineRule="auto"/>
        <w:rPr>
          <w:i/>
          <w:sz w:val="16"/>
          <w:szCs w:val="16"/>
          <w:lang w:eastAsia="en-US"/>
        </w:rPr>
      </w:pPr>
      <w:r w:rsidRPr="00260CB7">
        <w:rPr>
          <w:i/>
          <w:sz w:val="16"/>
          <w:szCs w:val="16"/>
          <w:lang w:val="en-AU" w:eastAsia="en-US"/>
        </w:rPr>
        <w:t>Източник: ДФ „Земеделие”</w:t>
      </w:r>
    </w:p>
    <w:p w:rsidR="000938C1" w:rsidRPr="009F6CC2" w:rsidRDefault="000938C1" w:rsidP="004D5AAC">
      <w:pPr>
        <w:ind w:firstLine="709"/>
        <w:contextualSpacing/>
        <w:jc w:val="both"/>
        <w:rPr>
          <w:b/>
          <w:i/>
        </w:rPr>
      </w:pPr>
      <w:r w:rsidRPr="009F6CC2">
        <w:rPr>
          <w:b/>
          <w:i/>
        </w:rPr>
        <w:t>Трудности при изпълнението на ПРСР през 2013 г.</w:t>
      </w:r>
    </w:p>
    <w:p w:rsidR="000938C1" w:rsidRPr="009F6CC2" w:rsidRDefault="000938C1" w:rsidP="004D5AAC">
      <w:pPr>
        <w:spacing w:after="120"/>
        <w:ind w:firstLine="709"/>
        <w:jc w:val="both"/>
        <w:rPr>
          <w:lang w:val="ru-RU" w:eastAsia="en-US"/>
        </w:rPr>
      </w:pPr>
      <w:r w:rsidRPr="009F6CC2">
        <w:rPr>
          <w:lang w:val="ru-RU" w:eastAsia="en-US"/>
        </w:rPr>
        <w:t xml:space="preserve">Основните проблеми, свързани с усвояването на бюджет 2011 г. от ПРСР 2007 - 2013, по информация, получена от ДФ </w:t>
      </w:r>
      <w:r w:rsidRPr="009F6CC2">
        <w:rPr>
          <w:lang w:eastAsia="en-US"/>
        </w:rPr>
        <w:t>„</w:t>
      </w:r>
      <w:r w:rsidRPr="009F6CC2">
        <w:rPr>
          <w:lang w:val="ru-RU" w:eastAsia="en-US"/>
        </w:rPr>
        <w:t>Земеделие</w:t>
      </w:r>
      <w:r w:rsidRPr="009F6CC2">
        <w:rPr>
          <w:lang w:eastAsia="en-US"/>
        </w:rPr>
        <w:t>”</w:t>
      </w:r>
      <w:r w:rsidRPr="009F6CC2">
        <w:rPr>
          <w:lang w:val="ru-RU" w:eastAsia="en-US"/>
        </w:rPr>
        <w:t xml:space="preserve">, са породени от удължаването на сроковете за изпълнение на проектите и/или тяхното значително забавяне във времето, което от своя страна доведе до забавяне на подаването на заявки за плащане от бенефициентите и съответно, на тяхната обработка. Предвид това в Разплащателна Агенция, е въведен постоянен мониторинг на етапа на изпълнение на проектите и оказване на пълно съдействие на бенефициентите по ПРСР 2007 - 2013, благодарение на което </w:t>
      </w:r>
      <w:r w:rsidRPr="009F6CC2">
        <w:rPr>
          <w:lang w:eastAsia="en-US"/>
        </w:rPr>
        <w:t xml:space="preserve">са постигнати </w:t>
      </w:r>
      <w:r w:rsidRPr="009F6CC2">
        <w:rPr>
          <w:lang w:val="ru-RU" w:eastAsia="en-US"/>
        </w:rPr>
        <w:t>и високите резултати в края на годината.</w:t>
      </w:r>
    </w:p>
    <w:p w:rsidR="000938C1" w:rsidRPr="009F6CC2" w:rsidRDefault="000938C1" w:rsidP="004D5AAC">
      <w:pPr>
        <w:ind w:firstLine="709"/>
        <w:rPr>
          <w:b/>
          <w:i/>
          <w:lang w:eastAsia="en-US"/>
        </w:rPr>
      </w:pPr>
      <w:r w:rsidRPr="009F6CC2">
        <w:rPr>
          <w:b/>
          <w:i/>
          <w:lang w:eastAsia="en-US"/>
        </w:rPr>
        <w:t>Състояние и ефект от прилагането на гаранционната схема по ПРСР</w:t>
      </w:r>
    </w:p>
    <w:p w:rsidR="000938C1" w:rsidRPr="009F6CC2" w:rsidRDefault="000938C1" w:rsidP="004D5AAC">
      <w:pPr>
        <w:ind w:firstLine="709"/>
        <w:jc w:val="both"/>
        <w:rPr>
          <w:lang w:val="ru-RU" w:eastAsia="en-US"/>
        </w:rPr>
      </w:pPr>
      <w:r w:rsidRPr="009F6CC2">
        <w:rPr>
          <w:lang w:val="ru-RU" w:eastAsia="en-US"/>
        </w:rPr>
        <w:t>Гаранционна схема е разработена с цел да се повиши и улесни достъпа на бенефициенти по ПРСР до системата за кредитиране от финансови институции и търговски банки, като по нея са допустими единствено инвестиционни кредити. Финансовото споразумение между Управляващия орган на ПРСР и „Национален гаранционен фонд“ ЕАД (НГФ) е подписано на 20.12.2011 г</w:t>
      </w:r>
      <w:r>
        <w:rPr>
          <w:lang w:val="ru-RU" w:eastAsia="en-US"/>
        </w:rPr>
        <w:t>одина</w:t>
      </w:r>
      <w:r w:rsidRPr="009F6CC2">
        <w:rPr>
          <w:lang w:val="ru-RU" w:eastAsia="en-US"/>
        </w:rPr>
        <w:t>.</w:t>
      </w:r>
    </w:p>
    <w:p w:rsidR="000938C1" w:rsidRPr="009F6CC2" w:rsidRDefault="000938C1" w:rsidP="004D5AAC">
      <w:pPr>
        <w:ind w:firstLine="709"/>
        <w:jc w:val="both"/>
        <w:rPr>
          <w:lang w:val="ru-RU" w:eastAsia="en-US"/>
        </w:rPr>
      </w:pPr>
      <w:r w:rsidRPr="009F6CC2">
        <w:rPr>
          <w:lang w:val="ru-RU" w:eastAsia="en-US"/>
        </w:rPr>
        <w:t>Въвеждане прилагането на схемата за финансов инженеринг (гаранционна схема) на ПРСР е одобрено официално от службите на ЕК с осмото изменение на програмата, получено на 11.05.2012 г. На 17.05.2012 г. е сключен Анекс 1 към Финансовото споразумение и капиталът на Гаранционния фонд е намален до 121</w:t>
      </w:r>
      <w:r>
        <w:rPr>
          <w:lang w:eastAsia="en-US"/>
        </w:rPr>
        <w:t>,</w:t>
      </w:r>
      <w:r w:rsidRPr="009F6CC2">
        <w:rPr>
          <w:lang w:val="ru-RU" w:eastAsia="en-US"/>
        </w:rPr>
        <w:t xml:space="preserve">1 млн. евро. На 10.01.2013 г. са подписани първите споразумения с избраните от НГФ, по реда на Закона за обществените поръчки, банки-партньори.  </w:t>
      </w:r>
    </w:p>
    <w:p w:rsidR="000938C1" w:rsidRDefault="000938C1" w:rsidP="004D5AAC">
      <w:pPr>
        <w:shd w:val="clear" w:color="auto" w:fill="FFFFFF"/>
        <w:ind w:firstLine="720"/>
        <w:jc w:val="both"/>
        <w:rPr>
          <w:lang w:val="ru-RU" w:eastAsia="en-US"/>
        </w:rPr>
      </w:pPr>
      <w:r w:rsidRPr="009F6CC2">
        <w:rPr>
          <w:lang w:val="ru-RU" w:eastAsia="en-US"/>
        </w:rPr>
        <w:t xml:space="preserve">По информация на Министерството на земеделието и храните, получена чрез ДФ </w:t>
      </w:r>
      <w:r w:rsidRPr="009F6CC2">
        <w:rPr>
          <w:lang w:eastAsia="en-US"/>
        </w:rPr>
        <w:t>„</w:t>
      </w:r>
      <w:r w:rsidRPr="009F6CC2">
        <w:rPr>
          <w:lang w:val="ru-RU" w:eastAsia="en-US"/>
        </w:rPr>
        <w:t>Земеделие</w:t>
      </w:r>
      <w:r w:rsidRPr="009F6CC2">
        <w:rPr>
          <w:lang w:eastAsia="en-US"/>
        </w:rPr>
        <w:t>”</w:t>
      </w:r>
      <w:r w:rsidRPr="009F6CC2">
        <w:rPr>
          <w:lang w:val="ru-RU" w:eastAsia="en-US"/>
        </w:rPr>
        <w:t>, към 31.01.2014 г. размерът на всички издадени от НГФ ЕАД гаранции е 77</w:t>
      </w:r>
      <w:r>
        <w:rPr>
          <w:lang w:val="ru-RU" w:eastAsia="en-US"/>
        </w:rPr>
        <w:t>,</w:t>
      </w:r>
      <w:r w:rsidRPr="009F6CC2">
        <w:rPr>
          <w:lang w:val="ru-RU" w:eastAsia="en-US"/>
        </w:rPr>
        <w:t>9 млн. лв., включително приключили ангажименти в размер на 4</w:t>
      </w:r>
      <w:r>
        <w:rPr>
          <w:lang w:val="ru-RU" w:eastAsia="en-US"/>
        </w:rPr>
        <w:t>,</w:t>
      </w:r>
      <w:r w:rsidRPr="009F6CC2">
        <w:rPr>
          <w:lang w:val="ru-RU" w:eastAsia="en-US"/>
        </w:rPr>
        <w:t>6 млн. лв. по погасени кредити. Действащият към 31.01.2014 г. пълен гаранционен ангажимент е в размер на 73</w:t>
      </w:r>
      <w:r>
        <w:rPr>
          <w:lang w:val="ru-RU" w:eastAsia="en-US"/>
        </w:rPr>
        <w:t>,</w:t>
      </w:r>
      <w:r w:rsidRPr="009F6CC2">
        <w:rPr>
          <w:lang w:val="ru-RU" w:eastAsia="en-US"/>
        </w:rPr>
        <w:t>3 млн. лв. Размерът на гарантираните кредити е значим на фона на кредитирането в страната през последната година.</w:t>
      </w:r>
    </w:p>
    <w:p w:rsidR="000938C1" w:rsidRDefault="000938C1" w:rsidP="004D5AAC">
      <w:pPr>
        <w:shd w:val="clear" w:color="auto" w:fill="FFFFFF"/>
        <w:ind w:firstLine="720"/>
        <w:jc w:val="both"/>
        <w:rPr>
          <w:lang w:val="ru-RU" w:eastAsia="en-US"/>
        </w:rPr>
      </w:pPr>
    </w:p>
    <w:p w:rsidR="000938C1" w:rsidRDefault="000938C1" w:rsidP="004D5AAC">
      <w:pPr>
        <w:shd w:val="clear" w:color="auto" w:fill="FFFFFF"/>
        <w:ind w:firstLine="720"/>
        <w:jc w:val="both"/>
        <w:rPr>
          <w:lang w:val="ru-RU" w:eastAsia="en-US"/>
        </w:rPr>
      </w:pPr>
    </w:p>
    <w:p w:rsidR="000938C1" w:rsidRPr="005724D2" w:rsidRDefault="000938C1" w:rsidP="004D5AAC">
      <w:pPr>
        <w:shd w:val="clear" w:color="auto" w:fill="FFFFFF"/>
        <w:ind w:firstLine="720"/>
        <w:jc w:val="both"/>
        <w:rPr>
          <w:sz w:val="12"/>
          <w:szCs w:val="12"/>
          <w:lang w:val="ru-RU" w:eastAsia="en-US"/>
        </w:rPr>
      </w:pPr>
    </w:p>
    <w:p w:rsidR="000938C1" w:rsidRPr="003C7F08" w:rsidRDefault="000938C1" w:rsidP="004D5AAC">
      <w:pPr>
        <w:ind w:firstLine="720"/>
        <w:jc w:val="both"/>
        <w:rPr>
          <w:b/>
          <w:i/>
          <w:u w:val="single"/>
        </w:rPr>
      </w:pPr>
      <w:r w:rsidRPr="003C7F08">
        <w:rPr>
          <w:b/>
          <w:i/>
          <w:u w:val="single"/>
        </w:rPr>
        <w:t>Оперативна програма за развитие на сектор „Рибарство” (2007-2013 г.)</w:t>
      </w:r>
    </w:p>
    <w:p w:rsidR="000938C1" w:rsidRDefault="000938C1" w:rsidP="004D5AAC">
      <w:pPr>
        <w:ind w:firstLine="720"/>
        <w:jc w:val="both"/>
        <w:rPr>
          <w:bCs/>
          <w:noProof/>
        </w:rPr>
      </w:pPr>
      <w:r w:rsidRPr="003C7F08">
        <w:t xml:space="preserve">За 2013 г., планираните в разходната част на план-сметката на ДФ „Земеделие“ средствата по ОПРСР са в размер на 19,5 млн. лв., в т.ч. 3,8 млн. лв. национално съфинансиране. Към 31.12.2013 г. по програмата са изплатени общо средства в размер на 24,7 млн. лв., в т.ч. средства от ЕФР в размер на 18,8 млн. лв. и национално съфинансиране към тях в размер на 5,8 млн. лв.Други свързани с ОПРСР разходи, изплатени по национални програми са средствата за ДДС на общини-бенефициенти по програмата, в размер на 0,14 млн. лв. </w:t>
      </w:r>
      <w:r w:rsidRPr="003C7F08">
        <w:rPr>
          <w:bCs/>
          <w:noProof/>
        </w:rPr>
        <w:t xml:space="preserve">Разпределението на </w:t>
      </w:r>
      <w:r>
        <w:rPr>
          <w:bCs/>
          <w:noProof/>
        </w:rPr>
        <w:t>договорените и изплатените средства през 2013 г. по приоритетни оси е както следва:</w:t>
      </w:r>
    </w:p>
    <w:p w:rsidR="000938C1" w:rsidRDefault="000938C1" w:rsidP="004D5AAC">
      <w:pPr>
        <w:ind w:firstLine="720"/>
        <w:jc w:val="both"/>
        <w:rPr>
          <w:bCs/>
          <w:noProof/>
        </w:rPr>
      </w:pPr>
    </w:p>
    <w:p w:rsidR="000938C1" w:rsidRPr="00882004" w:rsidRDefault="000938C1" w:rsidP="004D5AAC">
      <w:pPr>
        <w:ind w:firstLine="567"/>
        <w:jc w:val="right"/>
        <w:rPr>
          <w:b/>
          <w:i/>
        </w:rPr>
      </w:pPr>
      <w:r w:rsidRPr="00882004">
        <w:rPr>
          <w:b/>
          <w:i/>
        </w:rPr>
        <w:t>млн. лева</w:t>
      </w:r>
    </w:p>
    <w:tbl>
      <w:tblPr>
        <w:tblW w:w="9477" w:type="dxa"/>
        <w:tblInd w:w="55" w:type="dxa"/>
        <w:tblLayout w:type="fixed"/>
        <w:tblCellMar>
          <w:left w:w="70" w:type="dxa"/>
          <w:right w:w="70" w:type="dxa"/>
        </w:tblCellMar>
        <w:tblLook w:val="0000"/>
      </w:tblPr>
      <w:tblGrid>
        <w:gridCol w:w="1611"/>
        <w:gridCol w:w="912"/>
        <w:gridCol w:w="1197"/>
        <w:gridCol w:w="1140"/>
        <w:gridCol w:w="1197"/>
        <w:gridCol w:w="1254"/>
        <w:gridCol w:w="1140"/>
        <w:gridCol w:w="1026"/>
      </w:tblGrid>
      <w:tr w:rsidR="000938C1" w:rsidRPr="00A55145" w:rsidTr="00246730">
        <w:trPr>
          <w:trHeight w:val="255"/>
        </w:trPr>
        <w:tc>
          <w:tcPr>
            <w:tcW w:w="1611" w:type="dxa"/>
            <w:vMerge w:val="restart"/>
            <w:tcBorders>
              <w:top w:val="single" w:sz="4" w:space="0" w:color="auto"/>
              <w:left w:val="single" w:sz="4" w:space="0" w:color="auto"/>
              <w:bottom w:val="single" w:sz="4" w:space="0" w:color="auto"/>
              <w:right w:val="single" w:sz="4" w:space="0" w:color="auto"/>
            </w:tcBorders>
            <w:shd w:val="clear" w:color="auto" w:fill="C0C0C0"/>
            <w:noWrap/>
            <w:vAlign w:val="bottom"/>
          </w:tcPr>
          <w:p w:rsidR="000938C1" w:rsidRDefault="000938C1" w:rsidP="00246730">
            <w:pPr>
              <w:jc w:val="center"/>
              <w:rPr>
                <w:b/>
                <w:bCs/>
                <w:sz w:val="20"/>
              </w:rPr>
            </w:pPr>
            <w:r w:rsidRPr="00A55145">
              <w:rPr>
                <w:b/>
                <w:bCs/>
                <w:sz w:val="20"/>
              </w:rPr>
              <w:t>Приоритетна ос</w:t>
            </w:r>
          </w:p>
          <w:p w:rsidR="000938C1" w:rsidRDefault="000938C1" w:rsidP="00246730">
            <w:pPr>
              <w:jc w:val="center"/>
              <w:rPr>
                <w:b/>
                <w:bCs/>
                <w:sz w:val="20"/>
              </w:rPr>
            </w:pPr>
          </w:p>
          <w:p w:rsidR="000938C1" w:rsidRPr="00A55145" w:rsidRDefault="000938C1" w:rsidP="00246730">
            <w:pPr>
              <w:jc w:val="center"/>
              <w:rPr>
                <w:b/>
                <w:bCs/>
                <w:sz w:val="20"/>
              </w:rPr>
            </w:pPr>
          </w:p>
        </w:tc>
        <w:tc>
          <w:tcPr>
            <w:tcW w:w="912" w:type="dxa"/>
            <w:vMerge w:val="restart"/>
            <w:tcBorders>
              <w:top w:val="single" w:sz="4" w:space="0" w:color="auto"/>
              <w:left w:val="single" w:sz="4" w:space="0" w:color="auto"/>
              <w:bottom w:val="single" w:sz="4" w:space="0" w:color="auto"/>
              <w:right w:val="nil"/>
            </w:tcBorders>
            <w:shd w:val="clear" w:color="auto" w:fill="C0C0C0"/>
            <w:vAlign w:val="bottom"/>
          </w:tcPr>
          <w:p w:rsidR="000938C1" w:rsidRDefault="000938C1" w:rsidP="00246730">
            <w:pPr>
              <w:spacing w:after="240"/>
              <w:jc w:val="center"/>
              <w:rPr>
                <w:b/>
                <w:bCs/>
                <w:sz w:val="18"/>
                <w:szCs w:val="18"/>
              </w:rPr>
            </w:pPr>
          </w:p>
          <w:p w:rsidR="000938C1" w:rsidRDefault="000938C1" w:rsidP="00246730">
            <w:pPr>
              <w:spacing w:after="240"/>
              <w:jc w:val="center"/>
              <w:rPr>
                <w:b/>
                <w:bCs/>
                <w:sz w:val="18"/>
                <w:szCs w:val="18"/>
              </w:rPr>
            </w:pPr>
          </w:p>
          <w:p w:rsidR="000938C1" w:rsidRDefault="000938C1" w:rsidP="00246730">
            <w:pPr>
              <w:spacing w:after="240"/>
              <w:jc w:val="center"/>
              <w:rPr>
                <w:b/>
                <w:bCs/>
                <w:sz w:val="18"/>
                <w:szCs w:val="18"/>
              </w:rPr>
            </w:pPr>
          </w:p>
          <w:p w:rsidR="000938C1" w:rsidRPr="00A55145" w:rsidRDefault="000938C1" w:rsidP="00246730">
            <w:pPr>
              <w:spacing w:after="240"/>
              <w:jc w:val="center"/>
              <w:rPr>
                <w:b/>
                <w:bCs/>
                <w:sz w:val="18"/>
                <w:szCs w:val="18"/>
              </w:rPr>
            </w:pPr>
            <w:r w:rsidRPr="00A55145">
              <w:rPr>
                <w:b/>
                <w:bCs/>
                <w:sz w:val="18"/>
                <w:szCs w:val="18"/>
              </w:rPr>
              <w:t>Брой одобрени заявл</w:t>
            </w:r>
            <w:r>
              <w:rPr>
                <w:b/>
                <w:bCs/>
                <w:sz w:val="18"/>
                <w:szCs w:val="18"/>
              </w:rPr>
              <w:t>.</w:t>
            </w:r>
          </w:p>
        </w:tc>
        <w:tc>
          <w:tcPr>
            <w:tcW w:w="3534" w:type="dxa"/>
            <w:gridSpan w:val="3"/>
            <w:vMerge w:val="restart"/>
            <w:tcBorders>
              <w:top w:val="single" w:sz="4" w:space="0" w:color="auto"/>
              <w:left w:val="single" w:sz="4" w:space="0" w:color="auto"/>
              <w:bottom w:val="single" w:sz="4" w:space="0" w:color="auto"/>
              <w:right w:val="single" w:sz="4" w:space="0" w:color="auto"/>
            </w:tcBorders>
            <w:shd w:val="clear" w:color="auto" w:fill="C0C0C0"/>
            <w:vAlign w:val="bottom"/>
          </w:tcPr>
          <w:p w:rsidR="000938C1" w:rsidRPr="00A55145" w:rsidRDefault="000938C1" w:rsidP="00246730">
            <w:pPr>
              <w:jc w:val="center"/>
              <w:rPr>
                <w:b/>
                <w:bCs/>
                <w:i/>
                <w:iCs/>
              </w:rPr>
            </w:pPr>
            <w:r w:rsidRPr="00A55145">
              <w:rPr>
                <w:b/>
                <w:bCs/>
                <w:i/>
                <w:iCs/>
              </w:rPr>
              <w:t xml:space="preserve">Договорени средства по ОПРСР </w:t>
            </w:r>
            <w:r w:rsidRPr="00A55145">
              <w:rPr>
                <w:b/>
                <w:bCs/>
                <w:i/>
                <w:iCs/>
              </w:rPr>
              <w:br/>
              <w:t>през 2013 г.</w:t>
            </w:r>
          </w:p>
        </w:tc>
        <w:tc>
          <w:tcPr>
            <w:tcW w:w="3420" w:type="dxa"/>
            <w:gridSpan w:val="3"/>
            <w:vMerge w:val="restart"/>
            <w:tcBorders>
              <w:top w:val="single" w:sz="4" w:space="0" w:color="auto"/>
              <w:left w:val="single" w:sz="4" w:space="0" w:color="auto"/>
              <w:bottom w:val="single" w:sz="4" w:space="0" w:color="auto"/>
              <w:right w:val="single" w:sz="4" w:space="0" w:color="auto"/>
            </w:tcBorders>
            <w:shd w:val="clear" w:color="auto" w:fill="C0C0C0"/>
            <w:vAlign w:val="bottom"/>
          </w:tcPr>
          <w:p w:rsidR="000938C1" w:rsidRPr="00A55145" w:rsidRDefault="000938C1" w:rsidP="00246730">
            <w:pPr>
              <w:jc w:val="center"/>
              <w:rPr>
                <w:b/>
                <w:bCs/>
                <w:i/>
                <w:iCs/>
              </w:rPr>
            </w:pPr>
            <w:r w:rsidRPr="00A55145">
              <w:rPr>
                <w:b/>
                <w:bCs/>
                <w:i/>
                <w:iCs/>
              </w:rPr>
              <w:t>Изплатени средства по ОПРСР</w:t>
            </w:r>
            <w:r w:rsidRPr="00A55145">
              <w:rPr>
                <w:b/>
                <w:bCs/>
                <w:i/>
                <w:iCs/>
              </w:rPr>
              <w:br/>
              <w:t>през 2013 г.</w:t>
            </w:r>
          </w:p>
        </w:tc>
      </w:tr>
      <w:tr w:rsidR="000938C1" w:rsidRPr="00A55145" w:rsidTr="00246730">
        <w:trPr>
          <w:trHeight w:val="390"/>
        </w:trPr>
        <w:tc>
          <w:tcPr>
            <w:tcW w:w="1611" w:type="dxa"/>
            <w:vMerge/>
            <w:tcBorders>
              <w:top w:val="single" w:sz="4" w:space="0" w:color="auto"/>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c>
          <w:tcPr>
            <w:tcW w:w="912" w:type="dxa"/>
            <w:vMerge/>
            <w:tcBorders>
              <w:top w:val="single" w:sz="4" w:space="0" w:color="auto"/>
              <w:left w:val="single" w:sz="4" w:space="0" w:color="auto"/>
              <w:bottom w:val="single" w:sz="4" w:space="0" w:color="auto"/>
              <w:right w:val="nil"/>
            </w:tcBorders>
            <w:vAlign w:val="center"/>
          </w:tcPr>
          <w:p w:rsidR="000938C1" w:rsidRPr="00A55145" w:rsidRDefault="000938C1" w:rsidP="00246730">
            <w:pPr>
              <w:rPr>
                <w:b/>
                <w:bCs/>
                <w:sz w:val="18"/>
                <w:szCs w:val="18"/>
              </w:rPr>
            </w:pPr>
          </w:p>
        </w:tc>
        <w:tc>
          <w:tcPr>
            <w:tcW w:w="3534" w:type="dxa"/>
            <w:gridSpan w:val="3"/>
            <w:vMerge/>
            <w:tcBorders>
              <w:top w:val="single" w:sz="4" w:space="0" w:color="auto"/>
              <w:left w:val="single" w:sz="4" w:space="0" w:color="auto"/>
              <w:bottom w:val="single" w:sz="4" w:space="0" w:color="auto"/>
              <w:right w:val="single" w:sz="4" w:space="0" w:color="auto"/>
            </w:tcBorders>
            <w:vAlign w:val="center"/>
          </w:tcPr>
          <w:p w:rsidR="000938C1" w:rsidRPr="00A55145" w:rsidRDefault="000938C1" w:rsidP="00246730">
            <w:pPr>
              <w:rPr>
                <w:b/>
                <w:bCs/>
                <w:i/>
                <w:iCs/>
              </w:rPr>
            </w:pPr>
          </w:p>
        </w:tc>
        <w:tc>
          <w:tcPr>
            <w:tcW w:w="3420" w:type="dxa"/>
            <w:gridSpan w:val="3"/>
            <w:vMerge/>
            <w:tcBorders>
              <w:top w:val="single" w:sz="4" w:space="0" w:color="auto"/>
              <w:left w:val="single" w:sz="4" w:space="0" w:color="auto"/>
              <w:bottom w:val="single" w:sz="4" w:space="0" w:color="auto"/>
              <w:right w:val="single" w:sz="4" w:space="0" w:color="auto"/>
            </w:tcBorders>
            <w:vAlign w:val="center"/>
          </w:tcPr>
          <w:p w:rsidR="000938C1" w:rsidRPr="00A55145" w:rsidRDefault="000938C1" w:rsidP="00246730">
            <w:pPr>
              <w:rPr>
                <w:b/>
                <w:bCs/>
                <w:i/>
                <w:iCs/>
              </w:rPr>
            </w:pPr>
          </w:p>
        </w:tc>
      </w:tr>
      <w:tr w:rsidR="000938C1" w:rsidRPr="00A55145" w:rsidTr="00246730">
        <w:trPr>
          <w:trHeight w:val="990"/>
        </w:trPr>
        <w:tc>
          <w:tcPr>
            <w:tcW w:w="1611" w:type="dxa"/>
            <w:vMerge/>
            <w:tcBorders>
              <w:top w:val="single" w:sz="4" w:space="0" w:color="auto"/>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c>
          <w:tcPr>
            <w:tcW w:w="912" w:type="dxa"/>
            <w:vMerge/>
            <w:tcBorders>
              <w:top w:val="single" w:sz="4" w:space="0" w:color="auto"/>
              <w:left w:val="single" w:sz="4" w:space="0" w:color="auto"/>
              <w:bottom w:val="single" w:sz="4" w:space="0" w:color="auto"/>
              <w:right w:val="nil"/>
            </w:tcBorders>
            <w:vAlign w:val="center"/>
          </w:tcPr>
          <w:p w:rsidR="000938C1" w:rsidRPr="00A55145" w:rsidRDefault="000938C1" w:rsidP="00246730">
            <w:pPr>
              <w:rPr>
                <w:b/>
                <w:bCs/>
                <w:sz w:val="18"/>
                <w:szCs w:val="18"/>
              </w:rPr>
            </w:pPr>
          </w:p>
        </w:tc>
        <w:tc>
          <w:tcPr>
            <w:tcW w:w="1197" w:type="dxa"/>
            <w:vMerge w:val="restart"/>
            <w:tcBorders>
              <w:top w:val="nil"/>
              <w:left w:val="single" w:sz="4" w:space="0" w:color="auto"/>
              <w:bottom w:val="single" w:sz="4" w:space="0" w:color="auto"/>
              <w:right w:val="single" w:sz="4" w:space="0" w:color="auto"/>
            </w:tcBorders>
            <w:shd w:val="clear" w:color="auto" w:fill="C0C0C0"/>
            <w:vAlign w:val="bottom"/>
          </w:tcPr>
          <w:p w:rsidR="000938C1" w:rsidRPr="00A55145" w:rsidRDefault="000938C1" w:rsidP="00246730">
            <w:pPr>
              <w:rPr>
                <w:b/>
                <w:bCs/>
                <w:sz w:val="18"/>
                <w:szCs w:val="18"/>
              </w:rPr>
            </w:pPr>
            <w:r w:rsidRPr="00FD4F49">
              <w:rPr>
                <w:b/>
                <w:bCs/>
                <w:sz w:val="16"/>
                <w:szCs w:val="16"/>
              </w:rPr>
              <w:t>Безвъзмездна</w:t>
            </w:r>
            <w:r w:rsidRPr="00A55145">
              <w:rPr>
                <w:b/>
                <w:bCs/>
                <w:sz w:val="18"/>
                <w:szCs w:val="18"/>
              </w:rPr>
              <w:t xml:space="preserve"> финансова помощ</w:t>
            </w:r>
            <w:r w:rsidRPr="00A55145">
              <w:rPr>
                <w:b/>
                <w:bCs/>
                <w:sz w:val="18"/>
                <w:szCs w:val="18"/>
              </w:rPr>
              <w:br/>
              <w:t xml:space="preserve">  (млн. лв.) </w:t>
            </w:r>
          </w:p>
        </w:tc>
        <w:tc>
          <w:tcPr>
            <w:tcW w:w="1140" w:type="dxa"/>
            <w:vMerge w:val="restart"/>
            <w:tcBorders>
              <w:top w:val="nil"/>
              <w:left w:val="single" w:sz="4" w:space="0" w:color="auto"/>
              <w:bottom w:val="single" w:sz="4" w:space="0" w:color="auto"/>
              <w:right w:val="single" w:sz="4" w:space="0" w:color="auto"/>
            </w:tcBorders>
            <w:shd w:val="clear" w:color="auto" w:fill="C0C0C0"/>
            <w:vAlign w:val="bottom"/>
          </w:tcPr>
          <w:p w:rsidR="000938C1" w:rsidRPr="00A55145" w:rsidRDefault="000938C1" w:rsidP="00246730">
            <w:pPr>
              <w:jc w:val="center"/>
              <w:rPr>
                <w:b/>
                <w:bCs/>
                <w:sz w:val="18"/>
                <w:szCs w:val="18"/>
              </w:rPr>
            </w:pPr>
            <w:r w:rsidRPr="00A55145">
              <w:rPr>
                <w:b/>
                <w:bCs/>
                <w:sz w:val="18"/>
                <w:szCs w:val="18"/>
              </w:rPr>
              <w:t xml:space="preserve">Европейски средства от ЕФР </w:t>
            </w:r>
            <w:r w:rsidRPr="00A55145">
              <w:rPr>
                <w:b/>
                <w:bCs/>
                <w:sz w:val="18"/>
                <w:szCs w:val="18"/>
              </w:rPr>
              <w:br/>
              <w:t>(млн. лв.)</w:t>
            </w:r>
          </w:p>
        </w:tc>
        <w:tc>
          <w:tcPr>
            <w:tcW w:w="1197" w:type="dxa"/>
            <w:vMerge w:val="restart"/>
            <w:tcBorders>
              <w:top w:val="nil"/>
              <w:left w:val="single" w:sz="4" w:space="0" w:color="auto"/>
              <w:bottom w:val="single" w:sz="4" w:space="0" w:color="auto"/>
              <w:right w:val="single" w:sz="4" w:space="0" w:color="auto"/>
            </w:tcBorders>
            <w:shd w:val="clear" w:color="auto" w:fill="C0C0C0"/>
            <w:vAlign w:val="bottom"/>
          </w:tcPr>
          <w:p w:rsidR="000938C1" w:rsidRDefault="000938C1" w:rsidP="00246730">
            <w:pPr>
              <w:jc w:val="center"/>
              <w:rPr>
                <w:b/>
                <w:bCs/>
                <w:sz w:val="18"/>
                <w:szCs w:val="18"/>
              </w:rPr>
            </w:pPr>
            <w:r w:rsidRPr="00A55145">
              <w:rPr>
                <w:b/>
                <w:bCs/>
                <w:sz w:val="18"/>
                <w:szCs w:val="18"/>
              </w:rPr>
              <w:t>Национално съфина</w:t>
            </w:r>
            <w:r>
              <w:rPr>
                <w:b/>
                <w:bCs/>
                <w:sz w:val="18"/>
                <w:szCs w:val="18"/>
              </w:rPr>
              <w:t>нс.</w:t>
            </w:r>
          </w:p>
          <w:p w:rsidR="000938C1" w:rsidRDefault="000938C1" w:rsidP="00246730">
            <w:pPr>
              <w:jc w:val="center"/>
              <w:rPr>
                <w:b/>
                <w:bCs/>
                <w:sz w:val="18"/>
                <w:szCs w:val="18"/>
              </w:rPr>
            </w:pPr>
          </w:p>
          <w:p w:rsidR="000938C1" w:rsidRPr="00A55145" w:rsidRDefault="000938C1" w:rsidP="00246730">
            <w:pPr>
              <w:jc w:val="center"/>
              <w:rPr>
                <w:b/>
                <w:bCs/>
                <w:sz w:val="18"/>
                <w:szCs w:val="18"/>
              </w:rPr>
            </w:pPr>
            <w:r w:rsidRPr="00A55145">
              <w:rPr>
                <w:b/>
                <w:bCs/>
                <w:sz w:val="18"/>
                <w:szCs w:val="18"/>
              </w:rPr>
              <w:t>(млн. лв.)</w:t>
            </w:r>
          </w:p>
        </w:tc>
        <w:tc>
          <w:tcPr>
            <w:tcW w:w="1254" w:type="dxa"/>
            <w:vMerge w:val="restart"/>
            <w:tcBorders>
              <w:top w:val="nil"/>
              <w:left w:val="single" w:sz="4" w:space="0" w:color="auto"/>
              <w:bottom w:val="single" w:sz="4" w:space="0" w:color="auto"/>
              <w:right w:val="single" w:sz="4" w:space="0" w:color="auto"/>
            </w:tcBorders>
            <w:shd w:val="clear" w:color="auto" w:fill="C0C0C0"/>
            <w:vAlign w:val="bottom"/>
          </w:tcPr>
          <w:p w:rsidR="000938C1" w:rsidRPr="00A55145" w:rsidRDefault="000938C1" w:rsidP="00246730">
            <w:pPr>
              <w:jc w:val="center"/>
              <w:rPr>
                <w:b/>
                <w:bCs/>
                <w:sz w:val="18"/>
                <w:szCs w:val="18"/>
              </w:rPr>
            </w:pPr>
            <w:r w:rsidRPr="00A55145">
              <w:rPr>
                <w:b/>
                <w:bCs/>
                <w:sz w:val="18"/>
                <w:szCs w:val="18"/>
              </w:rPr>
              <w:t>Безвъзмездна финансова помощ</w:t>
            </w:r>
            <w:r w:rsidRPr="00A55145">
              <w:rPr>
                <w:b/>
                <w:bCs/>
                <w:sz w:val="18"/>
                <w:szCs w:val="18"/>
              </w:rPr>
              <w:br/>
              <w:t xml:space="preserve">  (млн. лв.) </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C0C0C0"/>
            <w:vAlign w:val="bottom"/>
          </w:tcPr>
          <w:p w:rsidR="000938C1" w:rsidRPr="00A55145" w:rsidRDefault="000938C1" w:rsidP="00246730">
            <w:pPr>
              <w:jc w:val="center"/>
              <w:rPr>
                <w:b/>
                <w:bCs/>
                <w:sz w:val="18"/>
                <w:szCs w:val="18"/>
              </w:rPr>
            </w:pPr>
            <w:r w:rsidRPr="00A55145">
              <w:rPr>
                <w:b/>
                <w:bCs/>
                <w:sz w:val="18"/>
                <w:szCs w:val="18"/>
              </w:rPr>
              <w:t xml:space="preserve">Европейски средства от ЕФР </w:t>
            </w:r>
            <w:r w:rsidRPr="00A55145">
              <w:rPr>
                <w:b/>
                <w:bCs/>
                <w:sz w:val="18"/>
                <w:szCs w:val="18"/>
              </w:rPr>
              <w:br/>
              <w:t>(млн. лв.)</w:t>
            </w:r>
          </w:p>
        </w:tc>
        <w:tc>
          <w:tcPr>
            <w:tcW w:w="1026" w:type="dxa"/>
            <w:vMerge w:val="restart"/>
            <w:tcBorders>
              <w:top w:val="nil"/>
              <w:left w:val="single" w:sz="4" w:space="0" w:color="auto"/>
              <w:bottom w:val="single" w:sz="4" w:space="0" w:color="auto"/>
              <w:right w:val="single" w:sz="4" w:space="0" w:color="auto"/>
            </w:tcBorders>
            <w:shd w:val="clear" w:color="auto" w:fill="C0C0C0"/>
            <w:vAlign w:val="bottom"/>
          </w:tcPr>
          <w:p w:rsidR="000938C1" w:rsidRDefault="000938C1" w:rsidP="00246730">
            <w:pPr>
              <w:rPr>
                <w:b/>
                <w:bCs/>
                <w:sz w:val="18"/>
                <w:szCs w:val="18"/>
              </w:rPr>
            </w:pPr>
            <w:r w:rsidRPr="00A55145">
              <w:rPr>
                <w:b/>
                <w:bCs/>
                <w:sz w:val="18"/>
                <w:szCs w:val="18"/>
              </w:rPr>
              <w:t>Нац</w:t>
            </w:r>
            <w:r>
              <w:rPr>
                <w:b/>
                <w:bCs/>
                <w:sz w:val="18"/>
                <w:szCs w:val="18"/>
              </w:rPr>
              <w:t xml:space="preserve">. </w:t>
            </w:r>
            <w:r w:rsidRPr="00A55145">
              <w:rPr>
                <w:b/>
                <w:bCs/>
                <w:sz w:val="18"/>
                <w:szCs w:val="18"/>
              </w:rPr>
              <w:t>съфинанс</w:t>
            </w:r>
            <w:r>
              <w:rPr>
                <w:b/>
                <w:bCs/>
                <w:sz w:val="18"/>
                <w:szCs w:val="18"/>
              </w:rPr>
              <w:t>.</w:t>
            </w:r>
          </w:p>
          <w:p w:rsidR="000938C1" w:rsidRDefault="000938C1" w:rsidP="00246730">
            <w:pPr>
              <w:jc w:val="center"/>
              <w:rPr>
                <w:b/>
                <w:bCs/>
                <w:sz w:val="18"/>
                <w:szCs w:val="18"/>
              </w:rPr>
            </w:pPr>
          </w:p>
          <w:p w:rsidR="000938C1" w:rsidRPr="00A55145" w:rsidRDefault="000938C1" w:rsidP="00246730">
            <w:pPr>
              <w:jc w:val="center"/>
              <w:rPr>
                <w:b/>
                <w:bCs/>
                <w:sz w:val="18"/>
                <w:szCs w:val="18"/>
              </w:rPr>
            </w:pPr>
            <w:r w:rsidRPr="00A55145">
              <w:rPr>
                <w:b/>
                <w:bCs/>
                <w:sz w:val="18"/>
                <w:szCs w:val="18"/>
              </w:rPr>
              <w:t xml:space="preserve"> (млн. лв.)</w:t>
            </w:r>
          </w:p>
        </w:tc>
      </w:tr>
      <w:tr w:rsidR="000938C1" w:rsidRPr="00A55145" w:rsidTr="00246730">
        <w:trPr>
          <w:trHeight w:val="455"/>
        </w:trPr>
        <w:tc>
          <w:tcPr>
            <w:tcW w:w="1611" w:type="dxa"/>
            <w:vMerge/>
            <w:tcBorders>
              <w:top w:val="single" w:sz="4" w:space="0" w:color="auto"/>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c>
          <w:tcPr>
            <w:tcW w:w="912" w:type="dxa"/>
            <w:vMerge/>
            <w:tcBorders>
              <w:top w:val="single" w:sz="4" w:space="0" w:color="auto"/>
              <w:left w:val="single" w:sz="4" w:space="0" w:color="auto"/>
              <w:bottom w:val="single" w:sz="4" w:space="0" w:color="auto"/>
              <w:right w:val="nil"/>
            </w:tcBorders>
            <w:vAlign w:val="center"/>
          </w:tcPr>
          <w:p w:rsidR="000938C1" w:rsidRPr="00A55145" w:rsidRDefault="000938C1" w:rsidP="00246730">
            <w:pPr>
              <w:rPr>
                <w:b/>
                <w:bCs/>
                <w:sz w:val="18"/>
                <w:szCs w:val="18"/>
              </w:rPr>
            </w:pPr>
          </w:p>
        </w:tc>
        <w:tc>
          <w:tcPr>
            <w:tcW w:w="1197" w:type="dxa"/>
            <w:vMerge/>
            <w:tcBorders>
              <w:top w:val="nil"/>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c>
          <w:tcPr>
            <w:tcW w:w="1140" w:type="dxa"/>
            <w:vMerge/>
            <w:tcBorders>
              <w:top w:val="nil"/>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c>
          <w:tcPr>
            <w:tcW w:w="1197" w:type="dxa"/>
            <w:vMerge/>
            <w:tcBorders>
              <w:top w:val="nil"/>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c>
          <w:tcPr>
            <w:tcW w:w="1254" w:type="dxa"/>
            <w:vMerge/>
            <w:tcBorders>
              <w:top w:val="nil"/>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c>
          <w:tcPr>
            <w:tcW w:w="1140" w:type="dxa"/>
            <w:vMerge/>
            <w:tcBorders>
              <w:top w:val="nil"/>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c>
          <w:tcPr>
            <w:tcW w:w="1026" w:type="dxa"/>
            <w:vMerge/>
            <w:tcBorders>
              <w:top w:val="nil"/>
              <w:left w:val="single" w:sz="4" w:space="0" w:color="auto"/>
              <w:bottom w:val="single" w:sz="4" w:space="0" w:color="auto"/>
              <w:right w:val="single" w:sz="4" w:space="0" w:color="auto"/>
            </w:tcBorders>
            <w:vAlign w:val="center"/>
          </w:tcPr>
          <w:p w:rsidR="000938C1" w:rsidRPr="00A55145" w:rsidRDefault="000938C1" w:rsidP="00246730">
            <w:pPr>
              <w:rPr>
                <w:b/>
                <w:bCs/>
                <w:sz w:val="20"/>
              </w:rPr>
            </w:pPr>
          </w:p>
        </w:tc>
      </w:tr>
      <w:tr w:rsidR="000938C1" w:rsidRPr="00A55145" w:rsidTr="00246730">
        <w:trPr>
          <w:trHeight w:val="1125"/>
        </w:trPr>
        <w:tc>
          <w:tcPr>
            <w:tcW w:w="1611" w:type="dxa"/>
            <w:tcBorders>
              <w:top w:val="single" w:sz="4" w:space="0" w:color="auto"/>
              <w:left w:val="single" w:sz="4" w:space="0" w:color="auto"/>
              <w:bottom w:val="single" w:sz="4" w:space="0" w:color="auto"/>
              <w:right w:val="single" w:sz="4" w:space="0" w:color="auto"/>
            </w:tcBorders>
            <w:vAlign w:val="bottom"/>
          </w:tcPr>
          <w:p w:rsidR="000938C1" w:rsidRPr="00A55145" w:rsidRDefault="000938C1" w:rsidP="00246730">
            <w:pPr>
              <w:rPr>
                <w:sz w:val="20"/>
              </w:rPr>
            </w:pPr>
            <w:r w:rsidRPr="00A55145">
              <w:rPr>
                <w:sz w:val="20"/>
              </w:rPr>
              <w:t>Ос 1 "Мерки за приспособяване  на българския риболовен флот"</w:t>
            </w:r>
          </w:p>
        </w:tc>
        <w:tc>
          <w:tcPr>
            <w:tcW w:w="912" w:type="dxa"/>
            <w:tcBorders>
              <w:top w:val="single" w:sz="4" w:space="0" w:color="auto"/>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36</w:t>
            </w:r>
          </w:p>
        </w:tc>
        <w:tc>
          <w:tcPr>
            <w:tcW w:w="1197" w:type="dxa"/>
            <w:tcBorders>
              <w:top w:val="nil"/>
              <w:left w:val="nil"/>
              <w:bottom w:val="single" w:sz="4" w:space="0" w:color="auto"/>
              <w:right w:val="single" w:sz="4" w:space="0" w:color="auto"/>
            </w:tcBorders>
            <w:noWrap/>
            <w:vAlign w:val="bottom"/>
          </w:tcPr>
          <w:p w:rsidR="000938C1" w:rsidRPr="00A55145" w:rsidRDefault="000938C1" w:rsidP="00246730">
            <w:pPr>
              <w:ind w:hanging="127"/>
              <w:jc w:val="center"/>
            </w:pPr>
            <w:r w:rsidRPr="00A55145">
              <w:rPr>
                <w:sz w:val="22"/>
                <w:szCs w:val="22"/>
              </w:rPr>
              <w:t>2,64</w:t>
            </w:r>
          </w:p>
        </w:tc>
        <w:tc>
          <w:tcPr>
            <w:tcW w:w="1140"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2,24</w:t>
            </w:r>
          </w:p>
        </w:tc>
        <w:tc>
          <w:tcPr>
            <w:tcW w:w="1197" w:type="dxa"/>
            <w:tcBorders>
              <w:top w:val="nil"/>
              <w:left w:val="nil"/>
              <w:bottom w:val="single" w:sz="4" w:space="0" w:color="auto"/>
              <w:right w:val="nil"/>
            </w:tcBorders>
            <w:noWrap/>
            <w:vAlign w:val="bottom"/>
          </w:tcPr>
          <w:p w:rsidR="000938C1" w:rsidRPr="00A55145" w:rsidRDefault="000938C1" w:rsidP="00246730">
            <w:pPr>
              <w:jc w:val="center"/>
            </w:pPr>
            <w:r w:rsidRPr="00A55145">
              <w:rPr>
                <w:sz w:val="22"/>
                <w:szCs w:val="22"/>
              </w:rPr>
              <w:t>0,4</w:t>
            </w:r>
          </w:p>
        </w:tc>
        <w:tc>
          <w:tcPr>
            <w:tcW w:w="1254" w:type="dxa"/>
            <w:tcBorders>
              <w:top w:val="nil"/>
              <w:left w:val="single" w:sz="4" w:space="0" w:color="auto"/>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3,48</w:t>
            </w:r>
          </w:p>
        </w:tc>
        <w:tc>
          <w:tcPr>
            <w:tcW w:w="1140" w:type="dxa"/>
            <w:tcBorders>
              <w:top w:val="single" w:sz="4" w:space="0" w:color="auto"/>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2,96</w:t>
            </w:r>
          </w:p>
        </w:tc>
        <w:tc>
          <w:tcPr>
            <w:tcW w:w="1026"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0,52</w:t>
            </w:r>
          </w:p>
        </w:tc>
      </w:tr>
      <w:tr w:rsidR="000938C1" w:rsidRPr="00A55145" w:rsidTr="00246730">
        <w:trPr>
          <w:trHeight w:val="1410"/>
        </w:trPr>
        <w:tc>
          <w:tcPr>
            <w:tcW w:w="1611" w:type="dxa"/>
            <w:tcBorders>
              <w:top w:val="nil"/>
              <w:left w:val="single" w:sz="4" w:space="0" w:color="auto"/>
              <w:bottom w:val="single" w:sz="4" w:space="0" w:color="auto"/>
              <w:right w:val="single" w:sz="4" w:space="0" w:color="auto"/>
            </w:tcBorders>
            <w:vAlign w:val="bottom"/>
          </w:tcPr>
          <w:p w:rsidR="000938C1" w:rsidRPr="00A55145" w:rsidRDefault="000938C1" w:rsidP="00246730">
            <w:pPr>
              <w:rPr>
                <w:sz w:val="20"/>
              </w:rPr>
            </w:pPr>
            <w:r w:rsidRPr="00A55145">
              <w:rPr>
                <w:sz w:val="20"/>
              </w:rPr>
              <w:t>Ос 2 "Аквакултура, риболов във вътрешни водоеми, преработка и маркетинг на продукти от риболов"</w:t>
            </w:r>
          </w:p>
        </w:tc>
        <w:tc>
          <w:tcPr>
            <w:tcW w:w="912"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16</w:t>
            </w:r>
          </w:p>
        </w:tc>
        <w:tc>
          <w:tcPr>
            <w:tcW w:w="1197"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14,61</w:t>
            </w:r>
          </w:p>
        </w:tc>
        <w:tc>
          <w:tcPr>
            <w:tcW w:w="1140"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10,96</w:t>
            </w:r>
          </w:p>
        </w:tc>
        <w:tc>
          <w:tcPr>
            <w:tcW w:w="1197" w:type="dxa"/>
            <w:tcBorders>
              <w:top w:val="nil"/>
              <w:left w:val="nil"/>
              <w:bottom w:val="single" w:sz="4" w:space="0" w:color="auto"/>
              <w:right w:val="nil"/>
            </w:tcBorders>
            <w:noWrap/>
            <w:vAlign w:val="bottom"/>
          </w:tcPr>
          <w:p w:rsidR="000938C1" w:rsidRPr="00A55145" w:rsidRDefault="000938C1" w:rsidP="00246730">
            <w:pPr>
              <w:jc w:val="center"/>
            </w:pPr>
            <w:r w:rsidRPr="00A55145">
              <w:rPr>
                <w:sz w:val="22"/>
                <w:szCs w:val="22"/>
              </w:rPr>
              <w:t>3,65</w:t>
            </w:r>
          </w:p>
        </w:tc>
        <w:tc>
          <w:tcPr>
            <w:tcW w:w="1254" w:type="dxa"/>
            <w:tcBorders>
              <w:top w:val="nil"/>
              <w:left w:val="single" w:sz="4" w:space="0" w:color="auto"/>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17,42</w:t>
            </w:r>
          </w:p>
        </w:tc>
        <w:tc>
          <w:tcPr>
            <w:tcW w:w="1140" w:type="dxa"/>
            <w:tcBorders>
              <w:top w:val="nil"/>
              <w:left w:val="nil"/>
              <w:bottom w:val="single" w:sz="4" w:space="0" w:color="auto"/>
              <w:right w:val="single" w:sz="4" w:space="0" w:color="auto"/>
            </w:tcBorders>
            <w:noWrap/>
            <w:vAlign w:val="bottom"/>
          </w:tcPr>
          <w:p w:rsidR="000938C1" w:rsidRPr="00A55145" w:rsidRDefault="000938C1" w:rsidP="00246730">
            <w:pPr>
              <w:ind w:left="-2247" w:firstLine="513"/>
              <w:jc w:val="center"/>
            </w:pPr>
            <w:r w:rsidRPr="00A55145">
              <w:rPr>
                <w:sz w:val="22"/>
                <w:szCs w:val="22"/>
              </w:rPr>
              <w:t>13,07</w:t>
            </w:r>
          </w:p>
        </w:tc>
        <w:tc>
          <w:tcPr>
            <w:tcW w:w="1026"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4,35</w:t>
            </w:r>
          </w:p>
        </w:tc>
      </w:tr>
      <w:tr w:rsidR="000938C1" w:rsidRPr="00A55145" w:rsidTr="00246730">
        <w:trPr>
          <w:trHeight w:val="780"/>
        </w:trPr>
        <w:tc>
          <w:tcPr>
            <w:tcW w:w="1611" w:type="dxa"/>
            <w:tcBorders>
              <w:top w:val="nil"/>
              <w:left w:val="single" w:sz="4" w:space="0" w:color="auto"/>
              <w:bottom w:val="single" w:sz="4" w:space="0" w:color="auto"/>
              <w:right w:val="single" w:sz="4" w:space="0" w:color="auto"/>
            </w:tcBorders>
            <w:vAlign w:val="bottom"/>
          </w:tcPr>
          <w:p w:rsidR="000938C1" w:rsidRPr="00A55145" w:rsidRDefault="000938C1" w:rsidP="00246730">
            <w:pPr>
              <w:rPr>
                <w:sz w:val="20"/>
              </w:rPr>
            </w:pPr>
            <w:r w:rsidRPr="00A55145">
              <w:rPr>
                <w:sz w:val="20"/>
              </w:rPr>
              <w:t>Ос 3 "Мерки от общ</w:t>
            </w:r>
            <w:r w:rsidRPr="00A55145">
              <w:rPr>
                <w:sz w:val="20"/>
              </w:rPr>
              <w:br/>
              <w:t xml:space="preserve"> интерес"</w:t>
            </w:r>
          </w:p>
        </w:tc>
        <w:tc>
          <w:tcPr>
            <w:tcW w:w="912"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19</w:t>
            </w:r>
          </w:p>
        </w:tc>
        <w:tc>
          <w:tcPr>
            <w:tcW w:w="1197"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22,74</w:t>
            </w:r>
          </w:p>
        </w:tc>
        <w:tc>
          <w:tcPr>
            <w:tcW w:w="1140"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17,06</w:t>
            </w:r>
          </w:p>
        </w:tc>
        <w:tc>
          <w:tcPr>
            <w:tcW w:w="1197" w:type="dxa"/>
            <w:tcBorders>
              <w:top w:val="nil"/>
              <w:left w:val="nil"/>
              <w:bottom w:val="single" w:sz="4" w:space="0" w:color="auto"/>
              <w:right w:val="nil"/>
            </w:tcBorders>
            <w:noWrap/>
            <w:vAlign w:val="bottom"/>
          </w:tcPr>
          <w:p w:rsidR="000938C1" w:rsidRPr="00A55145" w:rsidRDefault="000938C1" w:rsidP="00246730">
            <w:pPr>
              <w:jc w:val="center"/>
            </w:pPr>
            <w:r w:rsidRPr="00A55145">
              <w:rPr>
                <w:sz w:val="22"/>
                <w:szCs w:val="22"/>
              </w:rPr>
              <w:t>5,68</w:t>
            </w:r>
          </w:p>
        </w:tc>
        <w:tc>
          <w:tcPr>
            <w:tcW w:w="1254" w:type="dxa"/>
            <w:tcBorders>
              <w:top w:val="nil"/>
              <w:left w:val="single" w:sz="4" w:space="0" w:color="auto"/>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0,95</w:t>
            </w:r>
          </w:p>
        </w:tc>
        <w:tc>
          <w:tcPr>
            <w:tcW w:w="1140"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0,71</w:t>
            </w:r>
          </w:p>
        </w:tc>
        <w:tc>
          <w:tcPr>
            <w:tcW w:w="1026"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0,24</w:t>
            </w:r>
          </w:p>
        </w:tc>
      </w:tr>
      <w:tr w:rsidR="000938C1" w:rsidRPr="00A55145" w:rsidTr="00246730">
        <w:trPr>
          <w:trHeight w:val="780"/>
        </w:trPr>
        <w:tc>
          <w:tcPr>
            <w:tcW w:w="1611" w:type="dxa"/>
            <w:tcBorders>
              <w:top w:val="nil"/>
              <w:left w:val="single" w:sz="4" w:space="0" w:color="auto"/>
              <w:bottom w:val="single" w:sz="4" w:space="0" w:color="auto"/>
              <w:right w:val="single" w:sz="4" w:space="0" w:color="auto"/>
            </w:tcBorders>
            <w:vAlign w:val="bottom"/>
          </w:tcPr>
          <w:p w:rsidR="000938C1" w:rsidRPr="00A55145" w:rsidRDefault="000938C1" w:rsidP="00246730">
            <w:pPr>
              <w:rPr>
                <w:sz w:val="20"/>
              </w:rPr>
            </w:pPr>
            <w:r w:rsidRPr="00A55145">
              <w:rPr>
                <w:sz w:val="20"/>
              </w:rPr>
              <w:t>Ос 4 "Устойчиво развитие на рибарските области"</w:t>
            </w:r>
          </w:p>
        </w:tc>
        <w:tc>
          <w:tcPr>
            <w:tcW w:w="912"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66</w:t>
            </w:r>
          </w:p>
        </w:tc>
        <w:tc>
          <w:tcPr>
            <w:tcW w:w="1197"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10,39</w:t>
            </w:r>
          </w:p>
        </w:tc>
        <w:tc>
          <w:tcPr>
            <w:tcW w:w="1140"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7,79</w:t>
            </w:r>
          </w:p>
        </w:tc>
        <w:tc>
          <w:tcPr>
            <w:tcW w:w="1197" w:type="dxa"/>
            <w:tcBorders>
              <w:top w:val="nil"/>
              <w:left w:val="nil"/>
              <w:bottom w:val="single" w:sz="4" w:space="0" w:color="auto"/>
              <w:right w:val="nil"/>
            </w:tcBorders>
            <w:noWrap/>
            <w:vAlign w:val="bottom"/>
          </w:tcPr>
          <w:p w:rsidR="000938C1" w:rsidRPr="00A55145" w:rsidRDefault="000938C1" w:rsidP="00246730">
            <w:pPr>
              <w:jc w:val="center"/>
            </w:pPr>
            <w:r w:rsidRPr="00A55145">
              <w:rPr>
                <w:sz w:val="22"/>
                <w:szCs w:val="22"/>
              </w:rPr>
              <w:t>2,6</w:t>
            </w:r>
          </w:p>
        </w:tc>
        <w:tc>
          <w:tcPr>
            <w:tcW w:w="1254" w:type="dxa"/>
            <w:tcBorders>
              <w:top w:val="nil"/>
              <w:left w:val="single" w:sz="4" w:space="0" w:color="auto"/>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0,38</w:t>
            </w:r>
          </w:p>
        </w:tc>
        <w:tc>
          <w:tcPr>
            <w:tcW w:w="1140"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0,28</w:t>
            </w:r>
          </w:p>
        </w:tc>
        <w:tc>
          <w:tcPr>
            <w:tcW w:w="1026" w:type="dxa"/>
            <w:tcBorders>
              <w:top w:val="nil"/>
              <w:left w:val="nil"/>
              <w:bottom w:val="single" w:sz="4" w:space="0" w:color="auto"/>
              <w:right w:val="single" w:sz="4" w:space="0" w:color="auto"/>
            </w:tcBorders>
            <w:noWrap/>
            <w:vAlign w:val="bottom"/>
          </w:tcPr>
          <w:p w:rsidR="000938C1" w:rsidRPr="00A55145" w:rsidRDefault="000938C1" w:rsidP="00246730">
            <w:pPr>
              <w:jc w:val="center"/>
            </w:pPr>
            <w:r w:rsidRPr="00A55145">
              <w:rPr>
                <w:sz w:val="22"/>
                <w:szCs w:val="22"/>
              </w:rPr>
              <w:t>0,1</w:t>
            </w:r>
          </w:p>
        </w:tc>
      </w:tr>
      <w:tr w:rsidR="000938C1" w:rsidRPr="00A55145" w:rsidTr="00246730">
        <w:trPr>
          <w:trHeight w:val="540"/>
        </w:trPr>
        <w:tc>
          <w:tcPr>
            <w:tcW w:w="1611" w:type="dxa"/>
            <w:tcBorders>
              <w:top w:val="nil"/>
              <w:left w:val="single" w:sz="4" w:space="0" w:color="auto"/>
              <w:bottom w:val="double" w:sz="6" w:space="0" w:color="auto"/>
              <w:right w:val="single" w:sz="4" w:space="0" w:color="auto"/>
            </w:tcBorders>
            <w:vAlign w:val="bottom"/>
          </w:tcPr>
          <w:p w:rsidR="000938C1" w:rsidRPr="00A55145" w:rsidRDefault="000938C1" w:rsidP="00246730">
            <w:pPr>
              <w:rPr>
                <w:sz w:val="20"/>
              </w:rPr>
            </w:pPr>
            <w:r w:rsidRPr="00A55145">
              <w:rPr>
                <w:sz w:val="20"/>
              </w:rPr>
              <w:t>Ос 5 "Техническа помощ"</w:t>
            </w:r>
          </w:p>
        </w:tc>
        <w:tc>
          <w:tcPr>
            <w:tcW w:w="912" w:type="dxa"/>
            <w:tcBorders>
              <w:top w:val="nil"/>
              <w:left w:val="nil"/>
              <w:bottom w:val="double" w:sz="6" w:space="0" w:color="auto"/>
              <w:right w:val="single" w:sz="4" w:space="0" w:color="auto"/>
            </w:tcBorders>
            <w:noWrap/>
            <w:vAlign w:val="bottom"/>
          </w:tcPr>
          <w:p w:rsidR="000938C1" w:rsidRPr="00A55145" w:rsidRDefault="000938C1" w:rsidP="00246730">
            <w:pPr>
              <w:jc w:val="center"/>
            </w:pPr>
            <w:r w:rsidRPr="00A55145">
              <w:rPr>
                <w:sz w:val="22"/>
                <w:szCs w:val="22"/>
              </w:rPr>
              <w:t>33</w:t>
            </w:r>
          </w:p>
        </w:tc>
        <w:tc>
          <w:tcPr>
            <w:tcW w:w="1197" w:type="dxa"/>
            <w:tcBorders>
              <w:top w:val="nil"/>
              <w:left w:val="nil"/>
              <w:bottom w:val="double" w:sz="6" w:space="0" w:color="auto"/>
              <w:right w:val="single" w:sz="4" w:space="0" w:color="auto"/>
            </w:tcBorders>
            <w:noWrap/>
            <w:vAlign w:val="bottom"/>
          </w:tcPr>
          <w:p w:rsidR="000938C1" w:rsidRPr="00A55145" w:rsidRDefault="000938C1" w:rsidP="00246730">
            <w:pPr>
              <w:jc w:val="center"/>
            </w:pPr>
            <w:r w:rsidRPr="00A55145">
              <w:rPr>
                <w:sz w:val="22"/>
                <w:szCs w:val="22"/>
              </w:rPr>
              <w:t>4,11</w:t>
            </w:r>
          </w:p>
        </w:tc>
        <w:tc>
          <w:tcPr>
            <w:tcW w:w="1140" w:type="dxa"/>
            <w:tcBorders>
              <w:top w:val="nil"/>
              <w:left w:val="nil"/>
              <w:bottom w:val="double" w:sz="6" w:space="0" w:color="auto"/>
              <w:right w:val="single" w:sz="4" w:space="0" w:color="auto"/>
            </w:tcBorders>
            <w:noWrap/>
            <w:vAlign w:val="bottom"/>
          </w:tcPr>
          <w:p w:rsidR="000938C1" w:rsidRPr="00A55145" w:rsidRDefault="000938C1" w:rsidP="00246730">
            <w:pPr>
              <w:jc w:val="center"/>
            </w:pPr>
            <w:r w:rsidRPr="00A55145">
              <w:rPr>
                <w:sz w:val="22"/>
                <w:szCs w:val="22"/>
              </w:rPr>
              <w:t>3,08</w:t>
            </w:r>
          </w:p>
        </w:tc>
        <w:tc>
          <w:tcPr>
            <w:tcW w:w="1197" w:type="dxa"/>
            <w:tcBorders>
              <w:top w:val="nil"/>
              <w:left w:val="nil"/>
              <w:bottom w:val="double" w:sz="6" w:space="0" w:color="auto"/>
              <w:right w:val="nil"/>
            </w:tcBorders>
            <w:noWrap/>
            <w:vAlign w:val="bottom"/>
          </w:tcPr>
          <w:p w:rsidR="000938C1" w:rsidRPr="00A55145" w:rsidRDefault="000938C1" w:rsidP="00246730">
            <w:pPr>
              <w:jc w:val="center"/>
            </w:pPr>
            <w:r w:rsidRPr="00A55145">
              <w:rPr>
                <w:sz w:val="22"/>
                <w:szCs w:val="22"/>
              </w:rPr>
              <w:t>1,03</w:t>
            </w:r>
          </w:p>
        </w:tc>
        <w:tc>
          <w:tcPr>
            <w:tcW w:w="1254" w:type="dxa"/>
            <w:tcBorders>
              <w:top w:val="nil"/>
              <w:left w:val="single" w:sz="4" w:space="0" w:color="auto"/>
              <w:bottom w:val="double" w:sz="6" w:space="0" w:color="auto"/>
              <w:right w:val="single" w:sz="4" w:space="0" w:color="auto"/>
            </w:tcBorders>
            <w:noWrap/>
            <w:vAlign w:val="bottom"/>
          </w:tcPr>
          <w:p w:rsidR="000938C1" w:rsidRPr="00A55145" w:rsidRDefault="000938C1" w:rsidP="00246730">
            <w:pPr>
              <w:jc w:val="center"/>
            </w:pPr>
            <w:r w:rsidRPr="00A55145">
              <w:rPr>
                <w:sz w:val="22"/>
                <w:szCs w:val="22"/>
              </w:rPr>
              <w:t>2,43</w:t>
            </w:r>
          </w:p>
        </w:tc>
        <w:tc>
          <w:tcPr>
            <w:tcW w:w="1140" w:type="dxa"/>
            <w:tcBorders>
              <w:top w:val="nil"/>
              <w:left w:val="nil"/>
              <w:bottom w:val="double" w:sz="6" w:space="0" w:color="auto"/>
              <w:right w:val="single" w:sz="4" w:space="0" w:color="auto"/>
            </w:tcBorders>
            <w:noWrap/>
            <w:vAlign w:val="bottom"/>
          </w:tcPr>
          <w:p w:rsidR="000938C1" w:rsidRPr="00A55145" w:rsidRDefault="000938C1" w:rsidP="00246730">
            <w:pPr>
              <w:jc w:val="center"/>
            </w:pPr>
            <w:r w:rsidRPr="00A55145">
              <w:rPr>
                <w:sz w:val="22"/>
                <w:szCs w:val="22"/>
              </w:rPr>
              <w:t>1,82</w:t>
            </w:r>
          </w:p>
        </w:tc>
        <w:tc>
          <w:tcPr>
            <w:tcW w:w="1026" w:type="dxa"/>
            <w:tcBorders>
              <w:top w:val="nil"/>
              <w:left w:val="nil"/>
              <w:bottom w:val="double" w:sz="6" w:space="0" w:color="auto"/>
              <w:right w:val="single" w:sz="4" w:space="0" w:color="auto"/>
            </w:tcBorders>
            <w:noWrap/>
            <w:vAlign w:val="bottom"/>
          </w:tcPr>
          <w:p w:rsidR="000938C1" w:rsidRPr="00A55145" w:rsidRDefault="000938C1" w:rsidP="00246730">
            <w:pPr>
              <w:jc w:val="center"/>
            </w:pPr>
            <w:r w:rsidRPr="00A55145">
              <w:rPr>
                <w:sz w:val="22"/>
                <w:szCs w:val="22"/>
              </w:rPr>
              <w:t>0,61</w:t>
            </w:r>
          </w:p>
        </w:tc>
      </w:tr>
      <w:tr w:rsidR="000938C1" w:rsidRPr="00A55145" w:rsidTr="00246730">
        <w:trPr>
          <w:trHeight w:val="300"/>
        </w:trPr>
        <w:tc>
          <w:tcPr>
            <w:tcW w:w="1611" w:type="dxa"/>
            <w:tcBorders>
              <w:top w:val="nil"/>
              <w:left w:val="single" w:sz="4" w:space="0" w:color="auto"/>
              <w:bottom w:val="single" w:sz="4" w:space="0" w:color="auto"/>
              <w:right w:val="single" w:sz="4" w:space="0" w:color="auto"/>
            </w:tcBorders>
            <w:shd w:val="clear" w:color="auto" w:fill="C0C0C0"/>
            <w:noWrap/>
            <w:vAlign w:val="bottom"/>
          </w:tcPr>
          <w:p w:rsidR="000938C1" w:rsidRPr="00A55145" w:rsidRDefault="000938C1" w:rsidP="00246730">
            <w:pPr>
              <w:jc w:val="right"/>
              <w:rPr>
                <w:b/>
                <w:bCs/>
                <w:sz w:val="20"/>
              </w:rPr>
            </w:pPr>
            <w:r w:rsidRPr="00A55145">
              <w:rPr>
                <w:b/>
                <w:bCs/>
                <w:sz w:val="20"/>
              </w:rPr>
              <w:t>Общо:</w:t>
            </w:r>
          </w:p>
        </w:tc>
        <w:tc>
          <w:tcPr>
            <w:tcW w:w="912" w:type="dxa"/>
            <w:tcBorders>
              <w:top w:val="nil"/>
              <w:left w:val="nil"/>
              <w:bottom w:val="single" w:sz="4" w:space="0" w:color="auto"/>
              <w:right w:val="single" w:sz="4" w:space="0" w:color="auto"/>
            </w:tcBorders>
            <w:shd w:val="clear" w:color="auto" w:fill="C0C0C0"/>
            <w:noWrap/>
            <w:vAlign w:val="bottom"/>
          </w:tcPr>
          <w:p w:rsidR="000938C1" w:rsidRPr="00A55145" w:rsidRDefault="000938C1" w:rsidP="00246730">
            <w:pPr>
              <w:jc w:val="center"/>
              <w:rPr>
                <w:b/>
                <w:bCs/>
              </w:rPr>
            </w:pPr>
            <w:r w:rsidRPr="00A55145">
              <w:rPr>
                <w:b/>
                <w:bCs/>
                <w:sz w:val="22"/>
                <w:szCs w:val="22"/>
              </w:rPr>
              <w:t>170</w:t>
            </w:r>
          </w:p>
        </w:tc>
        <w:tc>
          <w:tcPr>
            <w:tcW w:w="1197" w:type="dxa"/>
            <w:tcBorders>
              <w:top w:val="nil"/>
              <w:left w:val="nil"/>
              <w:bottom w:val="single" w:sz="4" w:space="0" w:color="auto"/>
              <w:right w:val="single" w:sz="4" w:space="0" w:color="auto"/>
            </w:tcBorders>
            <w:shd w:val="clear" w:color="auto" w:fill="C0C0C0"/>
            <w:noWrap/>
            <w:vAlign w:val="bottom"/>
          </w:tcPr>
          <w:p w:rsidR="000938C1" w:rsidRPr="00A55145" w:rsidRDefault="000938C1" w:rsidP="00246730">
            <w:pPr>
              <w:jc w:val="center"/>
              <w:rPr>
                <w:b/>
                <w:bCs/>
              </w:rPr>
            </w:pPr>
            <w:r w:rsidRPr="00A55145">
              <w:rPr>
                <w:b/>
                <w:bCs/>
                <w:sz w:val="22"/>
                <w:szCs w:val="22"/>
              </w:rPr>
              <w:t>54,49</w:t>
            </w:r>
          </w:p>
        </w:tc>
        <w:tc>
          <w:tcPr>
            <w:tcW w:w="1140" w:type="dxa"/>
            <w:tcBorders>
              <w:top w:val="nil"/>
              <w:left w:val="nil"/>
              <w:bottom w:val="single" w:sz="4" w:space="0" w:color="auto"/>
              <w:right w:val="single" w:sz="4" w:space="0" w:color="auto"/>
            </w:tcBorders>
            <w:shd w:val="clear" w:color="auto" w:fill="C0C0C0"/>
            <w:noWrap/>
            <w:vAlign w:val="bottom"/>
          </w:tcPr>
          <w:p w:rsidR="000938C1" w:rsidRPr="00A55145" w:rsidRDefault="000938C1" w:rsidP="00246730">
            <w:pPr>
              <w:jc w:val="center"/>
              <w:rPr>
                <w:b/>
                <w:bCs/>
              </w:rPr>
            </w:pPr>
            <w:r w:rsidRPr="00A55145">
              <w:rPr>
                <w:b/>
                <w:bCs/>
                <w:sz w:val="22"/>
                <w:szCs w:val="22"/>
              </w:rPr>
              <w:t>41,13</w:t>
            </w:r>
          </w:p>
        </w:tc>
        <w:tc>
          <w:tcPr>
            <w:tcW w:w="1197" w:type="dxa"/>
            <w:tcBorders>
              <w:top w:val="nil"/>
              <w:left w:val="nil"/>
              <w:bottom w:val="single" w:sz="4" w:space="0" w:color="auto"/>
              <w:right w:val="single" w:sz="4" w:space="0" w:color="auto"/>
            </w:tcBorders>
            <w:shd w:val="clear" w:color="auto" w:fill="C0C0C0"/>
            <w:noWrap/>
            <w:vAlign w:val="bottom"/>
          </w:tcPr>
          <w:p w:rsidR="000938C1" w:rsidRPr="00A55145" w:rsidRDefault="000938C1" w:rsidP="00246730">
            <w:pPr>
              <w:jc w:val="center"/>
              <w:rPr>
                <w:b/>
                <w:bCs/>
              </w:rPr>
            </w:pPr>
            <w:r w:rsidRPr="00A55145">
              <w:rPr>
                <w:b/>
                <w:bCs/>
                <w:sz w:val="22"/>
                <w:szCs w:val="22"/>
              </w:rPr>
              <w:t>13,36</w:t>
            </w:r>
          </w:p>
        </w:tc>
        <w:tc>
          <w:tcPr>
            <w:tcW w:w="1254" w:type="dxa"/>
            <w:tcBorders>
              <w:top w:val="nil"/>
              <w:left w:val="nil"/>
              <w:bottom w:val="single" w:sz="4" w:space="0" w:color="auto"/>
              <w:right w:val="single" w:sz="4" w:space="0" w:color="auto"/>
            </w:tcBorders>
            <w:shd w:val="clear" w:color="auto" w:fill="C0C0C0"/>
            <w:noWrap/>
            <w:vAlign w:val="bottom"/>
          </w:tcPr>
          <w:p w:rsidR="000938C1" w:rsidRPr="00A55145" w:rsidRDefault="000938C1" w:rsidP="00246730">
            <w:pPr>
              <w:jc w:val="center"/>
              <w:rPr>
                <w:b/>
                <w:bCs/>
              </w:rPr>
            </w:pPr>
            <w:r w:rsidRPr="00A55145">
              <w:rPr>
                <w:b/>
                <w:bCs/>
                <w:sz w:val="22"/>
                <w:szCs w:val="22"/>
              </w:rPr>
              <w:t>24,66</w:t>
            </w:r>
          </w:p>
        </w:tc>
        <w:tc>
          <w:tcPr>
            <w:tcW w:w="1140" w:type="dxa"/>
            <w:tcBorders>
              <w:top w:val="nil"/>
              <w:left w:val="nil"/>
              <w:bottom w:val="single" w:sz="4" w:space="0" w:color="auto"/>
              <w:right w:val="single" w:sz="4" w:space="0" w:color="auto"/>
            </w:tcBorders>
            <w:shd w:val="clear" w:color="auto" w:fill="C0C0C0"/>
            <w:noWrap/>
            <w:vAlign w:val="bottom"/>
          </w:tcPr>
          <w:p w:rsidR="000938C1" w:rsidRPr="00A55145" w:rsidRDefault="000938C1" w:rsidP="00246730">
            <w:pPr>
              <w:jc w:val="center"/>
              <w:rPr>
                <w:b/>
                <w:bCs/>
              </w:rPr>
            </w:pPr>
            <w:r w:rsidRPr="00A55145">
              <w:rPr>
                <w:b/>
                <w:bCs/>
                <w:sz w:val="22"/>
                <w:szCs w:val="22"/>
              </w:rPr>
              <w:t>18,84</w:t>
            </w:r>
          </w:p>
        </w:tc>
        <w:tc>
          <w:tcPr>
            <w:tcW w:w="1026" w:type="dxa"/>
            <w:tcBorders>
              <w:top w:val="nil"/>
              <w:left w:val="nil"/>
              <w:bottom w:val="single" w:sz="4" w:space="0" w:color="auto"/>
              <w:right w:val="single" w:sz="4" w:space="0" w:color="auto"/>
            </w:tcBorders>
            <w:shd w:val="clear" w:color="auto" w:fill="C0C0C0"/>
            <w:noWrap/>
            <w:vAlign w:val="bottom"/>
          </w:tcPr>
          <w:p w:rsidR="000938C1" w:rsidRPr="00A55145" w:rsidRDefault="000938C1" w:rsidP="00246730">
            <w:pPr>
              <w:jc w:val="center"/>
              <w:rPr>
                <w:b/>
                <w:bCs/>
              </w:rPr>
            </w:pPr>
            <w:r w:rsidRPr="00A55145">
              <w:rPr>
                <w:b/>
                <w:bCs/>
                <w:sz w:val="22"/>
                <w:szCs w:val="22"/>
              </w:rPr>
              <w:t>5,82</w:t>
            </w:r>
          </w:p>
        </w:tc>
      </w:tr>
    </w:tbl>
    <w:p w:rsidR="000938C1" w:rsidRPr="00A55145" w:rsidRDefault="000938C1" w:rsidP="004D5AAC">
      <w:pPr>
        <w:spacing w:before="120"/>
        <w:rPr>
          <w:i/>
          <w:sz w:val="16"/>
          <w:szCs w:val="16"/>
        </w:rPr>
      </w:pPr>
      <w:r w:rsidRPr="001704C2">
        <w:rPr>
          <w:i/>
          <w:sz w:val="16"/>
          <w:szCs w:val="16"/>
        </w:rPr>
        <w:t>Източник: ИАРА</w:t>
      </w:r>
    </w:p>
    <w:p w:rsidR="000938C1" w:rsidRPr="00CF1A14" w:rsidRDefault="000938C1" w:rsidP="004D5AAC">
      <w:pPr>
        <w:ind w:firstLine="567"/>
        <w:rPr>
          <w:color w:val="0070C0"/>
          <w:sz w:val="20"/>
        </w:rPr>
      </w:pPr>
    </w:p>
    <w:p w:rsidR="000938C1" w:rsidRDefault="000938C1" w:rsidP="004D5AAC">
      <w:pPr>
        <w:ind w:firstLine="720"/>
        <w:jc w:val="both"/>
      </w:pPr>
      <w:r w:rsidRPr="00AB44D9">
        <w:t>ДФ „</w:t>
      </w:r>
      <w:r>
        <w:t xml:space="preserve">Земеделие”, в изпълнение на </w:t>
      </w:r>
      <w:r w:rsidRPr="00AB44D9">
        <w:t>функциите</w:t>
      </w:r>
      <w:r>
        <w:t xml:space="preserve"> на</w:t>
      </w:r>
      <w:r w:rsidRPr="00AB44D9">
        <w:t xml:space="preserve"> С</w:t>
      </w:r>
      <w:r>
        <w:t xml:space="preserve">ертифициращ орган по </w:t>
      </w:r>
      <w:r w:rsidRPr="00AB44D9">
        <w:t>Оперативна програма за развитие на сектор “Рибарство”</w:t>
      </w:r>
      <w:r>
        <w:t xml:space="preserve"> (ОПРСР) /2007-2013/,от началото на програмния период до 31.12.201</w:t>
      </w:r>
      <w:r w:rsidRPr="001C31A9">
        <w:t>3</w:t>
      </w:r>
      <w:r>
        <w:t xml:space="preserve"> г. е с</w:t>
      </w:r>
      <w:r w:rsidRPr="004C1C1B">
        <w:t>ертифицира</w:t>
      </w:r>
      <w:r>
        <w:t xml:space="preserve">лобщо </w:t>
      </w:r>
      <w:r w:rsidRPr="004C1C1B">
        <w:t>допустими разходи</w:t>
      </w:r>
      <w:r>
        <w:t xml:space="preserve"> </w:t>
      </w:r>
      <w:r w:rsidRPr="004C1C1B">
        <w:t xml:space="preserve">в размер на </w:t>
      </w:r>
      <w:r w:rsidRPr="001C31A9">
        <w:t>92</w:t>
      </w:r>
      <w:r>
        <w:t>,7 млн. лв.</w:t>
      </w:r>
      <w:r w:rsidRPr="004C1C1B">
        <w:t>, от които  публични</w:t>
      </w:r>
      <w:r>
        <w:t>те</w:t>
      </w:r>
      <w:r w:rsidRPr="004C1C1B">
        <w:t xml:space="preserve"> средства са </w:t>
      </w:r>
      <w:r>
        <w:t xml:space="preserve">в размер на </w:t>
      </w:r>
      <w:r w:rsidRPr="001C31A9">
        <w:t>73</w:t>
      </w:r>
      <w:r>
        <w:t>,9 млн. лв. и</w:t>
      </w:r>
      <w:r w:rsidRPr="004C1C1B">
        <w:t xml:space="preserve"> представлява</w:t>
      </w:r>
      <w:r>
        <w:t xml:space="preserve">т </w:t>
      </w:r>
      <w:r w:rsidRPr="001C31A9">
        <w:t>37,3</w:t>
      </w:r>
      <w:r w:rsidRPr="004C1C1B">
        <w:t xml:space="preserve"> % от бюджета на ОПРСР.</w:t>
      </w:r>
      <w:r>
        <w:t xml:space="preserve"> Най-висок процент на изпълнение за програмния период се отчита по ос 1 „Мерки за приспособяване на българския риболовен флот“.</w:t>
      </w:r>
    </w:p>
    <w:p w:rsidR="000938C1" w:rsidRDefault="000938C1" w:rsidP="004D5AAC">
      <w:pPr>
        <w:ind w:firstLine="567"/>
        <w:jc w:val="both"/>
        <w:rPr>
          <w:lang w:val="ru-RU"/>
        </w:rPr>
      </w:pPr>
      <w:r w:rsidRPr="00AD25D2">
        <w:rPr>
          <w:lang w:val="ru-RU"/>
        </w:rPr>
        <w:t>През финансовата 2013</w:t>
      </w:r>
      <w:r>
        <w:rPr>
          <w:lang w:val="ru-RU"/>
        </w:rPr>
        <w:t xml:space="preserve"> </w:t>
      </w:r>
      <w:r w:rsidRPr="00AD25D2">
        <w:rPr>
          <w:lang w:val="ru-RU"/>
        </w:rPr>
        <w:t>г. са сертифицирани разходи по 132 плащания на ОПРСР за 34</w:t>
      </w:r>
      <w:r>
        <w:rPr>
          <w:lang w:val="ru-RU"/>
        </w:rPr>
        <w:t>,</w:t>
      </w:r>
      <w:r w:rsidRPr="00AD25D2">
        <w:rPr>
          <w:lang w:val="ru-RU"/>
        </w:rPr>
        <w:t>2 млн.</w:t>
      </w:r>
      <w:r>
        <w:rPr>
          <w:lang w:val="ru-RU"/>
        </w:rPr>
        <w:t xml:space="preserve"> </w:t>
      </w:r>
      <w:r w:rsidRPr="00AD25D2">
        <w:rPr>
          <w:lang w:val="ru-RU"/>
        </w:rPr>
        <w:t>лв., а изпратените на Европейската комисия три заявления (осмо, девето и десето) за междинно</w:t>
      </w:r>
      <w:r>
        <w:rPr>
          <w:lang w:val="ru-RU"/>
        </w:rPr>
        <w:t xml:space="preserve"> плащане са на обща стойност 17,</w:t>
      </w:r>
      <w:r w:rsidRPr="00AD25D2">
        <w:rPr>
          <w:lang w:val="ru-RU"/>
        </w:rPr>
        <w:t>5 млн. лв. Договорираните средства по програмата от началото на програмния период до 31</w:t>
      </w:r>
      <w:r>
        <w:rPr>
          <w:lang w:val="ru-RU"/>
        </w:rPr>
        <w:t>.12.</w:t>
      </w:r>
      <w:r w:rsidRPr="00AD25D2">
        <w:rPr>
          <w:lang w:val="ru-RU"/>
        </w:rPr>
        <w:t>2013 г. са 88,3</w:t>
      </w:r>
      <w:r>
        <w:rPr>
          <w:lang w:val="ru-RU"/>
        </w:rPr>
        <w:t xml:space="preserve"> </w:t>
      </w:r>
      <w:r w:rsidRPr="00AD25D2">
        <w:rPr>
          <w:lang w:val="ru-RU"/>
        </w:rPr>
        <w:t xml:space="preserve">% от средствата по бюджета </w:t>
      </w:r>
      <w:r>
        <w:rPr>
          <w:lang w:val="ru-RU"/>
        </w:rPr>
        <w:t xml:space="preserve">на програмата </w:t>
      </w:r>
      <w:r w:rsidRPr="00AD25D2">
        <w:rPr>
          <w:lang w:val="ru-RU"/>
        </w:rPr>
        <w:t>или 175,</w:t>
      </w:r>
      <w:r>
        <w:rPr>
          <w:lang w:val="ru-RU"/>
        </w:rPr>
        <w:t>8</w:t>
      </w:r>
      <w:r w:rsidRPr="00AD25D2">
        <w:rPr>
          <w:lang w:val="ru-RU"/>
        </w:rPr>
        <w:t xml:space="preserve"> млн. лв. Изплатени са 79,</w:t>
      </w:r>
      <w:r>
        <w:rPr>
          <w:lang w:val="ru-RU"/>
        </w:rPr>
        <w:t>8</w:t>
      </w:r>
      <w:r w:rsidRPr="00AD25D2">
        <w:rPr>
          <w:lang w:val="ru-RU"/>
        </w:rPr>
        <w:t xml:space="preserve"> млн. лв., което се равнява на 40,3</w:t>
      </w:r>
      <w:r>
        <w:rPr>
          <w:lang w:val="ru-RU"/>
        </w:rPr>
        <w:t xml:space="preserve"> </w:t>
      </w:r>
      <w:r w:rsidRPr="00AD25D2">
        <w:rPr>
          <w:lang w:val="ru-RU"/>
        </w:rPr>
        <w:t>% от средствата по ОПРСР.</w:t>
      </w:r>
    </w:p>
    <w:p w:rsidR="000938C1" w:rsidRDefault="000938C1" w:rsidP="004D5AAC">
      <w:pPr>
        <w:ind w:firstLine="720"/>
        <w:jc w:val="both"/>
      </w:pPr>
      <w:r>
        <w:rPr>
          <w:lang w:val="ru-RU"/>
        </w:rPr>
        <w:t xml:space="preserve">По информация на ИАРА - Управляващ орган по ОПРСР, </w:t>
      </w:r>
      <w:r w:rsidRPr="003964C8">
        <w:t>Н</w:t>
      </w:r>
      <w:r>
        <w:t>ационален гаранционен фонд ЕАД (Н</w:t>
      </w:r>
      <w:r w:rsidRPr="003964C8">
        <w:t>ГФ</w:t>
      </w:r>
      <w:r>
        <w:t>) е</w:t>
      </w:r>
      <w:r w:rsidRPr="003964C8">
        <w:t xml:space="preserve"> разработи</w:t>
      </w:r>
      <w:r>
        <w:t>л</w:t>
      </w:r>
      <w:r w:rsidRPr="003964C8">
        <w:t xml:space="preserve"> и</w:t>
      </w:r>
      <w:r>
        <w:t xml:space="preserve"> е</w:t>
      </w:r>
      <w:r w:rsidRPr="003964C8">
        <w:t xml:space="preserve"> започна</w:t>
      </w:r>
      <w:r>
        <w:t xml:space="preserve">л да прилага </w:t>
      </w:r>
      <w:r w:rsidRPr="003964C8">
        <w:t xml:space="preserve">през м. май 2011 </w:t>
      </w:r>
      <w:r>
        <w:t>г.</w:t>
      </w:r>
      <w:r w:rsidRPr="003964C8">
        <w:t xml:space="preserve"> Гаранционна</w:t>
      </w:r>
      <w:r>
        <w:t>та схема</w:t>
      </w:r>
      <w:r w:rsidRPr="003964C8">
        <w:t xml:space="preserve"> за бенефициенти по инвестиционните мерки на </w:t>
      </w:r>
      <w:r>
        <w:t>програмата</w:t>
      </w:r>
      <w:r w:rsidRPr="003964C8">
        <w:t xml:space="preserve">, финансирана </w:t>
      </w:r>
      <w:r>
        <w:t>по</w:t>
      </w:r>
      <w:r w:rsidRPr="003964C8">
        <w:t xml:space="preserve"> мярка 2.7</w:t>
      </w:r>
      <w:r>
        <w:t>. на ОПРСР</w:t>
      </w:r>
      <w:r w:rsidRPr="003964C8">
        <w:t>. Общата стойност на финансовия ресурс</w:t>
      </w:r>
      <w:r>
        <w:t xml:space="preserve"> по схемата</w:t>
      </w:r>
      <w:r w:rsidRPr="003964C8">
        <w:t xml:space="preserve"> към 31.12.2013 г.</w:t>
      </w:r>
      <w:r w:rsidRPr="00607C42">
        <w:t>е 30</w:t>
      </w:r>
      <w:r>
        <w:t>,</w:t>
      </w:r>
      <w:r w:rsidRPr="00607C42">
        <w:t>2 млн. лв.</w:t>
      </w:r>
      <w:r>
        <w:t xml:space="preserve">, като тя </w:t>
      </w:r>
      <w:r w:rsidRPr="003964C8">
        <w:t>се реализира от повечето търговски банки, които са поели ангажимент да осигуряват облекчени условия за финансиране: удължен срок за издължаване на кредитите, отстъпка от лихвените проценти по кредити за бенефициенти по ОПРСР в рамките 1-2% от средните лихви на пазара за новоотпуснати кредити, облекчени процедури при разглеждане на исканията за кредит или банкова гаранция, и по-ниски от стандартните изисквания за обезпечение по кредитите. Максималната сума по гаранции за един кредитополучател е до 1</w:t>
      </w:r>
      <w:r>
        <w:t>,5 млн. лв.</w:t>
      </w:r>
      <w:r w:rsidRPr="003964C8">
        <w:t xml:space="preserve"> за микро- и малки предприятия и до </w:t>
      </w:r>
      <w:r>
        <w:t>3,0 млн. лв.</w:t>
      </w:r>
      <w:r w:rsidRPr="003964C8">
        <w:t xml:space="preserve"> за средни предприятия. Гаранциите са </w:t>
      </w:r>
      <w:r>
        <w:t>безплатни за бенефициентите на п</w:t>
      </w:r>
      <w:r w:rsidRPr="003964C8">
        <w:t xml:space="preserve">рограмата. Освен това, в края на 2012 г., с </w:t>
      </w:r>
      <w:r>
        <w:t>изменението</w:t>
      </w:r>
      <w:r w:rsidRPr="003964C8">
        <w:t xml:space="preserve"> в Закона за българска банка за развитие, чл. 16, ал. 3, размерът на гаранциите по отпусканите кредити бе увеличен от 50% на 80%, </w:t>
      </w:r>
      <w:r>
        <w:t>с което ще бъде дадена възможност за осигуряване на</w:t>
      </w:r>
      <w:r w:rsidRPr="003964C8">
        <w:t xml:space="preserve"> по-голям процент на изпълнение на проектите по ОПРСР и респективно, ще се даде възможност за повишаване усвояе</w:t>
      </w:r>
      <w:r>
        <w:t>мостта на финансовия ресурс по п</w:t>
      </w:r>
      <w:r w:rsidRPr="003964C8">
        <w:t>рограмата. Всички бенефициенти по ОПРСР, които са се възползвали от гаранционните схеми на НГФ изпълняват успешно проектите си, като по-голям процент от тях вече са получили окончателно плащане. Към 31.12.2013 г., поетият от НГФ пълен гаранционен ангажимент е в размер на 10</w:t>
      </w:r>
      <w:r>
        <w:t>,9 млн. лева.</w:t>
      </w:r>
    </w:p>
    <w:p w:rsidR="000938C1" w:rsidRDefault="000938C1" w:rsidP="004D5AAC">
      <w:pPr>
        <w:ind w:firstLine="720"/>
        <w:jc w:val="both"/>
        <w:rPr>
          <w:lang w:val="ru-RU"/>
        </w:rPr>
      </w:pPr>
      <w:r>
        <w:rPr>
          <w:lang w:val="ru-RU"/>
        </w:rPr>
        <w:t xml:space="preserve">По информация на ДФ </w:t>
      </w:r>
      <w:r>
        <w:t>„</w:t>
      </w:r>
      <w:r>
        <w:rPr>
          <w:lang w:val="ru-RU"/>
        </w:rPr>
        <w:t>Земеделие</w:t>
      </w:r>
      <w:r>
        <w:t>”</w:t>
      </w:r>
      <w:r>
        <w:rPr>
          <w:lang w:val="ru-RU"/>
        </w:rPr>
        <w:t xml:space="preserve">, в изпратеното на ЕК седмо заявление за междинно плащане на 21.12.2012 г., в размер на 18,6 млн. лв. са включени и </w:t>
      </w:r>
      <w:r w:rsidRPr="00A32B36">
        <w:rPr>
          <w:lang w:val="ru-RU"/>
        </w:rPr>
        <w:t xml:space="preserve">средства </w:t>
      </w:r>
      <w:r>
        <w:rPr>
          <w:lang w:val="ru-RU"/>
        </w:rPr>
        <w:t>по гаранционната схема, в размер на 15,1 млн. лв. (по</w:t>
      </w:r>
      <w:r w:rsidRPr="00A32B36">
        <w:rPr>
          <w:lang w:val="ru-RU"/>
        </w:rPr>
        <w:t xml:space="preserve"> Анекс № 4</w:t>
      </w:r>
      <w:r>
        <w:rPr>
          <w:lang w:val="ru-RU"/>
        </w:rPr>
        <w:t>/19.12.2012 г.</w:t>
      </w:r>
      <w:r w:rsidRPr="00A32B36">
        <w:rPr>
          <w:lang w:val="ru-RU"/>
        </w:rPr>
        <w:t xml:space="preserve"> към Финансовото споразумение за предоставяне на средства за осъществяване на гаранционна дейност по ОПРСР от 07.12.2010г. между ИАРА</w:t>
      </w:r>
      <w:r>
        <w:rPr>
          <w:lang w:val="ru-RU"/>
        </w:rPr>
        <w:t xml:space="preserve"> и НГФ). На 05.08.2013 г. ЕК е</w:t>
      </w:r>
      <w:r w:rsidRPr="00A32B36">
        <w:rPr>
          <w:lang w:val="ru-RU"/>
        </w:rPr>
        <w:t xml:space="preserve"> възстанови</w:t>
      </w:r>
      <w:r>
        <w:rPr>
          <w:lang w:val="ru-RU"/>
        </w:rPr>
        <w:t>лазаявените средства частично – в размер на</w:t>
      </w:r>
      <w:r w:rsidRPr="00A32B36">
        <w:rPr>
          <w:lang w:val="ru-RU"/>
        </w:rPr>
        <w:t xml:space="preserve"> 4</w:t>
      </w:r>
      <w:r>
        <w:rPr>
          <w:lang w:val="ru-RU"/>
        </w:rPr>
        <w:t>,3 млн. лв. По този начин междинното плащане е прекъснато частично и частта за средствата по гаранционната схема не е възстановена. След проведена кореспонденция с ЕК е взето решение от УО,  направената вноска в НГФ, в размер на 15,1 млн. лв. да бъде възстановена обратно в ОПРСР.</w:t>
      </w:r>
      <w:r w:rsidRPr="00A32B36">
        <w:rPr>
          <w:lang w:val="ru-RU"/>
        </w:rPr>
        <w:t xml:space="preserve"> Преводът е извършен на 17.01.2014 г</w:t>
      </w:r>
      <w:r>
        <w:rPr>
          <w:lang w:val="ru-RU"/>
        </w:rPr>
        <w:t xml:space="preserve">., като сумата е постъпила по </w:t>
      </w:r>
      <w:r w:rsidRPr="00A32B36">
        <w:rPr>
          <w:lang w:val="ru-RU"/>
        </w:rPr>
        <w:t>банковата сметка на ДФ „Земеделие”.</w:t>
      </w:r>
    </w:p>
    <w:p w:rsidR="000938C1" w:rsidRDefault="000938C1" w:rsidP="004D5AAC">
      <w:pPr>
        <w:ind w:firstLine="720"/>
        <w:jc w:val="both"/>
        <w:rPr>
          <w:lang w:val="ru-RU"/>
        </w:rPr>
      </w:pPr>
    </w:p>
    <w:p w:rsidR="000938C1" w:rsidRPr="00AD755C" w:rsidRDefault="000938C1" w:rsidP="004D5AAC">
      <w:pPr>
        <w:ind w:firstLine="720"/>
        <w:jc w:val="both"/>
        <w:rPr>
          <w:b/>
          <w:i/>
        </w:rPr>
      </w:pPr>
      <w:r w:rsidRPr="00AD755C">
        <w:rPr>
          <w:b/>
          <w:i/>
          <w:u w:val="single"/>
        </w:rPr>
        <w:t>Директни плащания</w:t>
      </w:r>
    </w:p>
    <w:p w:rsidR="000938C1" w:rsidRDefault="000938C1" w:rsidP="004D5AAC">
      <w:pPr>
        <w:autoSpaceDE w:val="0"/>
        <w:autoSpaceDN w:val="0"/>
        <w:adjustRightInd w:val="0"/>
        <w:ind w:firstLine="709"/>
        <w:jc w:val="both"/>
      </w:pPr>
      <w:r w:rsidRPr="00D36256">
        <w:t>За периода от 01.01.201</w:t>
      </w:r>
      <w:r>
        <w:t>3</w:t>
      </w:r>
      <w:r w:rsidRPr="00D36256">
        <w:t xml:space="preserve"> г. до 31.12.201</w:t>
      </w:r>
      <w:r>
        <w:t>3</w:t>
      </w:r>
      <w:r w:rsidRPr="00D36256">
        <w:t xml:space="preserve"> г. </w:t>
      </w:r>
      <w:r w:rsidRPr="00715449">
        <w:t>по линия на директните плащания</w:t>
      </w:r>
      <w:r w:rsidRPr="00D36256">
        <w:t xml:space="preserve"> са изплатени субсидии на </w:t>
      </w:r>
      <w:r w:rsidRPr="00AD755C">
        <w:t>стойност 1 451,</w:t>
      </w:r>
      <w:r>
        <w:t>1</w:t>
      </w:r>
      <w:r w:rsidRPr="00D36256">
        <w:t xml:space="preserve"> млн.</w:t>
      </w:r>
      <w:r>
        <w:t xml:space="preserve"> </w:t>
      </w:r>
      <w:r w:rsidRPr="00D36256">
        <w:t>лв.</w:t>
      </w:r>
      <w:r>
        <w:t>, при планирани 1 490,2 млн. лв., или изпълнение – 97,4 процента.</w:t>
      </w:r>
    </w:p>
    <w:p w:rsidR="000938C1" w:rsidRPr="00D36256" w:rsidRDefault="000938C1" w:rsidP="004D5AAC">
      <w:pPr>
        <w:autoSpaceDE w:val="0"/>
        <w:autoSpaceDN w:val="0"/>
        <w:adjustRightInd w:val="0"/>
        <w:ind w:firstLine="709"/>
      </w:pPr>
      <w:r>
        <w:t>П</w:t>
      </w:r>
      <w:r w:rsidRPr="00D36256">
        <w:t xml:space="preserve">осочената стойност </w:t>
      </w:r>
      <w:r>
        <w:t xml:space="preserve">на общо изплатените субсидии </w:t>
      </w:r>
      <w:r w:rsidRPr="00D36256">
        <w:t>се формира от:</w:t>
      </w:r>
    </w:p>
    <w:p w:rsidR="000938C1" w:rsidRDefault="000938C1" w:rsidP="00F30F79">
      <w:pPr>
        <w:numPr>
          <w:ilvl w:val="0"/>
          <w:numId w:val="27"/>
        </w:numPr>
        <w:tabs>
          <w:tab w:val="clear" w:pos="1097"/>
          <w:tab w:val="num" w:pos="969"/>
        </w:tabs>
        <w:autoSpaceDE w:val="0"/>
        <w:autoSpaceDN w:val="0"/>
        <w:adjustRightInd w:val="0"/>
        <w:ind w:left="0" w:firstLine="720"/>
        <w:jc w:val="both"/>
      </w:pPr>
      <w:r>
        <w:t xml:space="preserve">изплатените </w:t>
      </w:r>
      <w:r w:rsidRPr="00D36256">
        <w:t xml:space="preserve">средства </w:t>
      </w:r>
      <w:r>
        <w:t>по</w:t>
      </w:r>
      <w:r w:rsidRPr="00D36256">
        <w:t xml:space="preserve"> ЕФГЗ </w:t>
      </w:r>
      <w:r>
        <w:t>–</w:t>
      </w:r>
      <w:r w:rsidRPr="001324CC">
        <w:t>960</w:t>
      </w:r>
      <w:r>
        <w:t>,9</w:t>
      </w:r>
      <w:r w:rsidRPr="00D36256">
        <w:t xml:space="preserve"> млн.</w:t>
      </w:r>
      <w:r>
        <w:t xml:space="preserve"> </w:t>
      </w:r>
      <w:r w:rsidRPr="00D36256">
        <w:t>л</w:t>
      </w:r>
      <w:r>
        <w:t>е</w:t>
      </w:r>
      <w:r w:rsidRPr="00D36256">
        <w:t>в</w:t>
      </w:r>
      <w:r>
        <w:t>а;</w:t>
      </w:r>
    </w:p>
    <w:p w:rsidR="000938C1" w:rsidRPr="00D36256" w:rsidRDefault="000938C1" w:rsidP="00F30F79">
      <w:pPr>
        <w:numPr>
          <w:ilvl w:val="0"/>
          <w:numId w:val="27"/>
        </w:numPr>
        <w:tabs>
          <w:tab w:val="clear" w:pos="1097"/>
          <w:tab w:val="num" w:pos="969"/>
        </w:tabs>
        <w:autoSpaceDE w:val="0"/>
        <w:autoSpaceDN w:val="0"/>
        <w:adjustRightInd w:val="0"/>
        <w:ind w:left="0" w:firstLine="720"/>
        <w:jc w:val="both"/>
      </w:pPr>
      <w:r>
        <w:t xml:space="preserve">изплатените средства по ЕЗФРСР, прехвърлени към директните плащания -309,4 млн. лева; </w:t>
      </w:r>
    </w:p>
    <w:p w:rsidR="000938C1" w:rsidRDefault="000938C1" w:rsidP="00F30F79">
      <w:pPr>
        <w:numPr>
          <w:ilvl w:val="0"/>
          <w:numId w:val="27"/>
        </w:numPr>
        <w:tabs>
          <w:tab w:val="clear" w:pos="1097"/>
          <w:tab w:val="num" w:pos="969"/>
        </w:tabs>
        <w:autoSpaceDE w:val="0"/>
        <w:autoSpaceDN w:val="0"/>
        <w:adjustRightInd w:val="0"/>
        <w:ind w:left="0" w:firstLine="720"/>
        <w:jc w:val="both"/>
      </w:pPr>
      <w:r w:rsidRPr="00D36256">
        <w:t xml:space="preserve">по схемите за националните доплащания в размер на </w:t>
      </w:r>
      <w:r w:rsidRPr="001324CC">
        <w:t>180</w:t>
      </w:r>
      <w:r>
        <w:t>,8</w:t>
      </w:r>
      <w:r w:rsidRPr="00D36256">
        <w:t xml:space="preserve"> млн.</w:t>
      </w:r>
      <w:r>
        <w:t xml:space="preserve"> </w:t>
      </w:r>
      <w:r w:rsidRPr="00D36256">
        <w:t>лв., в т</w:t>
      </w:r>
      <w:r>
        <w:t>.</w:t>
      </w:r>
      <w:r w:rsidRPr="00D36256">
        <w:t>ч</w:t>
      </w:r>
      <w:r>
        <w:t>.</w:t>
      </w:r>
      <w:r w:rsidRPr="00D36256">
        <w:t xml:space="preserve"> национални доплащания </w:t>
      </w:r>
      <w:r>
        <w:t xml:space="preserve">на площ </w:t>
      </w:r>
      <w:r w:rsidRPr="00D36256">
        <w:t xml:space="preserve">към преките плащания </w:t>
      </w:r>
      <w:r>
        <w:t xml:space="preserve">за предходни кампании </w:t>
      </w:r>
      <w:r w:rsidRPr="00D36256">
        <w:t xml:space="preserve">– </w:t>
      </w:r>
      <w:r>
        <w:t>0,8</w:t>
      </w:r>
      <w:r w:rsidRPr="00D36256">
        <w:t xml:space="preserve"> млн.</w:t>
      </w:r>
      <w:r>
        <w:t xml:space="preserve"> </w:t>
      </w:r>
      <w:r w:rsidRPr="00D36256">
        <w:t xml:space="preserve">лв., национални доплащания за животни – </w:t>
      </w:r>
      <w:r>
        <w:t>92,8</w:t>
      </w:r>
      <w:r w:rsidRPr="00D36256">
        <w:t xml:space="preserve"> млн.</w:t>
      </w:r>
      <w:r>
        <w:t xml:space="preserve"> </w:t>
      </w:r>
      <w:r w:rsidRPr="00D36256">
        <w:t>лв.</w:t>
      </w:r>
      <w:r>
        <w:t>,</w:t>
      </w:r>
      <w:r w:rsidRPr="00D36256">
        <w:t xml:space="preserve"> национални доплащания за тютюн – </w:t>
      </w:r>
      <w:r>
        <w:t xml:space="preserve">84,0 </w:t>
      </w:r>
      <w:r w:rsidRPr="00D36256">
        <w:t>млн.</w:t>
      </w:r>
      <w:r>
        <w:t xml:space="preserve"> </w:t>
      </w:r>
      <w:r w:rsidRPr="00D36256">
        <w:t>лв.</w:t>
      </w:r>
      <w:r>
        <w:t xml:space="preserve"> и предоставени средства към бюджетни предприятия чрез трансфер – 3,2 млн. лева. </w:t>
      </w:r>
    </w:p>
    <w:p w:rsidR="000938C1" w:rsidRDefault="000938C1" w:rsidP="004D5AAC">
      <w:pPr>
        <w:pStyle w:val="ListParagraph"/>
        <w:autoSpaceDE w:val="0"/>
        <w:autoSpaceDN w:val="0"/>
        <w:adjustRightInd w:val="0"/>
        <w:ind w:left="1097"/>
        <w:rPr>
          <w:lang w:val="en-US"/>
        </w:rPr>
      </w:pPr>
    </w:p>
    <w:p w:rsidR="000938C1" w:rsidRPr="00242E07" w:rsidRDefault="000938C1" w:rsidP="004D5AAC">
      <w:pPr>
        <w:pStyle w:val="ListParagraph"/>
        <w:autoSpaceDE w:val="0"/>
        <w:autoSpaceDN w:val="0"/>
        <w:adjustRightInd w:val="0"/>
        <w:ind w:left="1097"/>
        <w:rPr>
          <w:lang w:val="en-US"/>
        </w:rPr>
      </w:pPr>
    </w:p>
    <w:tbl>
      <w:tblPr>
        <w:tblW w:w="9428" w:type="dxa"/>
        <w:tblInd w:w="55" w:type="dxa"/>
        <w:tblCellMar>
          <w:left w:w="70" w:type="dxa"/>
          <w:right w:w="70" w:type="dxa"/>
        </w:tblCellMar>
        <w:tblLook w:val="0000"/>
      </w:tblPr>
      <w:tblGrid>
        <w:gridCol w:w="1352"/>
        <w:gridCol w:w="1370"/>
        <w:gridCol w:w="1480"/>
        <w:gridCol w:w="1060"/>
        <w:gridCol w:w="1096"/>
        <w:gridCol w:w="1169"/>
        <w:gridCol w:w="1901"/>
      </w:tblGrid>
      <w:tr w:rsidR="000938C1" w:rsidRPr="00354949" w:rsidTr="00246730">
        <w:trPr>
          <w:trHeight w:val="638"/>
        </w:trPr>
        <w:tc>
          <w:tcPr>
            <w:tcW w:w="9428" w:type="dxa"/>
            <w:gridSpan w:val="7"/>
            <w:tcBorders>
              <w:top w:val="single" w:sz="4" w:space="0" w:color="auto"/>
              <w:left w:val="single" w:sz="4" w:space="0" w:color="auto"/>
              <w:bottom w:val="single" w:sz="4" w:space="0" w:color="auto"/>
              <w:right w:val="single" w:sz="4" w:space="0" w:color="auto"/>
            </w:tcBorders>
            <w:shd w:val="clear" w:color="auto" w:fill="C0C0C0"/>
            <w:noWrap/>
            <w:vAlign w:val="center"/>
          </w:tcPr>
          <w:p w:rsidR="000938C1" w:rsidRDefault="000938C1" w:rsidP="00246730">
            <w:pPr>
              <w:jc w:val="center"/>
              <w:rPr>
                <w:b/>
                <w:bCs/>
                <w:i/>
                <w:iCs/>
                <w:color w:val="000000"/>
              </w:rPr>
            </w:pPr>
            <w:r w:rsidRPr="00AB224E">
              <w:rPr>
                <w:b/>
                <w:bCs/>
                <w:i/>
                <w:iCs/>
                <w:color w:val="000000"/>
              </w:rPr>
              <w:t xml:space="preserve">Информация относно директни плащания* </w:t>
            </w:r>
          </w:p>
          <w:p w:rsidR="000938C1" w:rsidRPr="00AC5A29" w:rsidRDefault="000938C1" w:rsidP="00246730">
            <w:pPr>
              <w:jc w:val="center"/>
              <w:rPr>
                <w:bCs/>
                <w:i/>
                <w:iCs/>
                <w:color w:val="000000"/>
              </w:rPr>
            </w:pPr>
            <w:r w:rsidRPr="00AC5A29">
              <w:rPr>
                <w:bCs/>
                <w:i/>
                <w:iCs/>
                <w:color w:val="000000"/>
              </w:rPr>
              <w:t>(кампания 2013</w:t>
            </w:r>
            <w:r>
              <w:rPr>
                <w:bCs/>
                <w:i/>
                <w:iCs/>
                <w:color w:val="000000"/>
              </w:rPr>
              <w:t xml:space="preserve"> г.</w:t>
            </w:r>
            <w:r w:rsidRPr="00AC5A29">
              <w:rPr>
                <w:bCs/>
                <w:i/>
                <w:iCs/>
                <w:color w:val="000000"/>
              </w:rPr>
              <w:t>)</w:t>
            </w:r>
          </w:p>
        </w:tc>
      </w:tr>
      <w:tr w:rsidR="000938C1" w:rsidRPr="00354949" w:rsidTr="00246730">
        <w:trPr>
          <w:trHeight w:val="920"/>
        </w:trPr>
        <w:tc>
          <w:tcPr>
            <w:tcW w:w="1352" w:type="dxa"/>
            <w:vMerge w:val="restart"/>
            <w:tcBorders>
              <w:top w:val="nil"/>
              <w:left w:val="single" w:sz="4" w:space="0" w:color="auto"/>
              <w:bottom w:val="single" w:sz="4" w:space="0" w:color="auto"/>
              <w:right w:val="single" w:sz="4" w:space="0" w:color="auto"/>
            </w:tcBorders>
            <w:shd w:val="clear" w:color="auto" w:fill="C0C0C0"/>
            <w:vAlign w:val="center"/>
          </w:tcPr>
          <w:p w:rsidR="000938C1" w:rsidRPr="00354949" w:rsidRDefault="000938C1" w:rsidP="00246730">
            <w:pPr>
              <w:jc w:val="center"/>
              <w:rPr>
                <w:color w:val="000000"/>
              </w:rPr>
            </w:pPr>
            <w:r w:rsidRPr="00354949">
              <w:rPr>
                <w:color w:val="000000"/>
                <w:sz w:val="22"/>
                <w:szCs w:val="22"/>
              </w:rPr>
              <w:t>Схема</w:t>
            </w:r>
          </w:p>
        </w:tc>
        <w:tc>
          <w:tcPr>
            <w:tcW w:w="1370" w:type="dxa"/>
            <w:vMerge w:val="restart"/>
            <w:tcBorders>
              <w:top w:val="nil"/>
              <w:left w:val="single" w:sz="4" w:space="0" w:color="auto"/>
              <w:bottom w:val="single" w:sz="4" w:space="0" w:color="auto"/>
              <w:right w:val="single" w:sz="4" w:space="0" w:color="auto"/>
            </w:tcBorders>
            <w:shd w:val="clear" w:color="auto" w:fill="C0C0C0"/>
            <w:vAlign w:val="center"/>
          </w:tcPr>
          <w:p w:rsidR="000938C1" w:rsidRPr="00354949" w:rsidRDefault="000938C1" w:rsidP="00246730">
            <w:pPr>
              <w:jc w:val="center"/>
              <w:rPr>
                <w:color w:val="000000"/>
              </w:rPr>
            </w:pPr>
            <w:r w:rsidRPr="00354949">
              <w:rPr>
                <w:color w:val="000000"/>
                <w:sz w:val="22"/>
                <w:szCs w:val="22"/>
              </w:rPr>
              <w:t>Брой подадени заявления</w:t>
            </w:r>
          </w:p>
        </w:tc>
        <w:tc>
          <w:tcPr>
            <w:tcW w:w="1480" w:type="dxa"/>
            <w:vMerge w:val="restart"/>
            <w:tcBorders>
              <w:top w:val="nil"/>
              <w:left w:val="single" w:sz="4" w:space="0" w:color="auto"/>
              <w:bottom w:val="single" w:sz="4" w:space="0" w:color="000000"/>
              <w:right w:val="single" w:sz="4" w:space="0" w:color="auto"/>
            </w:tcBorders>
            <w:shd w:val="clear" w:color="auto" w:fill="C0C0C0"/>
            <w:vAlign w:val="center"/>
          </w:tcPr>
          <w:p w:rsidR="000938C1" w:rsidRPr="00354949" w:rsidRDefault="000938C1" w:rsidP="00246730">
            <w:pPr>
              <w:jc w:val="center"/>
              <w:rPr>
                <w:color w:val="000000"/>
              </w:rPr>
            </w:pPr>
            <w:r w:rsidRPr="00354949">
              <w:rPr>
                <w:color w:val="000000"/>
                <w:sz w:val="22"/>
                <w:szCs w:val="22"/>
              </w:rPr>
              <w:t>Брой заявления с оторизирани плащания</w:t>
            </w:r>
          </w:p>
        </w:tc>
        <w:tc>
          <w:tcPr>
            <w:tcW w:w="3325" w:type="dxa"/>
            <w:gridSpan w:val="3"/>
            <w:tcBorders>
              <w:top w:val="single" w:sz="4" w:space="0" w:color="auto"/>
              <w:left w:val="nil"/>
              <w:bottom w:val="single" w:sz="4" w:space="0" w:color="auto"/>
              <w:right w:val="single" w:sz="4" w:space="0" w:color="auto"/>
            </w:tcBorders>
            <w:shd w:val="clear" w:color="auto" w:fill="C0C0C0"/>
            <w:vAlign w:val="center"/>
          </w:tcPr>
          <w:p w:rsidR="000938C1" w:rsidRPr="00354949" w:rsidRDefault="000938C1" w:rsidP="00246730">
            <w:pPr>
              <w:jc w:val="center"/>
              <w:rPr>
                <w:color w:val="000000"/>
              </w:rPr>
            </w:pPr>
            <w:r w:rsidRPr="00354949">
              <w:rPr>
                <w:color w:val="000000"/>
                <w:sz w:val="22"/>
                <w:szCs w:val="22"/>
              </w:rPr>
              <w:t>Процентно разпределение на бюджета (%)</w:t>
            </w:r>
          </w:p>
        </w:tc>
        <w:tc>
          <w:tcPr>
            <w:tcW w:w="1901" w:type="dxa"/>
            <w:vMerge w:val="restart"/>
            <w:tcBorders>
              <w:top w:val="nil"/>
              <w:left w:val="single" w:sz="4" w:space="0" w:color="auto"/>
              <w:bottom w:val="single" w:sz="4" w:space="0" w:color="auto"/>
              <w:right w:val="single" w:sz="4" w:space="0" w:color="auto"/>
            </w:tcBorders>
            <w:shd w:val="clear" w:color="auto" w:fill="C0C0C0"/>
            <w:vAlign w:val="center"/>
          </w:tcPr>
          <w:p w:rsidR="000938C1" w:rsidRPr="00354949" w:rsidRDefault="000938C1" w:rsidP="00246730">
            <w:pPr>
              <w:jc w:val="center"/>
              <w:rPr>
                <w:color w:val="000000"/>
              </w:rPr>
            </w:pPr>
            <w:r>
              <w:rPr>
                <w:color w:val="000000"/>
                <w:sz w:val="22"/>
                <w:szCs w:val="22"/>
              </w:rPr>
              <w:t>**</w:t>
            </w:r>
            <w:r w:rsidRPr="00354949">
              <w:rPr>
                <w:color w:val="000000"/>
                <w:sz w:val="22"/>
                <w:szCs w:val="22"/>
              </w:rPr>
              <w:t>Оторизирани плащания общо</w:t>
            </w:r>
            <w:r w:rsidRPr="00354949">
              <w:rPr>
                <w:color w:val="000000"/>
                <w:sz w:val="22"/>
                <w:szCs w:val="22"/>
              </w:rPr>
              <w:br/>
              <w:t>( в млн. лв.)</w:t>
            </w:r>
          </w:p>
        </w:tc>
      </w:tr>
      <w:tr w:rsidR="000938C1" w:rsidRPr="00354949" w:rsidTr="00246730">
        <w:trPr>
          <w:trHeight w:val="297"/>
        </w:trPr>
        <w:tc>
          <w:tcPr>
            <w:tcW w:w="1352" w:type="dxa"/>
            <w:vMerge/>
            <w:tcBorders>
              <w:top w:val="nil"/>
              <w:left w:val="single" w:sz="4" w:space="0" w:color="auto"/>
              <w:bottom w:val="single" w:sz="4" w:space="0" w:color="auto"/>
              <w:right w:val="single" w:sz="4" w:space="0" w:color="auto"/>
            </w:tcBorders>
            <w:vAlign w:val="center"/>
          </w:tcPr>
          <w:p w:rsidR="000938C1" w:rsidRPr="00354949" w:rsidRDefault="000938C1" w:rsidP="00246730">
            <w:pPr>
              <w:rPr>
                <w:color w:val="000000"/>
              </w:rPr>
            </w:pPr>
          </w:p>
        </w:tc>
        <w:tc>
          <w:tcPr>
            <w:tcW w:w="1370" w:type="dxa"/>
            <w:vMerge/>
            <w:tcBorders>
              <w:top w:val="nil"/>
              <w:left w:val="single" w:sz="4" w:space="0" w:color="auto"/>
              <w:bottom w:val="single" w:sz="4" w:space="0" w:color="auto"/>
              <w:right w:val="single" w:sz="4" w:space="0" w:color="auto"/>
            </w:tcBorders>
            <w:vAlign w:val="center"/>
          </w:tcPr>
          <w:p w:rsidR="000938C1" w:rsidRPr="00354949" w:rsidRDefault="000938C1" w:rsidP="00246730">
            <w:pPr>
              <w:rPr>
                <w:color w:val="000000"/>
              </w:rPr>
            </w:pPr>
          </w:p>
        </w:tc>
        <w:tc>
          <w:tcPr>
            <w:tcW w:w="1480" w:type="dxa"/>
            <w:vMerge/>
            <w:tcBorders>
              <w:top w:val="nil"/>
              <w:left w:val="single" w:sz="4" w:space="0" w:color="auto"/>
              <w:bottom w:val="single" w:sz="4" w:space="0" w:color="000000"/>
              <w:right w:val="single" w:sz="4" w:space="0" w:color="auto"/>
            </w:tcBorders>
            <w:vAlign w:val="center"/>
          </w:tcPr>
          <w:p w:rsidR="000938C1" w:rsidRPr="00354949" w:rsidRDefault="000938C1" w:rsidP="00246730">
            <w:pPr>
              <w:rPr>
                <w:color w:val="000000"/>
              </w:rPr>
            </w:pPr>
          </w:p>
        </w:tc>
        <w:tc>
          <w:tcPr>
            <w:tcW w:w="1060" w:type="dxa"/>
            <w:tcBorders>
              <w:top w:val="nil"/>
              <w:left w:val="nil"/>
              <w:bottom w:val="single" w:sz="4" w:space="0" w:color="auto"/>
              <w:right w:val="single" w:sz="4" w:space="0" w:color="auto"/>
            </w:tcBorders>
            <w:shd w:val="clear" w:color="auto" w:fill="C0C0C0"/>
            <w:vAlign w:val="center"/>
          </w:tcPr>
          <w:p w:rsidR="000938C1" w:rsidRPr="00354949" w:rsidRDefault="000938C1" w:rsidP="00246730">
            <w:pPr>
              <w:jc w:val="center"/>
              <w:rPr>
                <w:color w:val="000000"/>
              </w:rPr>
            </w:pPr>
            <w:r w:rsidRPr="00354949">
              <w:rPr>
                <w:color w:val="000000"/>
                <w:sz w:val="22"/>
                <w:szCs w:val="22"/>
              </w:rPr>
              <w:t>ЕФГЗ</w:t>
            </w:r>
          </w:p>
        </w:tc>
        <w:tc>
          <w:tcPr>
            <w:tcW w:w="1096" w:type="dxa"/>
            <w:tcBorders>
              <w:top w:val="nil"/>
              <w:left w:val="nil"/>
              <w:bottom w:val="single" w:sz="4" w:space="0" w:color="auto"/>
              <w:right w:val="single" w:sz="4" w:space="0" w:color="auto"/>
            </w:tcBorders>
            <w:shd w:val="clear" w:color="auto" w:fill="C0C0C0"/>
            <w:vAlign w:val="center"/>
          </w:tcPr>
          <w:p w:rsidR="000938C1" w:rsidRPr="00354949" w:rsidRDefault="000938C1" w:rsidP="00246730">
            <w:pPr>
              <w:jc w:val="center"/>
              <w:rPr>
                <w:color w:val="000000"/>
              </w:rPr>
            </w:pPr>
            <w:r w:rsidRPr="00354949">
              <w:rPr>
                <w:color w:val="000000"/>
                <w:sz w:val="22"/>
                <w:szCs w:val="22"/>
              </w:rPr>
              <w:t>ЕЗФРСР</w:t>
            </w:r>
          </w:p>
        </w:tc>
        <w:tc>
          <w:tcPr>
            <w:tcW w:w="1169" w:type="dxa"/>
            <w:tcBorders>
              <w:top w:val="nil"/>
              <w:left w:val="nil"/>
              <w:bottom w:val="single" w:sz="4" w:space="0" w:color="auto"/>
              <w:right w:val="single" w:sz="4" w:space="0" w:color="auto"/>
            </w:tcBorders>
            <w:shd w:val="clear" w:color="auto" w:fill="C0C0C0"/>
            <w:vAlign w:val="center"/>
          </w:tcPr>
          <w:p w:rsidR="000938C1" w:rsidRPr="00354949" w:rsidRDefault="000938C1" w:rsidP="00246730">
            <w:pPr>
              <w:jc w:val="center"/>
              <w:rPr>
                <w:color w:val="000000"/>
              </w:rPr>
            </w:pPr>
            <w:r w:rsidRPr="00354949">
              <w:rPr>
                <w:color w:val="000000"/>
                <w:sz w:val="22"/>
                <w:szCs w:val="22"/>
              </w:rPr>
              <w:t>НБ</w:t>
            </w:r>
          </w:p>
        </w:tc>
        <w:tc>
          <w:tcPr>
            <w:tcW w:w="1901" w:type="dxa"/>
            <w:vMerge/>
            <w:tcBorders>
              <w:top w:val="nil"/>
              <w:left w:val="single" w:sz="4" w:space="0" w:color="auto"/>
              <w:bottom w:val="single" w:sz="4" w:space="0" w:color="auto"/>
              <w:right w:val="single" w:sz="4" w:space="0" w:color="auto"/>
            </w:tcBorders>
            <w:vAlign w:val="center"/>
          </w:tcPr>
          <w:p w:rsidR="000938C1" w:rsidRPr="00354949" w:rsidRDefault="000938C1" w:rsidP="00246730">
            <w:pPr>
              <w:rPr>
                <w:color w:val="000000"/>
              </w:rPr>
            </w:pP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СЕПП</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87 841</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87 538</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958,50</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СНДП</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69 522</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69 329</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28,68</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НДЖ1</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7 885</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7 874</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61,06</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НДЖ3</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6 671</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6 661</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34,44</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НДК</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4 110</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4 099</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3,81</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НДКМ1</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3 436</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3 430</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14,63</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НДКМ2</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1 440</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1 437</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9,51</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НДКМ3</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678</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673</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12,42</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НДЖ4</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1 228</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1 228</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1,07</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НДЖ5</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1 965</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1 959</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901" w:type="dxa"/>
            <w:tcBorders>
              <w:top w:val="nil"/>
              <w:left w:val="nil"/>
              <w:bottom w:val="single" w:sz="4" w:space="0" w:color="auto"/>
              <w:right w:val="single" w:sz="4" w:space="0" w:color="auto"/>
            </w:tcBorders>
            <w:shd w:val="clear" w:color="auto" w:fill="FFFFFF"/>
            <w:vAlign w:val="center"/>
          </w:tcPr>
          <w:p w:rsidR="000938C1" w:rsidRPr="00354949" w:rsidRDefault="000938C1" w:rsidP="00C85B2B">
            <w:pPr>
              <w:jc w:val="right"/>
            </w:pPr>
            <w:r w:rsidRPr="00354949">
              <w:rPr>
                <w:sz w:val="22"/>
                <w:szCs w:val="22"/>
              </w:rPr>
              <w:t>1,34</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СППЗ</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1 529</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0</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0,00</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ЯМ</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98</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0</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0,00</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НДТ</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41 706</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35 148</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100</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11,49</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НР1</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29 391</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29 210</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82</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18</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52,12</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НР2</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11 981</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11 881</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82</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18</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16,82</w:t>
            </w:r>
          </w:p>
        </w:tc>
      </w:tr>
      <w:tr w:rsidR="000938C1" w:rsidRPr="00354949" w:rsidTr="00246730">
        <w:trPr>
          <w:trHeight w:val="297"/>
        </w:trPr>
        <w:tc>
          <w:tcPr>
            <w:tcW w:w="1352" w:type="dxa"/>
            <w:tcBorders>
              <w:top w:val="nil"/>
              <w:left w:val="single" w:sz="4" w:space="0" w:color="auto"/>
              <w:bottom w:val="single" w:sz="4"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Натура 2000</w:t>
            </w:r>
          </w:p>
        </w:tc>
        <w:tc>
          <w:tcPr>
            <w:tcW w:w="137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6 001</w:t>
            </w:r>
          </w:p>
        </w:tc>
        <w:tc>
          <w:tcPr>
            <w:tcW w:w="148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5 914</w:t>
            </w:r>
          </w:p>
        </w:tc>
        <w:tc>
          <w:tcPr>
            <w:tcW w:w="1060"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82</w:t>
            </w:r>
          </w:p>
        </w:tc>
        <w:tc>
          <w:tcPr>
            <w:tcW w:w="1169"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18</w:t>
            </w:r>
          </w:p>
        </w:tc>
        <w:tc>
          <w:tcPr>
            <w:tcW w:w="1901" w:type="dxa"/>
            <w:tcBorders>
              <w:top w:val="nil"/>
              <w:left w:val="nil"/>
              <w:bottom w:val="single" w:sz="4"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29,52</w:t>
            </w:r>
          </w:p>
        </w:tc>
      </w:tr>
      <w:tr w:rsidR="000938C1" w:rsidRPr="00354949" w:rsidTr="00246730">
        <w:trPr>
          <w:trHeight w:val="312"/>
        </w:trPr>
        <w:tc>
          <w:tcPr>
            <w:tcW w:w="1352" w:type="dxa"/>
            <w:tcBorders>
              <w:top w:val="nil"/>
              <w:left w:val="single" w:sz="4" w:space="0" w:color="auto"/>
              <w:bottom w:val="double" w:sz="6" w:space="0" w:color="auto"/>
              <w:right w:val="single" w:sz="4" w:space="0" w:color="auto"/>
            </w:tcBorders>
            <w:shd w:val="clear" w:color="auto" w:fill="FFFFFF"/>
            <w:vAlign w:val="bottom"/>
          </w:tcPr>
          <w:p w:rsidR="000938C1" w:rsidRPr="00354949" w:rsidRDefault="000938C1" w:rsidP="00246730">
            <w:pPr>
              <w:jc w:val="center"/>
            </w:pPr>
            <w:r w:rsidRPr="00354949">
              <w:rPr>
                <w:sz w:val="22"/>
                <w:szCs w:val="22"/>
              </w:rPr>
              <w:t>АЕП</w:t>
            </w:r>
          </w:p>
        </w:tc>
        <w:tc>
          <w:tcPr>
            <w:tcW w:w="1370" w:type="dxa"/>
            <w:tcBorders>
              <w:top w:val="nil"/>
              <w:left w:val="nil"/>
              <w:bottom w:val="double" w:sz="6"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5 180</w:t>
            </w:r>
          </w:p>
        </w:tc>
        <w:tc>
          <w:tcPr>
            <w:tcW w:w="1480" w:type="dxa"/>
            <w:tcBorders>
              <w:top w:val="nil"/>
              <w:left w:val="nil"/>
              <w:bottom w:val="double" w:sz="6"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4 890</w:t>
            </w:r>
          </w:p>
        </w:tc>
        <w:tc>
          <w:tcPr>
            <w:tcW w:w="1060" w:type="dxa"/>
            <w:tcBorders>
              <w:top w:val="nil"/>
              <w:left w:val="nil"/>
              <w:bottom w:val="double" w:sz="6"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w:t>
            </w:r>
          </w:p>
        </w:tc>
        <w:tc>
          <w:tcPr>
            <w:tcW w:w="1096" w:type="dxa"/>
            <w:tcBorders>
              <w:top w:val="nil"/>
              <w:left w:val="nil"/>
              <w:bottom w:val="double" w:sz="6"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82</w:t>
            </w:r>
          </w:p>
        </w:tc>
        <w:tc>
          <w:tcPr>
            <w:tcW w:w="1169" w:type="dxa"/>
            <w:tcBorders>
              <w:top w:val="nil"/>
              <w:left w:val="nil"/>
              <w:bottom w:val="double" w:sz="6"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18</w:t>
            </w:r>
          </w:p>
        </w:tc>
        <w:tc>
          <w:tcPr>
            <w:tcW w:w="1901" w:type="dxa"/>
            <w:tcBorders>
              <w:top w:val="nil"/>
              <w:left w:val="nil"/>
              <w:bottom w:val="double" w:sz="6" w:space="0" w:color="auto"/>
              <w:right w:val="single" w:sz="4" w:space="0" w:color="auto"/>
            </w:tcBorders>
            <w:shd w:val="clear" w:color="auto" w:fill="FFFFFF"/>
            <w:vAlign w:val="bottom"/>
          </w:tcPr>
          <w:p w:rsidR="000938C1" w:rsidRPr="00354949" w:rsidRDefault="000938C1" w:rsidP="00C85B2B">
            <w:pPr>
              <w:jc w:val="right"/>
            </w:pPr>
            <w:r w:rsidRPr="00354949">
              <w:rPr>
                <w:sz w:val="22"/>
                <w:szCs w:val="22"/>
              </w:rPr>
              <w:t>274,63</w:t>
            </w:r>
          </w:p>
        </w:tc>
      </w:tr>
      <w:tr w:rsidR="000938C1" w:rsidRPr="00354949" w:rsidTr="00246730">
        <w:trPr>
          <w:trHeight w:val="375"/>
        </w:trPr>
        <w:tc>
          <w:tcPr>
            <w:tcW w:w="1352" w:type="dxa"/>
            <w:tcBorders>
              <w:top w:val="nil"/>
              <w:left w:val="nil"/>
              <w:bottom w:val="nil"/>
              <w:right w:val="nil"/>
            </w:tcBorders>
            <w:noWrap/>
            <w:vAlign w:val="bottom"/>
          </w:tcPr>
          <w:p w:rsidR="000938C1" w:rsidRPr="00354949" w:rsidRDefault="000938C1" w:rsidP="00246730">
            <w:pPr>
              <w:spacing w:before="120"/>
              <w:rPr>
                <w:color w:val="000000"/>
              </w:rPr>
            </w:pPr>
          </w:p>
        </w:tc>
        <w:tc>
          <w:tcPr>
            <w:tcW w:w="1370" w:type="dxa"/>
            <w:tcBorders>
              <w:top w:val="nil"/>
              <w:left w:val="nil"/>
              <w:bottom w:val="nil"/>
              <w:right w:val="nil"/>
            </w:tcBorders>
            <w:noWrap/>
            <w:vAlign w:val="bottom"/>
          </w:tcPr>
          <w:p w:rsidR="000938C1" w:rsidRPr="00354949" w:rsidRDefault="000938C1" w:rsidP="00C85B2B">
            <w:pPr>
              <w:jc w:val="right"/>
              <w:rPr>
                <w:color w:val="000000"/>
              </w:rPr>
            </w:pPr>
          </w:p>
        </w:tc>
        <w:tc>
          <w:tcPr>
            <w:tcW w:w="1480" w:type="dxa"/>
            <w:tcBorders>
              <w:top w:val="nil"/>
              <w:left w:val="nil"/>
              <w:bottom w:val="nil"/>
              <w:right w:val="nil"/>
            </w:tcBorders>
            <w:noWrap/>
            <w:vAlign w:val="bottom"/>
          </w:tcPr>
          <w:p w:rsidR="000938C1" w:rsidRPr="00354949" w:rsidRDefault="000938C1" w:rsidP="00C85B2B">
            <w:pPr>
              <w:jc w:val="right"/>
              <w:rPr>
                <w:color w:val="000000"/>
              </w:rPr>
            </w:pPr>
          </w:p>
        </w:tc>
        <w:tc>
          <w:tcPr>
            <w:tcW w:w="1060" w:type="dxa"/>
            <w:tcBorders>
              <w:top w:val="nil"/>
              <w:left w:val="nil"/>
              <w:bottom w:val="nil"/>
              <w:right w:val="nil"/>
            </w:tcBorders>
            <w:noWrap/>
            <w:vAlign w:val="bottom"/>
          </w:tcPr>
          <w:p w:rsidR="000938C1" w:rsidRPr="00354949" w:rsidRDefault="000938C1" w:rsidP="00C85B2B">
            <w:pPr>
              <w:jc w:val="right"/>
              <w:rPr>
                <w:color w:val="000000"/>
              </w:rPr>
            </w:pPr>
          </w:p>
        </w:tc>
        <w:tc>
          <w:tcPr>
            <w:tcW w:w="1096" w:type="dxa"/>
            <w:tcBorders>
              <w:top w:val="nil"/>
              <w:left w:val="nil"/>
              <w:bottom w:val="nil"/>
              <w:right w:val="nil"/>
            </w:tcBorders>
            <w:noWrap/>
            <w:vAlign w:val="bottom"/>
          </w:tcPr>
          <w:p w:rsidR="000938C1" w:rsidRPr="00354949" w:rsidRDefault="000938C1" w:rsidP="00C85B2B">
            <w:pPr>
              <w:jc w:val="right"/>
              <w:rPr>
                <w:color w:val="000000"/>
              </w:rPr>
            </w:pPr>
          </w:p>
        </w:tc>
        <w:tc>
          <w:tcPr>
            <w:tcW w:w="1169" w:type="dxa"/>
            <w:tcBorders>
              <w:top w:val="nil"/>
              <w:left w:val="nil"/>
              <w:bottom w:val="nil"/>
              <w:right w:val="nil"/>
            </w:tcBorders>
            <w:noWrap/>
            <w:vAlign w:val="bottom"/>
          </w:tcPr>
          <w:p w:rsidR="000938C1" w:rsidRPr="00A3638A" w:rsidRDefault="000938C1" w:rsidP="00C85B2B">
            <w:pPr>
              <w:jc w:val="right"/>
              <w:rPr>
                <w:b/>
                <w:color w:val="000000"/>
              </w:rPr>
            </w:pPr>
            <w:r w:rsidRPr="00A3638A">
              <w:rPr>
                <w:b/>
                <w:color w:val="000000"/>
                <w:sz w:val="22"/>
                <w:szCs w:val="22"/>
              </w:rPr>
              <w:t>Общо:</w:t>
            </w:r>
          </w:p>
        </w:tc>
        <w:tc>
          <w:tcPr>
            <w:tcW w:w="1901" w:type="dxa"/>
            <w:tcBorders>
              <w:top w:val="nil"/>
              <w:left w:val="single" w:sz="4" w:space="0" w:color="auto"/>
              <w:bottom w:val="single" w:sz="4" w:space="0" w:color="auto"/>
              <w:right w:val="single" w:sz="4" w:space="0" w:color="auto"/>
            </w:tcBorders>
            <w:shd w:val="clear" w:color="auto" w:fill="C0C0C0"/>
            <w:vAlign w:val="bottom"/>
          </w:tcPr>
          <w:p w:rsidR="000938C1" w:rsidRPr="00A3638A" w:rsidRDefault="000938C1" w:rsidP="00C85B2B">
            <w:pPr>
              <w:jc w:val="right"/>
              <w:rPr>
                <w:b/>
              </w:rPr>
            </w:pPr>
            <w:r w:rsidRPr="00A3638A">
              <w:rPr>
                <w:b/>
                <w:sz w:val="22"/>
                <w:szCs w:val="22"/>
              </w:rPr>
              <w:t>1 510,04</w:t>
            </w:r>
          </w:p>
        </w:tc>
      </w:tr>
      <w:tr w:rsidR="000938C1" w:rsidRPr="00354949" w:rsidTr="00246730">
        <w:trPr>
          <w:trHeight w:val="297"/>
        </w:trPr>
        <w:tc>
          <w:tcPr>
            <w:tcW w:w="9428" w:type="dxa"/>
            <w:gridSpan w:val="7"/>
            <w:tcBorders>
              <w:top w:val="nil"/>
              <w:left w:val="nil"/>
              <w:bottom w:val="nil"/>
              <w:right w:val="nil"/>
            </w:tcBorders>
            <w:noWrap/>
          </w:tcPr>
          <w:p w:rsidR="000938C1" w:rsidRDefault="000938C1" w:rsidP="00246730">
            <w:pPr>
              <w:rPr>
                <w:color w:val="000000"/>
                <w:sz w:val="20"/>
              </w:rPr>
            </w:pPr>
            <w:r>
              <w:rPr>
                <w:color w:val="000000"/>
                <w:sz w:val="20"/>
              </w:rPr>
              <w:t>*</w:t>
            </w:r>
            <w:r w:rsidRPr="00A3638A">
              <w:rPr>
                <w:color w:val="000000"/>
                <w:sz w:val="20"/>
              </w:rPr>
              <w:t>Към дата 27.03.2014 г. не са приключили всички плащания за кампания 2013 г.</w:t>
            </w:r>
          </w:p>
          <w:p w:rsidR="000938C1" w:rsidRPr="00A3638A" w:rsidRDefault="000938C1" w:rsidP="00246730">
            <w:pPr>
              <w:jc w:val="both"/>
              <w:rPr>
                <w:color w:val="000000"/>
                <w:sz w:val="20"/>
              </w:rPr>
            </w:pPr>
            <w:r>
              <w:rPr>
                <w:color w:val="000000"/>
                <w:sz w:val="20"/>
              </w:rPr>
              <w:t>**</w:t>
            </w:r>
            <w:r w:rsidRPr="00A3638A">
              <w:rPr>
                <w:color w:val="000000"/>
                <w:sz w:val="20"/>
              </w:rPr>
              <w:t>Оторизирана (одобрена) финансова помощ е сума, изчислена след извършване на всички проверки (административни и проверки на място), а изплатената сума е тази, която се получава след като се прихващат (удържат) от оторизираната сума евентуални задължения на кандидата. Размерът на оторизираната финансова помощ е различен от изплатения, в случай че кандидатът има наложени санкции за бъдещ период от предходни години, както и когато кандидатът има недължимо изплатени суми в предходни години, за които е уведомен по установения ред.</w:t>
            </w:r>
          </w:p>
        </w:tc>
      </w:tr>
    </w:tbl>
    <w:p w:rsidR="000938C1" w:rsidRDefault="000938C1" w:rsidP="004D5AAC">
      <w:pPr>
        <w:spacing w:before="120"/>
        <w:rPr>
          <w:i/>
          <w:sz w:val="20"/>
          <w:szCs w:val="16"/>
        </w:rPr>
      </w:pPr>
      <w:r w:rsidRPr="00311D50">
        <w:rPr>
          <w:i/>
          <w:sz w:val="20"/>
          <w:szCs w:val="16"/>
        </w:rPr>
        <w:t>Източник: ДФ„Земеделие”</w:t>
      </w:r>
    </w:p>
    <w:p w:rsidR="000938C1" w:rsidRDefault="000938C1" w:rsidP="004D5AAC">
      <w:pPr>
        <w:spacing w:before="120"/>
        <w:rPr>
          <w:i/>
          <w:sz w:val="20"/>
          <w:szCs w:val="16"/>
        </w:rPr>
      </w:pPr>
    </w:p>
    <w:p w:rsidR="000938C1" w:rsidRPr="00311D50" w:rsidRDefault="000938C1" w:rsidP="004D5AAC">
      <w:pPr>
        <w:spacing w:before="120"/>
        <w:rPr>
          <w:i/>
          <w:sz w:val="20"/>
          <w:szCs w:val="16"/>
        </w:rPr>
      </w:pPr>
    </w:p>
    <w:p w:rsidR="000938C1" w:rsidRPr="00CF1A14" w:rsidRDefault="000938C1" w:rsidP="004D5AAC">
      <w:pPr>
        <w:tabs>
          <w:tab w:val="left" w:pos="2985"/>
        </w:tabs>
        <w:autoSpaceDE w:val="0"/>
        <w:autoSpaceDN w:val="0"/>
        <w:adjustRightInd w:val="0"/>
        <w:rPr>
          <w:color w:val="0070C0"/>
          <w:sz w:val="10"/>
          <w:szCs w:val="10"/>
        </w:rPr>
      </w:pPr>
    </w:p>
    <w:p w:rsidR="000938C1" w:rsidRPr="008754B8" w:rsidRDefault="000938C1" w:rsidP="004D5AAC">
      <w:pPr>
        <w:tabs>
          <w:tab w:val="left" w:pos="2985"/>
        </w:tabs>
        <w:autoSpaceDE w:val="0"/>
        <w:autoSpaceDN w:val="0"/>
        <w:adjustRightInd w:val="0"/>
        <w:ind w:firstLine="720"/>
        <w:jc w:val="both"/>
        <w:rPr>
          <w:i/>
          <w:u w:val="single"/>
        </w:rPr>
      </w:pPr>
      <w:r w:rsidRPr="008754B8">
        <w:rPr>
          <w:b/>
          <w:i/>
          <w:u w:val="single"/>
        </w:rPr>
        <w:t>Селскостопанските пазарни механизми</w:t>
      </w:r>
    </w:p>
    <w:p w:rsidR="000938C1" w:rsidRPr="008754B8" w:rsidRDefault="000938C1" w:rsidP="004D5AAC">
      <w:pPr>
        <w:tabs>
          <w:tab w:val="left" w:pos="2985"/>
        </w:tabs>
        <w:autoSpaceDE w:val="0"/>
        <w:autoSpaceDN w:val="0"/>
        <w:adjustRightInd w:val="0"/>
        <w:ind w:firstLine="720"/>
        <w:jc w:val="both"/>
        <w:rPr>
          <w:color w:val="0070C0"/>
          <w:sz w:val="12"/>
          <w:szCs w:val="12"/>
        </w:rPr>
      </w:pPr>
    </w:p>
    <w:p w:rsidR="000938C1" w:rsidRDefault="000938C1" w:rsidP="004D5AAC">
      <w:pPr>
        <w:tabs>
          <w:tab w:val="left" w:pos="2985"/>
        </w:tabs>
        <w:autoSpaceDE w:val="0"/>
        <w:autoSpaceDN w:val="0"/>
        <w:adjustRightInd w:val="0"/>
        <w:ind w:firstLine="720"/>
        <w:jc w:val="both"/>
      </w:pPr>
      <w:r w:rsidRPr="00D36256">
        <w:t>По линия на</w:t>
      </w:r>
      <w:r>
        <w:t xml:space="preserve"> </w:t>
      </w:r>
      <w:r w:rsidRPr="007D7348">
        <w:t>селскостопанските пазарни механизми</w:t>
      </w:r>
      <w:r>
        <w:t xml:space="preserve"> </w:t>
      </w:r>
      <w:r w:rsidRPr="00715449">
        <w:t>по план сметка</w:t>
      </w:r>
      <w:r>
        <w:t>т</w:t>
      </w:r>
      <w:r w:rsidRPr="00715449">
        <w:t xml:space="preserve">а на </w:t>
      </w:r>
      <w:r w:rsidRPr="00721DE5">
        <w:t>ДФ</w:t>
      </w:r>
      <w:r>
        <w:t xml:space="preserve"> </w:t>
      </w:r>
      <w:r w:rsidRPr="00721DE5">
        <w:t>„Земеделие”</w:t>
      </w:r>
      <w:r w:rsidRPr="00715449">
        <w:t xml:space="preserve"> за</w:t>
      </w:r>
      <w:r>
        <w:t xml:space="preserve"> </w:t>
      </w:r>
      <w:r w:rsidRPr="00D36256">
        <w:t>201</w:t>
      </w:r>
      <w:r>
        <w:t>3</w:t>
      </w:r>
      <w:r w:rsidRPr="00D36256">
        <w:t xml:space="preserve"> г.</w:t>
      </w:r>
      <w:r>
        <w:t xml:space="preserve"> </w:t>
      </w:r>
      <w:r w:rsidRPr="00D36256">
        <w:t xml:space="preserve">са </w:t>
      </w:r>
      <w:r>
        <w:t xml:space="preserve">отчетени изплатени средства общо в размер на 106,3 </w:t>
      </w:r>
      <w:r w:rsidRPr="00014084">
        <w:t>млн. лв</w:t>
      </w:r>
      <w:r>
        <w:t>. (в т.ч. 89,5 млн. лв. за сметка на ЕФГЗ и 8,5 млн. лв. национално съфинансиране), при планирани 117,5 млн. лв. Други средства, включени в общата сума на изплатените средства, свързани с пазарните мерки са изплатените по национални програми средства за ДДС, които са в размер на 8,3 млн. лева.</w:t>
      </w:r>
    </w:p>
    <w:p w:rsidR="000938C1" w:rsidRDefault="000938C1" w:rsidP="004D5AAC">
      <w:pPr>
        <w:tabs>
          <w:tab w:val="left" w:pos="2985"/>
        </w:tabs>
        <w:autoSpaceDE w:val="0"/>
        <w:autoSpaceDN w:val="0"/>
        <w:adjustRightInd w:val="0"/>
        <w:ind w:firstLine="720"/>
        <w:jc w:val="both"/>
        <w:rPr>
          <w:lang w:val="en-US"/>
        </w:rPr>
      </w:pPr>
    </w:p>
    <w:p w:rsidR="000938C1" w:rsidRPr="00242E07" w:rsidRDefault="000938C1" w:rsidP="004D5AAC">
      <w:pPr>
        <w:tabs>
          <w:tab w:val="left" w:pos="2985"/>
        </w:tabs>
        <w:autoSpaceDE w:val="0"/>
        <w:autoSpaceDN w:val="0"/>
        <w:adjustRightInd w:val="0"/>
        <w:ind w:firstLine="720"/>
        <w:jc w:val="both"/>
        <w:rPr>
          <w:lang w:val="en-US"/>
        </w:rPr>
      </w:pPr>
    </w:p>
    <w:p w:rsidR="000938C1" w:rsidRDefault="000938C1" w:rsidP="004D5AAC">
      <w:pPr>
        <w:tabs>
          <w:tab w:val="left" w:pos="2985"/>
        </w:tabs>
        <w:autoSpaceDE w:val="0"/>
        <w:autoSpaceDN w:val="0"/>
        <w:adjustRightInd w:val="0"/>
        <w:ind w:firstLine="720"/>
        <w:jc w:val="both"/>
      </w:pPr>
    </w:p>
    <w:tbl>
      <w:tblPr>
        <w:tblW w:w="8085" w:type="dxa"/>
        <w:tblInd w:w="921" w:type="dxa"/>
        <w:tblLayout w:type="fixed"/>
        <w:tblCellMar>
          <w:left w:w="70" w:type="dxa"/>
          <w:right w:w="70" w:type="dxa"/>
        </w:tblCellMar>
        <w:tblLook w:val="0000"/>
      </w:tblPr>
      <w:tblGrid>
        <w:gridCol w:w="3889"/>
        <w:gridCol w:w="1307"/>
        <w:gridCol w:w="1307"/>
        <w:gridCol w:w="1582"/>
      </w:tblGrid>
      <w:tr w:rsidR="000938C1" w:rsidRPr="004D14CA" w:rsidTr="00246730">
        <w:trPr>
          <w:trHeight w:val="1113"/>
        </w:trPr>
        <w:tc>
          <w:tcPr>
            <w:tcW w:w="3889" w:type="dxa"/>
            <w:tcBorders>
              <w:top w:val="single" w:sz="4" w:space="0" w:color="auto"/>
              <w:left w:val="single" w:sz="4" w:space="0" w:color="auto"/>
              <w:bottom w:val="single" w:sz="4" w:space="0" w:color="auto"/>
              <w:right w:val="single" w:sz="4" w:space="0" w:color="auto"/>
            </w:tcBorders>
            <w:shd w:val="clear" w:color="auto" w:fill="C0C0C0"/>
            <w:vAlign w:val="center"/>
          </w:tcPr>
          <w:p w:rsidR="000938C1" w:rsidRPr="004D14CA" w:rsidRDefault="000938C1" w:rsidP="00246730">
            <w:pPr>
              <w:jc w:val="center"/>
              <w:rPr>
                <w:b/>
                <w:bCs/>
                <w:color w:val="000000"/>
                <w:sz w:val="20"/>
              </w:rPr>
            </w:pPr>
            <w:r w:rsidRPr="00A959E5">
              <w:rPr>
                <w:b/>
                <w:color w:val="000000"/>
                <w:sz w:val="20"/>
              </w:rPr>
              <w:t>СЕЛСКОСТОПАНСКИ ПАЗАРНИ МЕХАНИЗМИ</w:t>
            </w:r>
            <w:r w:rsidRPr="004D14CA">
              <w:rPr>
                <w:b/>
                <w:bCs/>
                <w:color w:val="000000"/>
                <w:sz w:val="20"/>
              </w:rPr>
              <w:t xml:space="preserve">СХЕМА/МЯРКА </w:t>
            </w:r>
          </w:p>
        </w:tc>
        <w:tc>
          <w:tcPr>
            <w:tcW w:w="1307" w:type="dxa"/>
            <w:tcBorders>
              <w:top w:val="single" w:sz="4" w:space="0" w:color="auto"/>
              <w:left w:val="nil"/>
              <w:bottom w:val="single" w:sz="4" w:space="0" w:color="auto"/>
              <w:right w:val="single" w:sz="4" w:space="0" w:color="auto"/>
            </w:tcBorders>
            <w:shd w:val="clear" w:color="auto" w:fill="C0C0C0"/>
            <w:vAlign w:val="center"/>
          </w:tcPr>
          <w:p w:rsidR="000938C1" w:rsidRPr="004D14CA" w:rsidRDefault="000938C1" w:rsidP="00246730">
            <w:pPr>
              <w:jc w:val="center"/>
              <w:rPr>
                <w:b/>
                <w:bCs/>
                <w:color w:val="000000"/>
                <w:sz w:val="20"/>
              </w:rPr>
            </w:pPr>
            <w:r w:rsidRPr="004D14CA">
              <w:rPr>
                <w:b/>
                <w:bCs/>
                <w:color w:val="000000"/>
                <w:sz w:val="20"/>
              </w:rPr>
              <w:t>Брой подадени заявления</w:t>
            </w:r>
          </w:p>
        </w:tc>
        <w:tc>
          <w:tcPr>
            <w:tcW w:w="1307" w:type="dxa"/>
            <w:tcBorders>
              <w:top w:val="single" w:sz="4" w:space="0" w:color="auto"/>
              <w:left w:val="nil"/>
              <w:bottom w:val="single" w:sz="4" w:space="0" w:color="auto"/>
              <w:right w:val="single" w:sz="4" w:space="0" w:color="auto"/>
            </w:tcBorders>
            <w:shd w:val="clear" w:color="auto" w:fill="C0C0C0"/>
            <w:vAlign w:val="center"/>
          </w:tcPr>
          <w:p w:rsidR="000938C1" w:rsidRPr="004D14CA" w:rsidRDefault="000938C1" w:rsidP="00246730">
            <w:pPr>
              <w:jc w:val="center"/>
              <w:rPr>
                <w:b/>
                <w:bCs/>
                <w:color w:val="000000"/>
                <w:sz w:val="20"/>
              </w:rPr>
            </w:pPr>
            <w:r w:rsidRPr="004D14CA">
              <w:rPr>
                <w:b/>
                <w:bCs/>
                <w:color w:val="000000"/>
                <w:sz w:val="20"/>
              </w:rPr>
              <w:t xml:space="preserve">Брой </w:t>
            </w:r>
            <w:r w:rsidRPr="000C24F4">
              <w:rPr>
                <w:b/>
                <w:bCs/>
                <w:color w:val="000000"/>
                <w:sz w:val="18"/>
                <w:szCs w:val="18"/>
              </w:rPr>
              <w:t>одобрени заявления</w:t>
            </w:r>
            <w:r>
              <w:rPr>
                <w:b/>
                <w:bCs/>
                <w:color w:val="000000"/>
                <w:sz w:val="18"/>
                <w:szCs w:val="18"/>
              </w:rPr>
              <w:t xml:space="preserve"> *</w:t>
            </w:r>
          </w:p>
        </w:tc>
        <w:tc>
          <w:tcPr>
            <w:tcW w:w="1582" w:type="dxa"/>
            <w:tcBorders>
              <w:top w:val="single" w:sz="4" w:space="0" w:color="auto"/>
              <w:left w:val="nil"/>
              <w:bottom w:val="single" w:sz="4" w:space="0" w:color="auto"/>
              <w:right w:val="single" w:sz="4" w:space="0" w:color="auto"/>
            </w:tcBorders>
            <w:shd w:val="clear" w:color="auto" w:fill="C0C0C0"/>
            <w:vAlign w:val="center"/>
          </w:tcPr>
          <w:p w:rsidR="000938C1" w:rsidRPr="004D14CA" w:rsidRDefault="000938C1" w:rsidP="00246730">
            <w:pPr>
              <w:jc w:val="center"/>
              <w:rPr>
                <w:b/>
                <w:bCs/>
                <w:color w:val="000000"/>
                <w:sz w:val="20"/>
              </w:rPr>
            </w:pPr>
            <w:r w:rsidRPr="004D14CA">
              <w:rPr>
                <w:b/>
                <w:bCs/>
                <w:color w:val="000000"/>
                <w:sz w:val="20"/>
              </w:rPr>
              <w:t xml:space="preserve">Размер на </w:t>
            </w:r>
            <w:r w:rsidRPr="000C24F4">
              <w:rPr>
                <w:b/>
                <w:bCs/>
                <w:color w:val="000000"/>
                <w:sz w:val="18"/>
                <w:szCs w:val="18"/>
              </w:rPr>
              <w:t>договорирани</w:t>
            </w:r>
            <w:r w:rsidRPr="004D14CA">
              <w:rPr>
                <w:b/>
                <w:bCs/>
                <w:color w:val="000000"/>
                <w:sz w:val="20"/>
              </w:rPr>
              <w:t xml:space="preserve"> средства </w:t>
            </w:r>
            <w:r w:rsidRPr="004D14CA">
              <w:rPr>
                <w:b/>
                <w:bCs/>
                <w:color w:val="000000"/>
                <w:sz w:val="20"/>
              </w:rPr>
              <w:br/>
              <w:t>в млн. лв.</w:t>
            </w:r>
          </w:p>
        </w:tc>
      </w:tr>
      <w:tr w:rsidR="000938C1" w:rsidRPr="004D14CA" w:rsidTr="00246730">
        <w:trPr>
          <w:trHeight w:val="467"/>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Преструктуриране и конверсия на винени лозя</w:t>
            </w:r>
          </w:p>
        </w:tc>
        <w:tc>
          <w:tcPr>
            <w:tcW w:w="1307" w:type="dxa"/>
            <w:tcBorders>
              <w:top w:val="nil"/>
              <w:left w:val="single" w:sz="4" w:space="0" w:color="auto"/>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148</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148</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42,42</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Застраховки на реколта</w:t>
            </w:r>
          </w:p>
        </w:tc>
        <w:tc>
          <w:tcPr>
            <w:tcW w:w="1307" w:type="dxa"/>
            <w:tcBorders>
              <w:top w:val="nil"/>
              <w:left w:val="single" w:sz="4" w:space="0" w:color="auto"/>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64</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64</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н/п</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shd w:val="clear" w:color="auto" w:fill="FFFFFF"/>
            <w:vAlign w:val="center"/>
          </w:tcPr>
          <w:p w:rsidR="000938C1" w:rsidRPr="004D14CA" w:rsidRDefault="000938C1" w:rsidP="00246730">
            <w:r w:rsidRPr="004D14CA">
              <w:rPr>
                <w:sz w:val="22"/>
                <w:szCs w:val="22"/>
              </w:rPr>
              <w:t>Изплащане на възстановявания при износ</w:t>
            </w:r>
          </w:p>
        </w:tc>
        <w:tc>
          <w:tcPr>
            <w:tcW w:w="1307" w:type="dxa"/>
            <w:tcBorders>
              <w:top w:val="nil"/>
              <w:left w:val="single" w:sz="4" w:space="0" w:color="auto"/>
              <w:bottom w:val="single" w:sz="4" w:space="0" w:color="auto"/>
              <w:right w:val="nil"/>
            </w:tcBorders>
            <w:noWrap/>
            <w:vAlign w:val="center"/>
          </w:tcPr>
          <w:p w:rsidR="000938C1" w:rsidRPr="004D14CA" w:rsidRDefault="000938C1" w:rsidP="00246730">
            <w:pPr>
              <w:jc w:val="center"/>
              <w:rPr>
                <w:color w:val="000000"/>
              </w:rPr>
            </w:pPr>
            <w:r w:rsidRPr="004D14CA">
              <w:rPr>
                <w:color w:val="000000"/>
                <w:sz w:val="22"/>
                <w:szCs w:val="22"/>
              </w:rPr>
              <w:t>54</w:t>
            </w:r>
          </w:p>
        </w:tc>
        <w:tc>
          <w:tcPr>
            <w:tcW w:w="1307" w:type="dxa"/>
            <w:tcBorders>
              <w:top w:val="nil"/>
              <w:left w:val="single" w:sz="4" w:space="0" w:color="auto"/>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59 **</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0,14</w:t>
            </w:r>
          </w:p>
        </w:tc>
      </w:tr>
      <w:tr w:rsidR="000938C1" w:rsidRPr="004D14CA" w:rsidTr="00246730">
        <w:trPr>
          <w:trHeight w:val="424"/>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Национална програма по пчеларство за тригодишния период 2011-2013 - мярка В, С, Д и Е.</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934</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934</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7,84</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Училищно мляко</w:t>
            </w:r>
          </w:p>
        </w:tc>
        <w:tc>
          <w:tcPr>
            <w:tcW w:w="1307" w:type="dxa"/>
            <w:tcBorders>
              <w:top w:val="nil"/>
              <w:left w:val="single" w:sz="4" w:space="0" w:color="auto"/>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26</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25</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н/п</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 xml:space="preserve">Групи производители </w:t>
            </w:r>
          </w:p>
        </w:tc>
        <w:tc>
          <w:tcPr>
            <w:tcW w:w="1307" w:type="dxa"/>
            <w:tcBorders>
              <w:top w:val="nil"/>
              <w:left w:val="single" w:sz="4" w:space="0" w:color="auto"/>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12</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2</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30,98</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 xml:space="preserve">Училищен плод </w:t>
            </w:r>
          </w:p>
        </w:tc>
        <w:tc>
          <w:tcPr>
            <w:tcW w:w="1307" w:type="dxa"/>
            <w:tcBorders>
              <w:top w:val="nil"/>
              <w:left w:val="single" w:sz="4" w:space="0" w:color="auto"/>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405</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405</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4,37</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Училищен плод - информационни дейности</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1</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1</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0,001</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Благотворителност</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15</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15</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36,65</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shd w:val="clear" w:color="auto" w:fill="FFFFFF"/>
            <w:vAlign w:val="center"/>
          </w:tcPr>
          <w:p w:rsidR="000938C1" w:rsidRPr="004D14CA" w:rsidRDefault="000938C1" w:rsidP="00246730">
            <w:r w:rsidRPr="004D14CA">
              <w:rPr>
                <w:sz w:val="22"/>
                <w:szCs w:val="22"/>
              </w:rPr>
              <w:t xml:space="preserve">"Промоционални програми" </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3 ***</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3 ***</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9,72</w:t>
            </w:r>
          </w:p>
        </w:tc>
      </w:tr>
      <w:tr w:rsidR="000938C1" w:rsidRPr="004D14CA" w:rsidTr="00246730">
        <w:trPr>
          <w:trHeight w:val="668"/>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 xml:space="preserve">"Промоции в трети страни" от "Национална програма за подпомагане на лозаро-винарския сектор 2008/2009 – 2013/2014 г.”  </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0</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1</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3,97</w:t>
            </w:r>
          </w:p>
        </w:tc>
      </w:tr>
      <w:tr w:rsidR="000938C1" w:rsidRPr="004D14CA" w:rsidTr="00246730">
        <w:trPr>
          <w:trHeight w:val="445"/>
        </w:trPr>
        <w:tc>
          <w:tcPr>
            <w:tcW w:w="3889" w:type="dxa"/>
            <w:tcBorders>
              <w:top w:val="nil"/>
              <w:left w:val="single" w:sz="4" w:space="0" w:color="auto"/>
              <w:bottom w:val="single" w:sz="4" w:space="0" w:color="auto"/>
              <w:right w:val="single" w:sz="4" w:space="0" w:color="auto"/>
            </w:tcBorders>
            <w:vAlign w:val="center"/>
          </w:tcPr>
          <w:p w:rsidR="000938C1" w:rsidRPr="004D14CA" w:rsidRDefault="000938C1" w:rsidP="00246730">
            <w:r w:rsidRPr="004D14CA">
              <w:rPr>
                <w:sz w:val="22"/>
                <w:szCs w:val="22"/>
              </w:rPr>
              <w:t>Национална програма по пчеларство за тригодишния период 2011-2013 - мярка А</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6</w:t>
            </w:r>
          </w:p>
        </w:tc>
        <w:tc>
          <w:tcPr>
            <w:tcW w:w="1307"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3</w:t>
            </w:r>
          </w:p>
        </w:tc>
        <w:tc>
          <w:tcPr>
            <w:tcW w:w="1582" w:type="dxa"/>
            <w:tcBorders>
              <w:top w:val="nil"/>
              <w:left w:val="nil"/>
              <w:bottom w:val="single" w:sz="4" w:space="0" w:color="auto"/>
              <w:right w:val="single" w:sz="4" w:space="0" w:color="auto"/>
            </w:tcBorders>
            <w:noWrap/>
            <w:vAlign w:val="center"/>
          </w:tcPr>
          <w:p w:rsidR="000938C1" w:rsidRPr="004D14CA" w:rsidRDefault="000938C1" w:rsidP="00246730">
            <w:pPr>
              <w:jc w:val="center"/>
              <w:rPr>
                <w:color w:val="000000"/>
              </w:rPr>
            </w:pPr>
            <w:r w:rsidRPr="004D14CA">
              <w:rPr>
                <w:color w:val="000000"/>
                <w:sz w:val="22"/>
                <w:szCs w:val="22"/>
              </w:rPr>
              <w:t>0,18</w:t>
            </w:r>
          </w:p>
        </w:tc>
      </w:tr>
      <w:tr w:rsidR="000938C1" w:rsidRPr="004D14CA" w:rsidTr="00246730">
        <w:trPr>
          <w:trHeight w:val="223"/>
        </w:trPr>
        <w:tc>
          <w:tcPr>
            <w:tcW w:w="3889" w:type="dxa"/>
            <w:tcBorders>
              <w:top w:val="nil"/>
              <w:left w:val="single" w:sz="4" w:space="0" w:color="auto"/>
              <w:bottom w:val="single" w:sz="4" w:space="0" w:color="auto"/>
              <w:right w:val="single" w:sz="4" w:space="0" w:color="auto"/>
            </w:tcBorders>
            <w:shd w:val="clear" w:color="auto" w:fill="C0C0C0"/>
            <w:vAlign w:val="center"/>
          </w:tcPr>
          <w:p w:rsidR="000938C1" w:rsidRPr="004D14CA" w:rsidRDefault="000938C1" w:rsidP="00246730">
            <w:pPr>
              <w:rPr>
                <w:b/>
                <w:bCs/>
              </w:rPr>
            </w:pPr>
            <w:r w:rsidRPr="004D14CA">
              <w:rPr>
                <w:b/>
                <w:bCs/>
                <w:sz w:val="22"/>
                <w:szCs w:val="22"/>
              </w:rPr>
              <w:t>ОБЩО</w:t>
            </w:r>
          </w:p>
        </w:tc>
        <w:tc>
          <w:tcPr>
            <w:tcW w:w="1307" w:type="dxa"/>
            <w:tcBorders>
              <w:top w:val="nil"/>
              <w:left w:val="nil"/>
              <w:bottom w:val="single" w:sz="4" w:space="0" w:color="auto"/>
              <w:right w:val="single" w:sz="4" w:space="0" w:color="auto"/>
            </w:tcBorders>
            <w:shd w:val="clear" w:color="auto" w:fill="C0C0C0"/>
            <w:noWrap/>
            <w:vAlign w:val="center"/>
          </w:tcPr>
          <w:p w:rsidR="000938C1" w:rsidRPr="004D14CA" w:rsidRDefault="000938C1" w:rsidP="00246730">
            <w:pPr>
              <w:jc w:val="center"/>
              <w:rPr>
                <w:b/>
                <w:bCs/>
                <w:color w:val="000000"/>
              </w:rPr>
            </w:pPr>
            <w:r w:rsidRPr="004D14CA">
              <w:rPr>
                <w:b/>
                <w:bCs/>
                <w:color w:val="000000"/>
                <w:sz w:val="22"/>
                <w:szCs w:val="22"/>
              </w:rPr>
              <w:t>1 665</w:t>
            </w:r>
          </w:p>
        </w:tc>
        <w:tc>
          <w:tcPr>
            <w:tcW w:w="1307" w:type="dxa"/>
            <w:tcBorders>
              <w:top w:val="nil"/>
              <w:left w:val="nil"/>
              <w:bottom w:val="single" w:sz="4" w:space="0" w:color="auto"/>
              <w:right w:val="single" w:sz="4" w:space="0" w:color="auto"/>
            </w:tcBorders>
            <w:shd w:val="clear" w:color="auto" w:fill="C0C0C0"/>
            <w:noWrap/>
            <w:vAlign w:val="center"/>
          </w:tcPr>
          <w:p w:rsidR="000938C1" w:rsidRPr="004D14CA" w:rsidRDefault="000938C1" w:rsidP="00246730">
            <w:pPr>
              <w:jc w:val="center"/>
              <w:rPr>
                <w:b/>
                <w:bCs/>
                <w:color w:val="000000"/>
              </w:rPr>
            </w:pPr>
            <w:r w:rsidRPr="004D14CA">
              <w:rPr>
                <w:b/>
                <w:bCs/>
                <w:color w:val="000000"/>
                <w:sz w:val="22"/>
                <w:szCs w:val="22"/>
              </w:rPr>
              <w:t>1 598</w:t>
            </w:r>
          </w:p>
        </w:tc>
        <w:tc>
          <w:tcPr>
            <w:tcW w:w="1582" w:type="dxa"/>
            <w:tcBorders>
              <w:top w:val="nil"/>
              <w:left w:val="nil"/>
              <w:bottom w:val="single" w:sz="4" w:space="0" w:color="auto"/>
              <w:right w:val="single" w:sz="4" w:space="0" w:color="auto"/>
            </w:tcBorders>
            <w:shd w:val="clear" w:color="auto" w:fill="C0C0C0"/>
            <w:noWrap/>
            <w:vAlign w:val="center"/>
          </w:tcPr>
          <w:p w:rsidR="000938C1" w:rsidRPr="004D14CA" w:rsidRDefault="000938C1" w:rsidP="00246730">
            <w:pPr>
              <w:jc w:val="center"/>
              <w:rPr>
                <w:b/>
                <w:bCs/>
                <w:color w:val="000000"/>
              </w:rPr>
            </w:pPr>
            <w:r w:rsidRPr="004D14CA">
              <w:rPr>
                <w:b/>
                <w:bCs/>
                <w:color w:val="000000"/>
                <w:sz w:val="22"/>
                <w:szCs w:val="22"/>
              </w:rPr>
              <w:t>136,27</w:t>
            </w:r>
          </w:p>
        </w:tc>
      </w:tr>
    </w:tbl>
    <w:p w:rsidR="000938C1" w:rsidRDefault="000938C1" w:rsidP="004D5AAC">
      <w:pPr>
        <w:ind w:left="851" w:firstLine="45"/>
        <w:rPr>
          <w:color w:val="000000"/>
          <w:sz w:val="20"/>
        </w:rPr>
      </w:pPr>
      <w:r w:rsidRPr="004439B3">
        <w:rPr>
          <w:color w:val="000000"/>
          <w:sz w:val="20"/>
        </w:rPr>
        <w:t>* Общ брой оторизирани заявления за плащане по одобрени заявления за подпомагане (не включва обработените с откази плащания).</w:t>
      </w:r>
    </w:p>
    <w:tbl>
      <w:tblPr>
        <w:tblW w:w="13251" w:type="dxa"/>
        <w:tblInd w:w="-101" w:type="dxa"/>
        <w:tblLayout w:type="fixed"/>
        <w:tblCellMar>
          <w:left w:w="70" w:type="dxa"/>
          <w:right w:w="70" w:type="dxa"/>
        </w:tblCellMar>
        <w:tblLook w:val="0000"/>
      </w:tblPr>
      <w:tblGrid>
        <w:gridCol w:w="9178"/>
        <w:gridCol w:w="740"/>
        <w:gridCol w:w="3013"/>
        <w:gridCol w:w="160"/>
        <w:gridCol w:w="160"/>
      </w:tblGrid>
      <w:tr w:rsidR="000938C1" w:rsidRPr="004439B3" w:rsidTr="00246730">
        <w:trPr>
          <w:trHeight w:val="300"/>
        </w:trPr>
        <w:tc>
          <w:tcPr>
            <w:tcW w:w="9178" w:type="dxa"/>
            <w:tcBorders>
              <w:top w:val="nil"/>
              <w:left w:val="nil"/>
              <w:bottom w:val="nil"/>
              <w:right w:val="nil"/>
            </w:tcBorders>
            <w:noWrap/>
            <w:vAlign w:val="bottom"/>
          </w:tcPr>
          <w:p w:rsidR="000938C1" w:rsidRPr="004439B3" w:rsidRDefault="000938C1" w:rsidP="00246730">
            <w:pPr>
              <w:ind w:firstLine="952"/>
              <w:rPr>
                <w:color w:val="000000"/>
                <w:sz w:val="20"/>
              </w:rPr>
            </w:pPr>
            <w:r w:rsidRPr="004439B3">
              <w:rPr>
                <w:color w:val="000000"/>
                <w:sz w:val="20"/>
              </w:rPr>
              <w:t xml:space="preserve">** Брой платени заявления, които включват и подадени заявления през 2012 г.  </w:t>
            </w:r>
          </w:p>
        </w:tc>
        <w:tc>
          <w:tcPr>
            <w:tcW w:w="740" w:type="dxa"/>
            <w:tcBorders>
              <w:top w:val="nil"/>
              <w:left w:val="nil"/>
              <w:bottom w:val="nil"/>
              <w:right w:val="nil"/>
            </w:tcBorders>
            <w:noWrap/>
            <w:vAlign w:val="bottom"/>
          </w:tcPr>
          <w:p w:rsidR="000938C1" w:rsidRPr="004439B3" w:rsidRDefault="000938C1" w:rsidP="00246730">
            <w:pPr>
              <w:ind w:firstLine="709"/>
              <w:rPr>
                <w:color w:val="000000"/>
                <w:sz w:val="20"/>
              </w:rPr>
            </w:pPr>
          </w:p>
        </w:tc>
        <w:tc>
          <w:tcPr>
            <w:tcW w:w="3013" w:type="dxa"/>
            <w:tcBorders>
              <w:top w:val="nil"/>
              <w:left w:val="nil"/>
              <w:bottom w:val="nil"/>
              <w:right w:val="nil"/>
            </w:tcBorders>
            <w:noWrap/>
            <w:vAlign w:val="bottom"/>
          </w:tcPr>
          <w:p w:rsidR="000938C1" w:rsidRPr="004439B3" w:rsidRDefault="000938C1" w:rsidP="00246730">
            <w:pPr>
              <w:ind w:firstLine="709"/>
              <w:rPr>
                <w:color w:val="000000"/>
                <w:sz w:val="20"/>
              </w:rPr>
            </w:pPr>
          </w:p>
        </w:tc>
        <w:tc>
          <w:tcPr>
            <w:tcW w:w="160" w:type="dxa"/>
            <w:tcBorders>
              <w:top w:val="nil"/>
              <w:left w:val="nil"/>
              <w:bottom w:val="nil"/>
              <w:right w:val="nil"/>
            </w:tcBorders>
            <w:noWrap/>
            <w:vAlign w:val="bottom"/>
          </w:tcPr>
          <w:p w:rsidR="000938C1" w:rsidRPr="004439B3" w:rsidRDefault="000938C1" w:rsidP="00246730">
            <w:pPr>
              <w:ind w:firstLine="709"/>
              <w:rPr>
                <w:color w:val="000000"/>
                <w:sz w:val="20"/>
              </w:rPr>
            </w:pPr>
          </w:p>
        </w:tc>
        <w:tc>
          <w:tcPr>
            <w:tcW w:w="160" w:type="dxa"/>
            <w:tcBorders>
              <w:top w:val="nil"/>
              <w:left w:val="nil"/>
              <w:bottom w:val="nil"/>
              <w:right w:val="nil"/>
            </w:tcBorders>
            <w:noWrap/>
            <w:vAlign w:val="bottom"/>
          </w:tcPr>
          <w:p w:rsidR="000938C1" w:rsidRPr="004439B3" w:rsidRDefault="000938C1" w:rsidP="00246730">
            <w:pPr>
              <w:ind w:firstLine="709"/>
              <w:rPr>
                <w:color w:val="000000"/>
                <w:sz w:val="20"/>
              </w:rPr>
            </w:pPr>
          </w:p>
        </w:tc>
      </w:tr>
      <w:tr w:rsidR="000938C1" w:rsidRPr="004439B3" w:rsidTr="00246730">
        <w:trPr>
          <w:trHeight w:val="300"/>
        </w:trPr>
        <w:tc>
          <w:tcPr>
            <w:tcW w:w="9918" w:type="dxa"/>
            <w:gridSpan w:val="2"/>
            <w:tcBorders>
              <w:top w:val="nil"/>
              <w:left w:val="nil"/>
              <w:bottom w:val="nil"/>
              <w:right w:val="nil"/>
            </w:tcBorders>
            <w:noWrap/>
            <w:vAlign w:val="bottom"/>
          </w:tcPr>
          <w:p w:rsidR="000938C1" w:rsidRPr="004439B3" w:rsidRDefault="000938C1" w:rsidP="00246730">
            <w:pPr>
              <w:ind w:left="952"/>
              <w:rPr>
                <w:color w:val="000000"/>
                <w:sz w:val="20"/>
              </w:rPr>
            </w:pPr>
            <w:r w:rsidRPr="004439B3">
              <w:rPr>
                <w:color w:val="000000"/>
                <w:sz w:val="20"/>
              </w:rPr>
              <w:t>*** Брой платени заявления, Брой одобрени заявления и размер на договорираните средства само през 2013г.</w:t>
            </w:r>
          </w:p>
        </w:tc>
        <w:tc>
          <w:tcPr>
            <w:tcW w:w="3173" w:type="dxa"/>
            <w:gridSpan w:val="2"/>
            <w:tcBorders>
              <w:top w:val="nil"/>
              <w:left w:val="nil"/>
              <w:bottom w:val="nil"/>
              <w:right w:val="nil"/>
            </w:tcBorders>
            <w:noWrap/>
            <w:vAlign w:val="bottom"/>
          </w:tcPr>
          <w:p w:rsidR="000938C1" w:rsidRPr="004439B3" w:rsidRDefault="000938C1" w:rsidP="00246730">
            <w:pPr>
              <w:ind w:firstLine="709"/>
              <w:rPr>
                <w:color w:val="000000"/>
                <w:sz w:val="20"/>
              </w:rPr>
            </w:pPr>
          </w:p>
        </w:tc>
        <w:tc>
          <w:tcPr>
            <w:tcW w:w="160" w:type="dxa"/>
            <w:tcBorders>
              <w:top w:val="nil"/>
              <w:left w:val="nil"/>
              <w:bottom w:val="nil"/>
              <w:right w:val="nil"/>
            </w:tcBorders>
            <w:noWrap/>
            <w:vAlign w:val="bottom"/>
          </w:tcPr>
          <w:p w:rsidR="000938C1" w:rsidRPr="004439B3" w:rsidRDefault="000938C1" w:rsidP="00246730">
            <w:pPr>
              <w:ind w:firstLine="709"/>
              <w:rPr>
                <w:color w:val="000000"/>
                <w:sz w:val="20"/>
              </w:rPr>
            </w:pPr>
          </w:p>
        </w:tc>
      </w:tr>
    </w:tbl>
    <w:p w:rsidR="000938C1" w:rsidRPr="004439B3" w:rsidRDefault="000938C1" w:rsidP="004D5AAC">
      <w:pPr>
        <w:tabs>
          <w:tab w:val="left" w:pos="2985"/>
        </w:tabs>
        <w:autoSpaceDE w:val="0"/>
        <w:autoSpaceDN w:val="0"/>
        <w:adjustRightInd w:val="0"/>
        <w:ind w:firstLine="709"/>
        <w:rPr>
          <w:color w:val="000000"/>
          <w:szCs w:val="22"/>
        </w:rPr>
      </w:pPr>
      <w:r w:rsidRPr="004439B3">
        <w:rPr>
          <w:i/>
          <w:sz w:val="18"/>
          <w:szCs w:val="16"/>
        </w:rPr>
        <w:t>Източник: ДФ„Земеделие”</w:t>
      </w:r>
    </w:p>
    <w:p w:rsidR="000938C1" w:rsidRPr="00646BA7" w:rsidRDefault="000938C1" w:rsidP="004D5AAC">
      <w:pPr>
        <w:tabs>
          <w:tab w:val="left" w:pos="2985"/>
        </w:tabs>
        <w:autoSpaceDE w:val="0"/>
        <w:autoSpaceDN w:val="0"/>
        <w:adjustRightInd w:val="0"/>
        <w:rPr>
          <w:color w:val="0070C0"/>
          <w:sz w:val="12"/>
          <w:szCs w:val="12"/>
        </w:rPr>
      </w:pPr>
    </w:p>
    <w:p w:rsidR="000938C1" w:rsidRPr="00D36256" w:rsidRDefault="000938C1" w:rsidP="004D5AAC">
      <w:pPr>
        <w:ind w:firstLine="709"/>
        <w:rPr>
          <w:bCs/>
        </w:rPr>
      </w:pPr>
      <w:r w:rsidRPr="00D36256">
        <w:rPr>
          <w:b/>
          <w:bCs/>
          <w:noProof/>
        </w:rPr>
        <w:t>Възстановените суми от Европейския</w:t>
      </w:r>
      <w:r w:rsidRPr="00D36256">
        <w:rPr>
          <w:b/>
          <w:bCs/>
        </w:rPr>
        <w:t xml:space="preserve"> съюз</w:t>
      </w:r>
      <w:r w:rsidRPr="00D36256">
        <w:rPr>
          <w:bCs/>
        </w:rPr>
        <w:t xml:space="preserve"> са както следва: </w:t>
      </w:r>
    </w:p>
    <w:p w:rsidR="000938C1" w:rsidRDefault="000938C1" w:rsidP="00F30F79">
      <w:pPr>
        <w:numPr>
          <w:ilvl w:val="0"/>
          <w:numId w:val="27"/>
        </w:numPr>
        <w:tabs>
          <w:tab w:val="clear" w:pos="1097"/>
          <w:tab w:val="num" w:pos="851"/>
        </w:tabs>
        <w:ind w:left="0" w:firstLine="720"/>
        <w:jc w:val="both"/>
        <w:rPr>
          <w:bCs/>
        </w:rPr>
      </w:pPr>
      <w:r>
        <w:rPr>
          <w:bCs/>
        </w:rPr>
        <w:t>945,7</w:t>
      </w:r>
      <w:r w:rsidRPr="00D36256">
        <w:rPr>
          <w:bCs/>
        </w:rPr>
        <w:t xml:space="preserve"> млн.</w:t>
      </w:r>
      <w:r>
        <w:rPr>
          <w:bCs/>
        </w:rPr>
        <w:t xml:space="preserve"> </w:t>
      </w:r>
      <w:r w:rsidRPr="00D36256">
        <w:rPr>
          <w:bCs/>
        </w:rPr>
        <w:t xml:space="preserve">лв. за директни плащания, при планирани за годината </w:t>
      </w:r>
      <w:r>
        <w:rPr>
          <w:bCs/>
        </w:rPr>
        <w:t>976,6</w:t>
      </w:r>
      <w:r w:rsidRPr="00D36256">
        <w:rPr>
          <w:bCs/>
        </w:rPr>
        <w:t xml:space="preserve"> млн.</w:t>
      </w:r>
      <w:r>
        <w:rPr>
          <w:bCs/>
        </w:rPr>
        <w:t xml:space="preserve"> </w:t>
      </w:r>
      <w:r w:rsidRPr="00D36256">
        <w:rPr>
          <w:bCs/>
        </w:rPr>
        <w:t xml:space="preserve">лв. –  </w:t>
      </w:r>
      <w:r>
        <w:rPr>
          <w:bCs/>
        </w:rPr>
        <w:t>96,8</w:t>
      </w:r>
      <w:r w:rsidRPr="00D36256">
        <w:rPr>
          <w:bCs/>
        </w:rPr>
        <w:t xml:space="preserve"> на сто изпълнение; </w:t>
      </w:r>
    </w:p>
    <w:p w:rsidR="000938C1" w:rsidRPr="00D36256" w:rsidRDefault="000938C1" w:rsidP="00F30F79">
      <w:pPr>
        <w:numPr>
          <w:ilvl w:val="0"/>
          <w:numId w:val="27"/>
        </w:numPr>
        <w:tabs>
          <w:tab w:val="clear" w:pos="1097"/>
          <w:tab w:val="num" w:pos="851"/>
        </w:tabs>
        <w:ind w:left="0" w:firstLine="720"/>
        <w:jc w:val="both"/>
        <w:rPr>
          <w:bCs/>
        </w:rPr>
      </w:pPr>
      <w:r>
        <w:rPr>
          <w:bCs/>
        </w:rPr>
        <w:t>103,0 млн. лв. – възстановени средства от ЕС, прехвърлени към директните плащания;</w:t>
      </w:r>
    </w:p>
    <w:p w:rsidR="000938C1" w:rsidRPr="006E448E" w:rsidRDefault="000938C1" w:rsidP="004D5AAC">
      <w:pPr>
        <w:autoSpaceDE w:val="0"/>
        <w:autoSpaceDN w:val="0"/>
        <w:adjustRightInd w:val="0"/>
        <w:ind w:firstLine="709"/>
        <w:jc w:val="both"/>
        <w:rPr>
          <w:bCs/>
        </w:rPr>
      </w:pPr>
      <w:r w:rsidRPr="00D36256">
        <w:rPr>
          <w:bCs/>
        </w:rPr>
        <w:t xml:space="preserve">-  </w:t>
      </w:r>
      <w:r>
        <w:rPr>
          <w:bCs/>
        </w:rPr>
        <w:t>72,7</w:t>
      </w:r>
      <w:r w:rsidRPr="00D36256">
        <w:rPr>
          <w:bCs/>
        </w:rPr>
        <w:t xml:space="preserve"> млн.лв. за пазарни мерки, при планирани </w:t>
      </w:r>
      <w:r>
        <w:rPr>
          <w:bCs/>
        </w:rPr>
        <w:t>89,6</w:t>
      </w:r>
      <w:r w:rsidRPr="00D36256">
        <w:rPr>
          <w:bCs/>
        </w:rPr>
        <w:t xml:space="preserve"> млн. лв</w:t>
      </w:r>
      <w:r>
        <w:rPr>
          <w:bCs/>
        </w:rPr>
        <w:t>.</w:t>
      </w:r>
      <w:r w:rsidRPr="00D36256">
        <w:rPr>
          <w:bCs/>
        </w:rPr>
        <w:t xml:space="preserve"> за годината – </w:t>
      </w:r>
      <w:r>
        <w:rPr>
          <w:bCs/>
        </w:rPr>
        <w:t>81,2</w:t>
      </w:r>
      <w:r w:rsidRPr="00D36256">
        <w:rPr>
          <w:bCs/>
        </w:rPr>
        <w:t xml:space="preserve"> на сто изпълнение.</w:t>
      </w:r>
    </w:p>
    <w:p w:rsidR="000938C1" w:rsidRPr="00D36256" w:rsidRDefault="000938C1" w:rsidP="004D5AAC">
      <w:pPr>
        <w:ind w:firstLine="709"/>
        <w:jc w:val="both"/>
        <w:rPr>
          <w:color w:val="000000"/>
        </w:rPr>
      </w:pPr>
      <w:r>
        <w:rPr>
          <w:noProof/>
        </w:rPr>
        <w:t xml:space="preserve">През 2013 г. са </w:t>
      </w:r>
      <w:r w:rsidRPr="00715449">
        <w:rPr>
          <w:b/>
          <w:noProof/>
        </w:rPr>
        <w:t>извършени трансфери</w:t>
      </w:r>
      <w:r>
        <w:rPr>
          <w:b/>
          <w:noProof/>
        </w:rPr>
        <w:t xml:space="preserve"> </w:t>
      </w:r>
      <w:r w:rsidRPr="00D36256">
        <w:rPr>
          <w:noProof/>
        </w:rPr>
        <w:t>между извънбюджетни сметки и фондове</w:t>
      </w:r>
      <w:r>
        <w:rPr>
          <w:noProof/>
        </w:rPr>
        <w:t xml:space="preserve"> (нето) </w:t>
      </w:r>
      <w:r w:rsidRPr="00D36256">
        <w:rPr>
          <w:noProof/>
        </w:rPr>
        <w:t xml:space="preserve"> към публични бенефициенти по ПРСР</w:t>
      </w:r>
      <w:r>
        <w:rPr>
          <w:noProof/>
        </w:rPr>
        <w:t xml:space="preserve"> и </w:t>
      </w:r>
      <w:r w:rsidRPr="00D36256">
        <w:rPr>
          <w:noProof/>
        </w:rPr>
        <w:t xml:space="preserve">ОПРСР в размер на </w:t>
      </w:r>
      <w:r>
        <w:rPr>
          <w:noProof/>
        </w:rPr>
        <w:t>302,1</w:t>
      </w:r>
      <w:r w:rsidRPr="00D36256">
        <w:rPr>
          <w:noProof/>
        </w:rPr>
        <w:t xml:space="preserve"> млн.</w:t>
      </w:r>
      <w:r>
        <w:rPr>
          <w:noProof/>
        </w:rPr>
        <w:t xml:space="preserve"> </w:t>
      </w:r>
      <w:r w:rsidRPr="00D36256">
        <w:rPr>
          <w:noProof/>
        </w:rPr>
        <w:t xml:space="preserve">лв., от тях европейски средства </w:t>
      </w:r>
      <w:r>
        <w:rPr>
          <w:noProof/>
        </w:rPr>
        <w:t xml:space="preserve">- </w:t>
      </w:r>
      <w:r w:rsidRPr="00D36256">
        <w:rPr>
          <w:noProof/>
        </w:rPr>
        <w:t xml:space="preserve">в размер на </w:t>
      </w:r>
      <w:r>
        <w:rPr>
          <w:noProof/>
        </w:rPr>
        <w:t>211,4</w:t>
      </w:r>
      <w:r w:rsidRPr="00D36256">
        <w:rPr>
          <w:noProof/>
        </w:rPr>
        <w:t xml:space="preserve"> млн.</w:t>
      </w:r>
      <w:r>
        <w:rPr>
          <w:noProof/>
        </w:rPr>
        <w:t xml:space="preserve"> </w:t>
      </w:r>
      <w:r w:rsidRPr="00D36256">
        <w:rPr>
          <w:noProof/>
        </w:rPr>
        <w:t>лв.</w:t>
      </w:r>
      <w:r>
        <w:rPr>
          <w:noProof/>
        </w:rPr>
        <w:t xml:space="preserve">,средства за </w:t>
      </w:r>
      <w:r w:rsidRPr="00D36256">
        <w:rPr>
          <w:noProof/>
        </w:rPr>
        <w:t>националн</w:t>
      </w:r>
      <w:r>
        <w:rPr>
          <w:noProof/>
        </w:rPr>
        <w:t xml:space="preserve">о съфинансиране - </w:t>
      </w:r>
      <w:r w:rsidRPr="00D36256">
        <w:rPr>
          <w:noProof/>
        </w:rPr>
        <w:t>в размер на</w:t>
      </w:r>
      <w:r>
        <w:rPr>
          <w:noProof/>
        </w:rPr>
        <w:t xml:space="preserve"> 53,1</w:t>
      </w:r>
      <w:r w:rsidRPr="00D36256">
        <w:rPr>
          <w:noProof/>
        </w:rPr>
        <w:t xml:space="preserve"> млн.</w:t>
      </w:r>
      <w:r>
        <w:rPr>
          <w:noProof/>
        </w:rPr>
        <w:t xml:space="preserve"> </w:t>
      </w:r>
      <w:r w:rsidRPr="00D36256">
        <w:rPr>
          <w:noProof/>
        </w:rPr>
        <w:t>лв.</w:t>
      </w:r>
      <w:r>
        <w:rPr>
          <w:noProof/>
        </w:rPr>
        <w:t xml:space="preserve"> </w:t>
      </w:r>
      <w:r>
        <w:rPr>
          <w:color w:val="000000"/>
        </w:rPr>
        <w:t xml:space="preserve">и по национални програми – 37,6 млн. лв. Предоставените трансфери към бюджетни сметки (нето) са в размер на 10,2 млн. лева. </w:t>
      </w:r>
    </w:p>
    <w:p w:rsidR="000938C1" w:rsidRPr="00D36256" w:rsidRDefault="000938C1" w:rsidP="004D5AAC">
      <w:pPr>
        <w:ind w:firstLine="709"/>
        <w:jc w:val="both"/>
      </w:pPr>
      <w:r w:rsidRPr="00D36256">
        <w:rPr>
          <w:color w:val="000000"/>
        </w:rPr>
        <w:t>За 201</w:t>
      </w:r>
      <w:r>
        <w:rPr>
          <w:color w:val="000000"/>
        </w:rPr>
        <w:t>3</w:t>
      </w:r>
      <w:r w:rsidRPr="00D36256">
        <w:rPr>
          <w:color w:val="000000"/>
        </w:rPr>
        <w:t xml:space="preserve"> г. е изплатена вноската за захар към Европейския съюз в размер на </w:t>
      </w:r>
      <w:r>
        <w:rPr>
          <w:color w:val="000000"/>
        </w:rPr>
        <w:t>0,8</w:t>
      </w:r>
      <w:r w:rsidRPr="00D36256">
        <w:rPr>
          <w:color w:val="000000"/>
        </w:rPr>
        <w:t xml:space="preserve"> млн. лв</w:t>
      </w:r>
      <w:r w:rsidRPr="00343794">
        <w:rPr>
          <w:color w:val="000000"/>
        </w:rPr>
        <w:t>., което представлява 75 на сто от постъпилите приходи през 2013 г. по параграф 18-00 „Такси върху произ</w:t>
      </w:r>
      <w:r>
        <w:rPr>
          <w:color w:val="000000"/>
        </w:rPr>
        <w:t>в</w:t>
      </w:r>
      <w:r w:rsidRPr="00343794">
        <w:rPr>
          <w:color w:val="000000"/>
        </w:rPr>
        <w:t>одство на захар и изоглю</w:t>
      </w:r>
      <w:r>
        <w:rPr>
          <w:color w:val="000000"/>
        </w:rPr>
        <w:t>к</w:t>
      </w:r>
      <w:r w:rsidRPr="00343794">
        <w:rPr>
          <w:color w:val="000000"/>
        </w:rPr>
        <w:t>оза”.</w:t>
      </w:r>
    </w:p>
    <w:p w:rsidR="000938C1" w:rsidRPr="00D36256" w:rsidRDefault="000938C1" w:rsidP="004D5AAC">
      <w:pPr>
        <w:pStyle w:val="Header"/>
        <w:ind w:firstLine="709"/>
        <w:jc w:val="both"/>
        <w:rPr>
          <w:noProof/>
        </w:rPr>
      </w:pPr>
      <w:r w:rsidRPr="00D36256">
        <w:rPr>
          <w:noProof/>
        </w:rPr>
        <w:t>Към 31.12.201</w:t>
      </w:r>
      <w:r>
        <w:rPr>
          <w:noProof/>
        </w:rPr>
        <w:t>3</w:t>
      </w:r>
      <w:r w:rsidRPr="00D36256">
        <w:rPr>
          <w:noProof/>
        </w:rPr>
        <w:t xml:space="preserve"> г.</w:t>
      </w:r>
      <w:r>
        <w:rPr>
          <w:noProof/>
        </w:rPr>
        <w:t xml:space="preserve"> </w:t>
      </w:r>
      <w:r w:rsidRPr="00D36256">
        <w:rPr>
          <w:noProof/>
        </w:rPr>
        <w:t xml:space="preserve">по извънбюджетната сметка на ДФ „Земеделие” е преведен трансфер от централния бюджет в размер на  </w:t>
      </w:r>
      <w:r>
        <w:rPr>
          <w:noProof/>
        </w:rPr>
        <w:t>554,6</w:t>
      </w:r>
      <w:r w:rsidRPr="00D36256">
        <w:rPr>
          <w:noProof/>
        </w:rPr>
        <w:t xml:space="preserve"> млн.</w:t>
      </w:r>
      <w:r>
        <w:rPr>
          <w:noProof/>
        </w:rPr>
        <w:t xml:space="preserve"> </w:t>
      </w:r>
      <w:r w:rsidRPr="00D36256">
        <w:rPr>
          <w:noProof/>
        </w:rPr>
        <w:t>лева.</w:t>
      </w:r>
    </w:p>
    <w:p w:rsidR="000938C1" w:rsidRPr="00D36256" w:rsidRDefault="000938C1" w:rsidP="004D5AAC">
      <w:pPr>
        <w:ind w:firstLine="709"/>
        <w:jc w:val="both"/>
        <w:rPr>
          <w:sz w:val="16"/>
          <w:szCs w:val="16"/>
        </w:rPr>
      </w:pPr>
      <w:r w:rsidRPr="00D36256">
        <w:t>По</w:t>
      </w:r>
      <w:r>
        <w:t xml:space="preserve"> </w:t>
      </w:r>
      <w:r w:rsidRPr="00D36256">
        <w:t xml:space="preserve">линия </w:t>
      </w:r>
      <w:r w:rsidRPr="00D36256">
        <w:rPr>
          <w:b/>
        </w:rPr>
        <w:t>на предоставените лихвени заеми по инвестиционните схеми</w:t>
      </w:r>
      <w:r w:rsidRPr="00D36256">
        <w:t xml:space="preserve"> за кредитиране</w:t>
      </w:r>
      <w:r>
        <w:t xml:space="preserve"> </w:t>
      </w:r>
      <w:r w:rsidRPr="00D36256">
        <w:t>за 201</w:t>
      </w:r>
      <w:r>
        <w:t>3</w:t>
      </w:r>
      <w:r w:rsidRPr="00D36256">
        <w:t xml:space="preserve"> г.</w:t>
      </w:r>
      <w:r>
        <w:t xml:space="preserve"> </w:t>
      </w:r>
      <w:r w:rsidRPr="00D36256">
        <w:t xml:space="preserve">са изплатени средства в размер на </w:t>
      </w:r>
      <w:r>
        <w:t>34,6</w:t>
      </w:r>
      <w:r w:rsidRPr="00D36256">
        <w:t xml:space="preserve"> млн.</w:t>
      </w:r>
      <w:r>
        <w:t xml:space="preserve"> </w:t>
      </w:r>
      <w:r w:rsidRPr="00D36256">
        <w:t xml:space="preserve">лв. при планирани </w:t>
      </w:r>
      <w:r>
        <w:t xml:space="preserve"> 195,0 </w:t>
      </w:r>
      <w:r w:rsidRPr="00D36256">
        <w:t>млн.</w:t>
      </w:r>
      <w:r>
        <w:t xml:space="preserve"> </w:t>
      </w:r>
      <w:r w:rsidRPr="00D36256">
        <w:t xml:space="preserve">лв. – изпълнение </w:t>
      </w:r>
      <w:r>
        <w:t>17,7</w:t>
      </w:r>
      <w:r w:rsidRPr="00D36256">
        <w:t xml:space="preserve"> на сто. Възстановените средства за същия период са в размер на </w:t>
      </w:r>
      <w:r>
        <w:t>57,7</w:t>
      </w:r>
      <w:r w:rsidRPr="00D36256">
        <w:t xml:space="preserve"> млн.</w:t>
      </w:r>
      <w:r>
        <w:t xml:space="preserve"> </w:t>
      </w:r>
      <w:r w:rsidRPr="00D36256">
        <w:t xml:space="preserve">лв. </w:t>
      </w:r>
      <w:r>
        <w:t>при планирани  155,0 млн. лева</w:t>
      </w:r>
      <w:r w:rsidRPr="00D36256">
        <w:t>.</w:t>
      </w:r>
    </w:p>
    <w:p w:rsidR="000938C1" w:rsidRPr="00D36256" w:rsidRDefault="000938C1" w:rsidP="004D5AAC">
      <w:pPr>
        <w:ind w:firstLine="709"/>
        <w:jc w:val="both"/>
        <w:rPr>
          <w:b/>
          <w:sz w:val="26"/>
          <w:szCs w:val="26"/>
        </w:rPr>
      </w:pPr>
      <w:r w:rsidRPr="00D36256">
        <w:t xml:space="preserve">По линия на </w:t>
      </w:r>
      <w:r w:rsidRPr="00D36256">
        <w:rPr>
          <w:b/>
        </w:rPr>
        <w:t xml:space="preserve">краткосрочните схеми за </w:t>
      </w:r>
      <w:r>
        <w:rPr>
          <w:b/>
        </w:rPr>
        <w:t>финансиране</w:t>
      </w:r>
      <w:r w:rsidRPr="00D36256">
        <w:t xml:space="preserve"> през отчетния период са изплатени </w:t>
      </w:r>
      <w:r>
        <w:t>4,3</w:t>
      </w:r>
      <w:r w:rsidRPr="00D36256">
        <w:t xml:space="preserve"> млн.</w:t>
      </w:r>
      <w:r>
        <w:t xml:space="preserve"> </w:t>
      </w:r>
      <w:r w:rsidRPr="00D36256">
        <w:t xml:space="preserve">лв. – изпълнение </w:t>
      </w:r>
      <w:r>
        <w:t>14,4</w:t>
      </w:r>
      <w:r w:rsidRPr="00D36256">
        <w:t xml:space="preserve"> на сто. Възстановените средства за същия период са в размер на </w:t>
      </w:r>
      <w:r>
        <w:t>7,1</w:t>
      </w:r>
      <w:r w:rsidRPr="00D36256">
        <w:t xml:space="preserve"> млн.</w:t>
      </w:r>
      <w:r>
        <w:t xml:space="preserve"> </w:t>
      </w:r>
      <w:r w:rsidRPr="00D36256">
        <w:t xml:space="preserve">лв. – изпълнение </w:t>
      </w:r>
      <w:r>
        <w:t>23,6</w:t>
      </w:r>
      <w:r w:rsidRPr="00D36256">
        <w:t xml:space="preserve"> на сто.</w:t>
      </w:r>
    </w:p>
    <w:p w:rsidR="000938C1" w:rsidRPr="00E300F0" w:rsidRDefault="000938C1" w:rsidP="00F30F79">
      <w:pPr>
        <w:pStyle w:val="Heading2"/>
        <w:numPr>
          <w:ilvl w:val="1"/>
          <w:numId w:val="31"/>
        </w:numPr>
        <w:rPr>
          <w:rFonts w:ascii="Times New Roman" w:hAnsi="Times New Roman" w:cs="Times New Roman"/>
          <w:i w:val="0"/>
          <w:iCs w:val="0"/>
          <w:sz w:val="24"/>
        </w:rPr>
      </w:pPr>
      <w:bookmarkStart w:id="351" w:name="_Toc261276610"/>
      <w:bookmarkStart w:id="352" w:name="_Toc262637653"/>
      <w:bookmarkStart w:id="353" w:name="_Toc324863453"/>
      <w:bookmarkStart w:id="354" w:name="_Toc393728105"/>
      <w:r w:rsidRPr="00E300F0">
        <w:rPr>
          <w:rFonts w:ascii="Times New Roman" w:hAnsi="Times New Roman" w:cs="Times New Roman"/>
          <w:i w:val="0"/>
          <w:iCs w:val="0"/>
          <w:sz w:val="24"/>
        </w:rPr>
        <w:t>Фонд за покриване на разходите за приватизация</w:t>
      </w:r>
      <w:bookmarkEnd w:id="351"/>
      <w:bookmarkEnd w:id="352"/>
      <w:r w:rsidRPr="00E300F0">
        <w:rPr>
          <w:rFonts w:ascii="Times New Roman" w:hAnsi="Times New Roman" w:cs="Times New Roman"/>
          <w:i w:val="0"/>
          <w:iCs w:val="0"/>
          <w:sz w:val="24"/>
        </w:rPr>
        <w:t xml:space="preserve"> и следприватизационен контрол</w:t>
      </w:r>
      <w:bookmarkEnd w:id="353"/>
      <w:bookmarkEnd w:id="354"/>
    </w:p>
    <w:p w:rsidR="000938C1" w:rsidRPr="00CF1A14" w:rsidRDefault="000938C1" w:rsidP="00417535">
      <w:pPr>
        <w:ind w:firstLine="720"/>
        <w:jc w:val="both"/>
        <w:rPr>
          <w:color w:val="0070C0"/>
          <w:sz w:val="8"/>
          <w:szCs w:val="8"/>
          <w:highlight w:val="cyan"/>
        </w:rPr>
      </w:pPr>
    </w:p>
    <w:p w:rsidR="000938C1" w:rsidRPr="00C317F3" w:rsidRDefault="000938C1" w:rsidP="00E300F0">
      <w:pPr>
        <w:pStyle w:val="BodyTextIndent"/>
        <w:ind w:left="0" w:firstLine="720"/>
        <w:jc w:val="both"/>
        <w:rPr>
          <w:lang w:val="bg-BG"/>
        </w:rPr>
      </w:pPr>
      <w:r w:rsidRPr="00C317F3">
        <w:rPr>
          <w:lang w:val="bg-BG"/>
        </w:rPr>
        <w:t>Отчетените собствени приходи на Фонда за покриване на разходите за приватизация и следприватизационен контрол (ФПРПСК) към Агенция за приватизация и следприватизационен контрол (АПСК) за 201</w:t>
      </w:r>
      <w:r w:rsidRPr="002255D3">
        <w:rPr>
          <w:lang w:val="ru-RU"/>
        </w:rPr>
        <w:t>3</w:t>
      </w:r>
      <w:r w:rsidRPr="00C317F3">
        <w:rPr>
          <w:lang w:val="bg-BG"/>
        </w:rPr>
        <w:t xml:space="preserve"> г. са в размер на (</w:t>
      </w:r>
      <w:r w:rsidRPr="002255D3">
        <w:rPr>
          <w:lang w:val="ru-RU"/>
        </w:rPr>
        <w:t>-0</w:t>
      </w:r>
      <w:r w:rsidRPr="00C317F3">
        <w:rPr>
          <w:lang w:val="bg-BG"/>
        </w:rPr>
        <w:t>,</w:t>
      </w:r>
      <w:r w:rsidRPr="002255D3">
        <w:rPr>
          <w:lang w:val="ru-RU"/>
        </w:rPr>
        <w:t>002</w:t>
      </w:r>
      <w:r w:rsidRPr="00C317F3">
        <w:rPr>
          <w:lang w:val="bg-BG"/>
        </w:rPr>
        <w:t>) млн. лв., при планирани 0,025 млн. лв. Отчетени са постъпления от глоби, санкции и наказателни лихви в размер на 0,05</w:t>
      </w:r>
      <w:r>
        <w:rPr>
          <w:lang w:val="bg-BG"/>
        </w:rPr>
        <w:t>8</w:t>
      </w:r>
      <w:r w:rsidRPr="00C317F3">
        <w:rPr>
          <w:lang w:val="bg-BG"/>
        </w:rPr>
        <w:t xml:space="preserve"> млн. лв., които са в резултат на получени 50 на сто от присъдени в полза на АПСК юрисконсултски възнаграждения, в съответствие с чл.</w:t>
      </w:r>
      <w:r>
        <w:rPr>
          <w:lang w:val="bg-BG"/>
        </w:rPr>
        <w:t xml:space="preserve"> </w:t>
      </w:r>
      <w:r w:rsidRPr="00C317F3">
        <w:rPr>
          <w:lang w:val="bg-BG"/>
        </w:rPr>
        <w:t>8, ал.</w:t>
      </w:r>
      <w:r>
        <w:rPr>
          <w:lang w:val="bg-BG"/>
        </w:rPr>
        <w:t xml:space="preserve"> </w:t>
      </w:r>
      <w:r w:rsidRPr="00C317F3">
        <w:rPr>
          <w:lang w:val="bg-BG"/>
        </w:rPr>
        <w:t>9 от Закона за приватизация и следприватизационен контрол (ЗПСК). През 2013 г. ФПРПСК е внесъл ДДС в размер на 0,06 млн. л</w:t>
      </w:r>
      <w:r>
        <w:rPr>
          <w:lang w:val="bg-BG"/>
        </w:rPr>
        <w:t>е</w:t>
      </w:r>
      <w:r w:rsidRPr="00C317F3">
        <w:rPr>
          <w:lang w:val="bg-BG"/>
        </w:rPr>
        <w:t>в</w:t>
      </w:r>
      <w:r>
        <w:rPr>
          <w:lang w:val="bg-BG"/>
        </w:rPr>
        <w:t>а</w:t>
      </w:r>
      <w:r w:rsidRPr="00C317F3">
        <w:rPr>
          <w:lang w:val="bg-BG"/>
        </w:rPr>
        <w:t>.</w:t>
      </w:r>
    </w:p>
    <w:p w:rsidR="000938C1" w:rsidRDefault="000938C1" w:rsidP="00E300F0">
      <w:pPr>
        <w:ind w:firstLine="720"/>
        <w:jc w:val="both"/>
      </w:pPr>
      <w:r w:rsidRPr="00C317F3">
        <w:t xml:space="preserve">За изпълнение на плана за приватизация за 2013 г. на ФПРПСК първоначално са заложени разходи за осъществяването на приватизационния процес в размер на 4,2 млн. лв. В съответствие с разпоредбата на чл. 9 от Закона за приватизация и следприватизационен контрол, в ЗДБРБ за 2013 г. е определен трансфер от централния бюджет за финансиране на плащанията на ФПРПСК в размер на 4,2 млн. лв. Към 31.12.2013 г. отчетеният размер на разходи е 0,7 млн. лв. и представлява 15,6 на сто от заложеното. Основната част от направените разходи са свързани с разходи за външни услуги, в т.ч. за правни анализи, приватизационни оценки и информационни меморандуми – 0,4 млн. лв. и с разходи за глоби, неустойки, наказателни лихви и обезщетения – 0,2 млн. лв. </w:t>
      </w:r>
      <w:r>
        <w:t>През месец декември е предоставен трансфер от централния бюджет към фонда в размер на 0,7 млн. лева.</w:t>
      </w:r>
    </w:p>
    <w:p w:rsidR="000938C1" w:rsidRPr="00CF1A14" w:rsidRDefault="000938C1" w:rsidP="00E300F0">
      <w:pPr>
        <w:ind w:firstLine="720"/>
        <w:jc w:val="both"/>
        <w:rPr>
          <w:color w:val="0070C0"/>
        </w:rPr>
      </w:pPr>
      <w:r>
        <w:t xml:space="preserve">Съгласно </w:t>
      </w:r>
      <w:r w:rsidRPr="00DF4E49">
        <w:rPr>
          <w:i/>
          <w:iCs/>
        </w:rPr>
        <w:t>§</w:t>
      </w:r>
      <w:r w:rsidRPr="00DF4E49">
        <w:t xml:space="preserve">11 </w:t>
      </w:r>
      <w:r>
        <w:t>от Преходните и заключителните разпоредби на Закона за публичните финанси, считано от 01.01.2014 г. ФПРПСК се закрива, като неговите приходи и разходи се включват в бюджета на МИЕ, съответно в бюджета на АПСК.</w:t>
      </w:r>
    </w:p>
    <w:p w:rsidR="000938C1" w:rsidRPr="00E300F0" w:rsidRDefault="000938C1" w:rsidP="00F30F79">
      <w:pPr>
        <w:pStyle w:val="Heading2"/>
        <w:numPr>
          <w:ilvl w:val="1"/>
          <w:numId w:val="31"/>
        </w:numPr>
        <w:rPr>
          <w:rFonts w:ascii="Times New Roman" w:hAnsi="Times New Roman" w:cs="Times New Roman"/>
          <w:i w:val="0"/>
          <w:iCs w:val="0"/>
          <w:sz w:val="24"/>
        </w:rPr>
      </w:pPr>
      <w:bookmarkStart w:id="355" w:name="_Toc136597771"/>
      <w:bookmarkStart w:id="356" w:name="_Toc136601674"/>
      <w:bookmarkStart w:id="357" w:name="_Toc261276611"/>
      <w:bookmarkStart w:id="358" w:name="_Toc262637654"/>
      <w:bookmarkStart w:id="359" w:name="_Toc324863454"/>
      <w:bookmarkStart w:id="360" w:name="_Toc393728106"/>
      <w:r>
        <w:rPr>
          <w:rFonts w:ascii="Times New Roman" w:hAnsi="Times New Roman" w:cs="Times New Roman"/>
          <w:i w:val="0"/>
          <w:iCs w:val="0"/>
          <w:sz w:val="24"/>
        </w:rPr>
        <w:t>П</w:t>
      </w:r>
      <w:r w:rsidRPr="00E300F0">
        <w:rPr>
          <w:rFonts w:ascii="Times New Roman" w:hAnsi="Times New Roman" w:cs="Times New Roman"/>
          <w:i w:val="0"/>
          <w:iCs w:val="0"/>
          <w:sz w:val="24"/>
        </w:rPr>
        <w:t>редприятие за управление на дейностите по опазване на околната среда</w:t>
      </w:r>
      <w:bookmarkEnd w:id="355"/>
      <w:bookmarkEnd w:id="356"/>
      <w:bookmarkEnd w:id="357"/>
      <w:bookmarkEnd w:id="358"/>
      <w:bookmarkEnd w:id="359"/>
      <w:bookmarkEnd w:id="360"/>
    </w:p>
    <w:p w:rsidR="000938C1" w:rsidRPr="00CF1A14" w:rsidRDefault="000938C1" w:rsidP="00417535">
      <w:pPr>
        <w:pStyle w:val="BodyText"/>
        <w:ind w:firstLine="540"/>
        <w:jc w:val="both"/>
        <w:rPr>
          <w:color w:val="0070C0"/>
          <w:sz w:val="4"/>
          <w:szCs w:val="4"/>
        </w:rPr>
      </w:pPr>
    </w:p>
    <w:p w:rsidR="000938C1" w:rsidRPr="000E4FB4" w:rsidRDefault="000938C1" w:rsidP="00E300F0">
      <w:pPr>
        <w:pStyle w:val="BodyText3"/>
        <w:tabs>
          <w:tab w:val="left" w:pos="900"/>
          <w:tab w:val="left" w:pos="1260"/>
        </w:tabs>
        <w:ind w:firstLine="720"/>
        <w:jc w:val="both"/>
        <w:rPr>
          <w:iCs/>
          <w:sz w:val="24"/>
          <w:szCs w:val="24"/>
        </w:rPr>
      </w:pPr>
      <w:r w:rsidRPr="008A1F90">
        <w:rPr>
          <w:iCs/>
          <w:sz w:val="24"/>
          <w:szCs w:val="24"/>
        </w:rPr>
        <w:t xml:space="preserve">Със ЗДБРБ за 2013 г. са одобрени приходи на Предприятието за управление на дейностите по опазване на околната среда /ПУДООС/ в размер на 49,0 млн. лв. Реализираните неданъчни приходи по бюджета на предприятието са в размер на 58,4 млн. лв., или изпълнението им възлиза на 119,2 % спрямо разчетените приходи. С най-голям относителен дял (93,8 %) са приходите от държавни такси – 54,8 млн. лв., които представляват получени по Закона за водите такси за издаване на разрешителни, определени по тарифата за таксите (приета с ПМС </w:t>
      </w:r>
      <w:r w:rsidRPr="008A1F90">
        <w:rPr>
          <w:sz w:val="24"/>
          <w:szCs w:val="24"/>
          <w:lang w:eastAsia="en-US"/>
        </w:rPr>
        <w:t>№136/2011 г.</w:t>
      </w:r>
      <w:r w:rsidRPr="008A1F90">
        <w:rPr>
          <w:iCs/>
          <w:sz w:val="24"/>
          <w:szCs w:val="24"/>
        </w:rPr>
        <w:t>), по Закона за управление на отпадъците, по Закона за чистотата на атмосферния въздух, по Закона за защитените територии</w:t>
      </w:r>
      <w:r w:rsidRPr="000E4FB4">
        <w:rPr>
          <w:iCs/>
          <w:sz w:val="24"/>
          <w:szCs w:val="24"/>
        </w:rPr>
        <w:t xml:space="preserve">. Спрямо 2012 г. постъпленията от такси са нараснали с 24,4 млн. лв. Приходите и доходите от собственост са в размер на 2,3 млн. лв. и представляват приходи и услуги по изгарянето на болнични отпадъци в Инсинератора. В резултат на по-голямото количество изгорен опасен отпадък за 2013 г. и на по-добрата събираемост от клиентите, изпълнението спрямо ЗДБРБ за 2013 г. е 115,0 </w:t>
      </w:r>
      <w:r>
        <w:rPr>
          <w:iCs/>
          <w:sz w:val="24"/>
          <w:szCs w:val="24"/>
        </w:rPr>
        <w:t>процента</w:t>
      </w:r>
      <w:r w:rsidRPr="000E4FB4">
        <w:rPr>
          <w:iCs/>
          <w:sz w:val="24"/>
          <w:szCs w:val="24"/>
        </w:rPr>
        <w:t xml:space="preserve">. </w:t>
      </w:r>
    </w:p>
    <w:p w:rsidR="000938C1" w:rsidRPr="00574E8B" w:rsidRDefault="000938C1" w:rsidP="00E300F0">
      <w:pPr>
        <w:pStyle w:val="BodyText3"/>
        <w:spacing w:after="0"/>
        <w:ind w:firstLine="708"/>
        <w:jc w:val="both"/>
        <w:rPr>
          <w:sz w:val="24"/>
          <w:szCs w:val="24"/>
        </w:rPr>
      </w:pPr>
      <w:r w:rsidRPr="00574E8B">
        <w:rPr>
          <w:sz w:val="24"/>
          <w:szCs w:val="24"/>
        </w:rPr>
        <w:t>Към 31.12.201</w:t>
      </w:r>
      <w:r>
        <w:rPr>
          <w:sz w:val="24"/>
          <w:szCs w:val="24"/>
        </w:rPr>
        <w:t>3</w:t>
      </w:r>
      <w:r w:rsidRPr="00574E8B">
        <w:rPr>
          <w:sz w:val="24"/>
          <w:szCs w:val="24"/>
        </w:rPr>
        <w:t xml:space="preserve"> г. ПУДООС отчита общо разходи за администрацията в размер на 3,9 млн. лв., за други субсидии и плащания 1,5 млн. лв. като средствата са за финансиране на екологични проекти и дейности на небюджетни структури.</w:t>
      </w:r>
    </w:p>
    <w:p w:rsidR="000938C1" w:rsidRDefault="000938C1" w:rsidP="00E300F0">
      <w:pPr>
        <w:ind w:firstLine="720"/>
        <w:jc w:val="both"/>
      </w:pPr>
      <w:r>
        <w:t>По ЗДБРБ за 2013 г. в „трансфери от/за ПУДООС“ са заложени 14,0 млн. лв., от които: за финансиране на екологични проекти и дейности на МОСВ  6,0 млн. лв., които към 31.12.2013 г. са трансферирани; планирания трансфер на МОСВ за ПУДООС в размер на 20,0 млн. лв. е изпълнен; получени средства в размер на 0,005 млн. лв., възстановени трансфери от общини от минали години и трансфер (възстановени средства) от Министерство на финансите в размер на 5,1 млн. лева.</w:t>
      </w:r>
    </w:p>
    <w:p w:rsidR="000938C1" w:rsidRPr="00574E8B" w:rsidRDefault="000938C1" w:rsidP="00E300F0">
      <w:pPr>
        <w:ind w:firstLine="720"/>
        <w:jc w:val="both"/>
      </w:pPr>
      <w:r w:rsidRPr="00574E8B">
        <w:t>За „Изграждане на инфраструктурни обекти” за 2013 г. по уточнен план бяха заложени 61,4 млн. лв. Разходите са за проекти и договори за бюджетни структури по решения на Управителния съвет на ПУДООС, които се предоставят чрез трансфер на бюджетни структури. С решение на Управителния съвет на ПУДООС по плана от „Изграждане на инфраструктурни обекти” са прехвърлени средства за „Предоставени трансфери”, като към 31.12.2013 г. тези средства са в размер на 33,7 млн. лв. за финансиране на договори с общини и бюджетни структури за екологични проекти и дейности. Съгласно решения на Управителния съвет към 31.12.2013 г. са предоставени средства на бюджетни структури в размер на 39,7 млн. л</w:t>
      </w:r>
      <w:r>
        <w:t>е</w:t>
      </w:r>
      <w:r w:rsidRPr="00574E8B">
        <w:t>в</w:t>
      </w:r>
      <w:r>
        <w:t>а</w:t>
      </w:r>
      <w:r w:rsidRPr="00574E8B">
        <w:t>.</w:t>
      </w:r>
    </w:p>
    <w:p w:rsidR="000938C1" w:rsidRPr="00406F1F" w:rsidRDefault="000938C1" w:rsidP="00E300F0">
      <w:pPr>
        <w:ind w:firstLine="720"/>
        <w:jc w:val="both"/>
      </w:pPr>
      <w:r w:rsidRPr="00406F1F">
        <w:t xml:space="preserve">В областта на управление на водите са изразходвани средства в размер на 5,6 млн. лв., разпределени по направления за:  </w:t>
      </w:r>
    </w:p>
    <w:p w:rsidR="000938C1" w:rsidRPr="00406F1F" w:rsidRDefault="000938C1" w:rsidP="00F30F79">
      <w:pPr>
        <w:numPr>
          <w:ilvl w:val="0"/>
          <w:numId w:val="51"/>
        </w:numPr>
        <w:tabs>
          <w:tab w:val="left" w:pos="1080"/>
        </w:tabs>
        <w:ind w:left="0" w:firstLine="900"/>
        <w:jc w:val="both"/>
      </w:pPr>
      <w:r w:rsidRPr="00406F1F">
        <w:t>изграждане на малки водоснабдителни обекти на стойност 1,5 млн. л</w:t>
      </w:r>
      <w:r>
        <w:t>е</w:t>
      </w:r>
      <w:r w:rsidRPr="00406F1F">
        <w:t>в</w:t>
      </w:r>
      <w:r>
        <w:t>а</w:t>
      </w:r>
      <w:r w:rsidRPr="00406F1F">
        <w:t>;</w:t>
      </w:r>
    </w:p>
    <w:p w:rsidR="000938C1" w:rsidRPr="00406F1F" w:rsidRDefault="000938C1" w:rsidP="00F30F79">
      <w:pPr>
        <w:numPr>
          <w:ilvl w:val="0"/>
          <w:numId w:val="51"/>
        </w:numPr>
        <w:tabs>
          <w:tab w:val="left" w:pos="1080"/>
        </w:tabs>
        <w:ind w:left="0" w:firstLine="900"/>
        <w:jc w:val="both"/>
      </w:pPr>
      <w:r w:rsidRPr="00406F1F">
        <w:t>пречиствателни станции за отпадни води, канализационни мрежи и довеждащи колектори и корекции на речни корита и дерета, на обща стойност 4,1 млн. л</w:t>
      </w:r>
      <w:r>
        <w:t>е</w:t>
      </w:r>
      <w:r w:rsidRPr="00406F1F">
        <w:t>в</w:t>
      </w:r>
      <w:r>
        <w:t>а</w:t>
      </w:r>
      <w:r w:rsidRPr="00406F1F">
        <w:t>.</w:t>
      </w:r>
    </w:p>
    <w:p w:rsidR="000938C1" w:rsidRPr="00406F1F" w:rsidRDefault="000938C1" w:rsidP="00E300F0">
      <w:pPr>
        <w:tabs>
          <w:tab w:val="num" w:pos="720"/>
          <w:tab w:val="left" w:pos="1080"/>
        </w:tabs>
        <w:ind w:firstLine="720"/>
        <w:jc w:val="both"/>
      </w:pPr>
      <w:r w:rsidRPr="00406F1F">
        <w:t>В областта на управление на отпадъците са изразходвани средства в размер на 24,6 млн. лв., от които за:</w:t>
      </w:r>
    </w:p>
    <w:p w:rsidR="000938C1" w:rsidRPr="00406F1F" w:rsidRDefault="000938C1" w:rsidP="00F30F79">
      <w:pPr>
        <w:numPr>
          <w:ilvl w:val="0"/>
          <w:numId w:val="51"/>
        </w:numPr>
        <w:tabs>
          <w:tab w:val="left" w:pos="1080"/>
        </w:tabs>
        <w:ind w:left="0" w:firstLine="900"/>
        <w:jc w:val="both"/>
      </w:pPr>
      <w:r w:rsidRPr="00406F1F">
        <w:t>изграждане на интегрирана система от съоръжения за третиране на отпадъци /депа/ - 3,4 млн. л</w:t>
      </w:r>
      <w:r>
        <w:t>е</w:t>
      </w:r>
      <w:r w:rsidRPr="00406F1F">
        <w:t>в</w:t>
      </w:r>
      <w:r>
        <w:t>а</w:t>
      </w:r>
      <w:r w:rsidRPr="00406F1F">
        <w:t>;</w:t>
      </w:r>
    </w:p>
    <w:p w:rsidR="000938C1" w:rsidRPr="00406F1F" w:rsidRDefault="000938C1" w:rsidP="00F30F79">
      <w:pPr>
        <w:numPr>
          <w:ilvl w:val="0"/>
          <w:numId w:val="51"/>
        </w:numPr>
        <w:tabs>
          <w:tab w:val="left" w:pos="1080"/>
        </w:tabs>
        <w:ind w:left="0" w:firstLine="900"/>
        <w:jc w:val="both"/>
      </w:pPr>
      <w:r w:rsidRPr="00406F1F">
        <w:t>по договори за изграждане на сепариращи инсталации за битови отпадъци – 2,4 млн. л</w:t>
      </w:r>
      <w:r>
        <w:t>е</w:t>
      </w:r>
      <w:r w:rsidRPr="00406F1F">
        <w:t>в</w:t>
      </w:r>
      <w:r>
        <w:t>а</w:t>
      </w:r>
      <w:r w:rsidRPr="00406F1F">
        <w:t>;</w:t>
      </w:r>
    </w:p>
    <w:p w:rsidR="000938C1" w:rsidRDefault="000938C1" w:rsidP="00F30F79">
      <w:pPr>
        <w:numPr>
          <w:ilvl w:val="0"/>
          <w:numId w:val="51"/>
        </w:numPr>
        <w:tabs>
          <w:tab w:val="left" w:pos="1080"/>
        </w:tabs>
        <w:ind w:left="0" w:firstLine="900"/>
        <w:jc w:val="both"/>
      </w:pPr>
      <w:r w:rsidRPr="00854692">
        <w:t xml:space="preserve">по договори за закриване и рекултивация на общински депа за битови отпадъци съгласно ПМС </w:t>
      </w:r>
      <w:r w:rsidRPr="00854692">
        <w:rPr>
          <w:lang w:eastAsia="en-US"/>
        </w:rPr>
        <w:t>№</w:t>
      </w:r>
      <w:r w:rsidRPr="00854692">
        <w:t xml:space="preserve">209/2009 г. и ПМС </w:t>
      </w:r>
      <w:r w:rsidRPr="00854692">
        <w:rPr>
          <w:lang w:eastAsia="en-US"/>
        </w:rPr>
        <w:t>№</w:t>
      </w:r>
      <w:r w:rsidRPr="00854692">
        <w:t xml:space="preserve">84/2012 г. за изменение и допълнение на ПМС </w:t>
      </w:r>
      <w:r w:rsidRPr="00854692">
        <w:rPr>
          <w:lang w:eastAsia="en-US"/>
        </w:rPr>
        <w:t>№</w:t>
      </w:r>
      <w:r w:rsidRPr="00854692">
        <w:t>209/2009 г. – 13,1 млн. лева.</w:t>
      </w:r>
    </w:p>
    <w:p w:rsidR="000938C1" w:rsidRPr="00854692" w:rsidRDefault="000938C1" w:rsidP="00F30F79">
      <w:pPr>
        <w:numPr>
          <w:ilvl w:val="0"/>
          <w:numId w:val="51"/>
        </w:numPr>
        <w:tabs>
          <w:tab w:val="left" w:pos="1080"/>
        </w:tabs>
        <w:ind w:left="0" w:firstLine="900"/>
        <w:jc w:val="both"/>
      </w:pPr>
      <w:r w:rsidRPr="0050728F">
        <w:t>по договори на МОСВ за закриване и рекултивация на общински депа за битови отпадъци съгласно ПМС 209/2009г. и ПМС 84/2012г. за изменение и допълнение на ПМС 209/2009г 5</w:t>
      </w:r>
      <w:r>
        <w:t>,6 млн.</w:t>
      </w:r>
      <w:r w:rsidRPr="0050728F">
        <w:t xml:space="preserve"> лв.</w:t>
      </w:r>
    </w:p>
    <w:p w:rsidR="000938C1" w:rsidRDefault="000938C1" w:rsidP="00E300F0">
      <w:pPr>
        <w:tabs>
          <w:tab w:val="num" w:pos="720"/>
        </w:tabs>
        <w:ind w:firstLine="720"/>
        <w:jc w:val="both"/>
      </w:pPr>
      <w:r>
        <w:t xml:space="preserve">В областта на опазване чистотата на въздуха – финансирани проекти за 0,15 млн. лева. </w:t>
      </w:r>
    </w:p>
    <w:p w:rsidR="000938C1" w:rsidRPr="00854692" w:rsidRDefault="000938C1" w:rsidP="00E300F0">
      <w:pPr>
        <w:tabs>
          <w:tab w:val="num" w:pos="720"/>
        </w:tabs>
        <w:ind w:firstLine="720"/>
        <w:jc w:val="both"/>
      </w:pPr>
      <w:r w:rsidRPr="00854692">
        <w:t>В областта на биоразнообразието – финанси</w:t>
      </w:r>
      <w:r>
        <w:t>рани проекти за 0,</w:t>
      </w:r>
      <w:r w:rsidRPr="00854692">
        <w:t>08 млн. лева.</w:t>
      </w:r>
    </w:p>
    <w:p w:rsidR="000938C1" w:rsidRPr="00854692" w:rsidRDefault="000938C1" w:rsidP="00E300F0">
      <w:pPr>
        <w:tabs>
          <w:tab w:val="num" w:pos="720"/>
        </w:tabs>
        <w:ind w:firstLine="720"/>
        <w:jc w:val="both"/>
      </w:pPr>
      <w:r w:rsidRPr="00854692">
        <w:t>В областта на повишаване на екологичното съзнание и култура, информационната и образователната дейност – финансираните проекти са за 3,0 млн. лева.</w:t>
      </w:r>
    </w:p>
    <w:p w:rsidR="000938C1" w:rsidRPr="00854692" w:rsidRDefault="000938C1" w:rsidP="00E300F0">
      <w:pPr>
        <w:tabs>
          <w:tab w:val="num" w:pos="720"/>
        </w:tabs>
        <w:ind w:firstLine="720"/>
        <w:jc w:val="both"/>
      </w:pPr>
      <w:r w:rsidRPr="00854692">
        <w:t>За планове за дейности, екологични мероприятия и мониторинг на МОСВ – 6,3 млн. лева.</w:t>
      </w:r>
    </w:p>
    <w:p w:rsidR="000938C1" w:rsidRPr="00854692" w:rsidRDefault="000938C1" w:rsidP="00E300F0">
      <w:pPr>
        <w:tabs>
          <w:tab w:val="num" w:pos="720"/>
        </w:tabs>
        <w:ind w:firstLine="720"/>
        <w:jc w:val="both"/>
      </w:pPr>
      <w:r w:rsidRPr="00854692">
        <w:t>През отчетния период ПУДООС е финансирало екологични проекти и дейности на бюджетни структури, както следва:</w:t>
      </w:r>
    </w:p>
    <w:p w:rsidR="000938C1" w:rsidRPr="00854692" w:rsidRDefault="000938C1" w:rsidP="00F30F79">
      <w:pPr>
        <w:numPr>
          <w:ilvl w:val="0"/>
          <w:numId w:val="51"/>
        </w:numPr>
        <w:tabs>
          <w:tab w:val="num" w:pos="720"/>
          <w:tab w:val="left" w:pos="1134"/>
        </w:tabs>
        <w:ind w:left="0" w:firstLine="851"/>
        <w:jc w:val="both"/>
      </w:pPr>
      <w:r w:rsidRPr="00854692">
        <w:t>обекти на територията на общините за 27,4 млн. лева;</w:t>
      </w:r>
    </w:p>
    <w:p w:rsidR="000938C1" w:rsidRPr="00854692" w:rsidRDefault="000938C1" w:rsidP="00F30F79">
      <w:pPr>
        <w:numPr>
          <w:ilvl w:val="0"/>
          <w:numId w:val="51"/>
        </w:numPr>
        <w:tabs>
          <w:tab w:val="num" w:pos="720"/>
          <w:tab w:val="left" w:pos="1134"/>
        </w:tabs>
        <w:ind w:left="0" w:firstLine="851"/>
        <w:jc w:val="both"/>
      </w:pPr>
      <w:r w:rsidRPr="00854692">
        <w:t>за структурите на Министерския съвет – 0,09 млн. лева;</w:t>
      </w:r>
    </w:p>
    <w:p w:rsidR="000938C1" w:rsidRPr="00854692" w:rsidRDefault="000938C1" w:rsidP="00F30F79">
      <w:pPr>
        <w:numPr>
          <w:ilvl w:val="0"/>
          <w:numId w:val="51"/>
        </w:numPr>
        <w:tabs>
          <w:tab w:val="num" w:pos="720"/>
          <w:tab w:val="left" w:pos="1134"/>
        </w:tabs>
        <w:ind w:left="0" w:firstLine="851"/>
        <w:jc w:val="both"/>
      </w:pPr>
      <w:r w:rsidRPr="00854692">
        <w:t>за структури на Министерство на образованието, младежта и науката и държавни висши училища – 0,03 млн. лева;</w:t>
      </w:r>
    </w:p>
    <w:p w:rsidR="000938C1" w:rsidRPr="00854692" w:rsidRDefault="000938C1" w:rsidP="00F30F79">
      <w:pPr>
        <w:numPr>
          <w:ilvl w:val="0"/>
          <w:numId w:val="51"/>
        </w:numPr>
        <w:tabs>
          <w:tab w:val="num" w:pos="720"/>
          <w:tab w:val="left" w:pos="1134"/>
        </w:tabs>
        <w:ind w:left="0" w:firstLine="851"/>
        <w:jc w:val="both"/>
      </w:pPr>
      <w:r w:rsidRPr="00854692">
        <w:t>за структури на БАН – 0,2 млн. лева;</w:t>
      </w:r>
    </w:p>
    <w:p w:rsidR="000938C1" w:rsidRPr="00854692" w:rsidRDefault="000938C1" w:rsidP="00F30F79">
      <w:pPr>
        <w:numPr>
          <w:ilvl w:val="0"/>
          <w:numId w:val="51"/>
        </w:numPr>
        <w:tabs>
          <w:tab w:val="num" w:pos="720"/>
          <w:tab w:val="left" w:pos="1134"/>
        </w:tabs>
        <w:ind w:left="0" w:firstLine="851"/>
        <w:jc w:val="both"/>
      </w:pPr>
      <w:r w:rsidRPr="00854692">
        <w:t>за Министерство на околната среда и водите – 12,0 млн. лева.</w:t>
      </w:r>
    </w:p>
    <w:p w:rsidR="000938C1" w:rsidRPr="00854692" w:rsidRDefault="000938C1" w:rsidP="00E300F0">
      <w:pPr>
        <w:ind w:firstLine="720"/>
        <w:jc w:val="both"/>
      </w:pPr>
      <w:r w:rsidRPr="00854692">
        <w:t xml:space="preserve">В ПУДООС постъпват приходи от погасителни вноски по предоставени заеми на общини и фирми. Средствата се предоставят за нови безлихвени заеми за създаване на механизми за разделно събиране, рециклиране и повторна употреба на отпадъците, закупуване на съдове и техника за сметосъбиране и извозване, изграждане на МВЕЦ, и проекти за зелени инвестиции по Мостово финансиране между Министерство на финансите, ПУДООС и Национален доверителен екофонд. </w:t>
      </w:r>
    </w:p>
    <w:p w:rsidR="000938C1" w:rsidRPr="00CF1A14" w:rsidRDefault="000938C1" w:rsidP="00E300F0">
      <w:pPr>
        <w:pStyle w:val="BodyText2"/>
        <w:spacing w:before="120" w:line="240" w:lineRule="auto"/>
        <w:ind w:firstLine="708"/>
        <w:jc w:val="both"/>
        <w:rPr>
          <w:color w:val="0070C0"/>
        </w:rPr>
      </w:pPr>
      <w:r w:rsidRPr="00854692">
        <w:t>Получаването на погасителните вноски и предоставянето на заеми на общини се разчитат и отчитат, като „Временни безлихвени заеми от/за ПУДООС”. Към 31.12.</w:t>
      </w:r>
      <w:r w:rsidRPr="00854692">
        <w:rPr>
          <w:lang w:val="ru-RU"/>
        </w:rPr>
        <w:t>2013</w:t>
      </w:r>
      <w:r w:rsidRPr="00854692">
        <w:t xml:space="preserve"> г. от погасителни вноски по заеми на общини са получени 10,8 млн. лв. и са предоставени заеми за 24,7 млн. лева.</w:t>
      </w:r>
    </w:p>
    <w:p w:rsidR="000938C1" w:rsidRPr="00E300F0" w:rsidRDefault="000938C1" w:rsidP="00F30F79">
      <w:pPr>
        <w:pStyle w:val="Heading2"/>
        <w:numPr>
          <w:ilvl w:val="0"/>
          <w:numId w:val="60"/>
        </w:numPr>
        <w:rPr>
          <w:rFonts w:ascii="Times New Roman" w:hAnsi="Times New Roman" w:cs="Times New Roman"/>
          <w:i w:val="0"/>
          <w:iCs w:val="0"/>
          <w:sz w:val="24"/>
        </w:rPr>
      </w:pPr>
      <w:bookmarkStart w:id="361" w:name="_Toc393728107"/>
      <w:r w:rsidRPr="00E300F0">
        <w:rPr>
          <w:rFonts w:ascii="Times New Roman" w:hAnsi="Times New Roman" w:cs="Times New Roman"/>
          <w:i w:val="0"/>
          <w:iCs w:val="0"/>
          <w:sz w:val="24"/>
        </w:rPr>
        <w:t>Извънбюджетна сметка към министъра на финансите за средствата от продажбата на предписани емисионни единици</w:t>
      </w:r>
      <w:bookmarkEnd w:id="361"/>
    </w:p>
    <w:p w:rsidR="000938C1" w:rsidRPr="004A5F29" w:rsidRDefault="000938C1" w:rsidP="00E300F0">
      <w:pPr>
        <w:pStyle w:val="BodyText3"/>
        <w:spacing w:before="120"/>
        <w:ind w:firstLine="720"/>
        <w:jc w:val="both"/>
        <w:rPr>
          <w:sz w:val="24"/>
          <w:szCs w:val="24"/>
        </w:rPr>
      </w:pPr>
      <w:r w:rsidRPr="004A5F29">
        <w:rPr>
          <w:sz w:val="24"/>
          <w:szCs w:val="24"/>
        </w:rPr>
        <w:t>Извънбюджетна сметка към министъра на финансите за средствата от продажбата на предписани емисионни единици е открита съгласно чл.142в, ал. 1 от Закона за опазване на околната среда (ЗООС) и Приложение № 8 „Списък на извънбюджетните фондове и сметки, които ще функционират през 2013 г.” към § 26 от преходните и заключителни разпоредби на ЗДБРБ за 2013 г. През 2013 г. по тази извънбюджетна сметка не са постъпили приходи.</w:t>
      </w:r>
    </w:p>
    <w:p w:rsidR="000938C1" w:rsidRDefault="000938C1" w:rsidP="00E300F0">
      <w:pPr>
        <w:pStyle w:val="BodyText3"/>
        <w:spacing w:before="120"/>
        <w:ind w:firstLine="720"/>
        <w:jc w:val="both"/>
        <w:rPr>
          <w:sz w:val="24"/>
          <w:szCs w:val="24"/>
        </w:rPr>
      </w:pPr>
      <w:r w:rsidRPr="00124DC2">
        <w:rPr>
          <w:sz w:val="24"/>
          <w:szCs w:val="24"/>
        </w:rPr>
        <w:t>През 2013 г. по сметката са извършени разходи в размер на 0,5 млн. лв.</w:t>
      </w:r>
      <w:r w:rsidRPr="00124DC2">
        <w:rPr>
          <w:sz w:val="24"/>
          <w:szCs w:val="24"/>
          <w:lang w:val="en-US"/>
        </w:rPr>
        <w:t xml:space="preserve">, </w:t>
      </w:r>
      <w:r w:rsidRPr="00124DC2">
        <w:rPr>
          <w:sz w:val="24"/>
          <w:szCs w:val="24"/>
        </w:rPr>
        <w:t>от които</w:t>
      </w:r>
      <w:r w:rsidRPr="00124DC2">
        <w:rPr>
          <w:sz w:val="24"/>
          <w:szCs w:val="24"/>
          <w:lang w:val="en-US"/>
        </w:rPr>
        <w:t xml:space="preserve"> 0</w:t>
      </w:r>
      <w:r w:rsidRPr="00124DC2">
        <w:rPr>
          <w:sz w:val="24"/>
          <w:szCs w:val="24"/>
        </w:rPr>
        <w:t>,2 млн. лв. представляват капиталови трансфери за покриване на разходи за извършени строително-ремонтни работи по проект от Националната схема за зелени инвестиции на частен бенефициент за обект „Еко Енергиен парк „Доспат“ – газификация и когенерация на биомаса за производство на електрическа енергия в с. Барутин, община Доспат. Към края на 2013 г. средствата, възстановени на ПУДООС по отпуснати безлихвени заеми, съгласно Тристранно рамково споразумение за предоставяне на мостово финансиране, относно Схема за зелени инвестиции между МФ, ПУДООС и Национален доверителен екофонд по приключили проекти, изпълнени от публични бенефициенти, са в размер на 7,9 млн. лв. Към 31.12.2013 г. по сметката на ПЕЕ са отчетени временни безлихвени заеми в размер на 2,7 млн. лева.</w:t>
      </w:r>
    </w:p>
    <w:p w:rsidR="000938C1" w:rsidRPr="00E300F0" w:rsidRDefault="000938C1" w:rsidP="00F30F79">
      <w:pPr>
        <w:pStyle w:val="Heading2"/>
        <w:numPr>
          <w:ilvl w:val="0"/>
          <w:numId w:val="60"/>
        </w:numPr>
        <w:rPr>
          <w:rFonts w:ascii="Times New Roman" w:hAnsi="Times New Roman" w:cs="Times New Roman"/>
          <w:i w:val="0"/>
          <w:iCs w:val="0"/>
          <w:sz w:val="24"/>
        </w:rPr>
      </w:pPr>
      <w:bookmarkStart w:id="362" w:name="_Toc393728108"/>
      <w:r>
        <w:rPr>
          <w:rFonts w:ascii="Times New Roman" w:hAnsi="Times New Roman" w:cs="Times New Roman"/>
          <w:i w:val="0"/>
          <w:iCs w:val="0"/>
          <w:sz w:val="24"/>
        </w:rPr>
        <w:t>С</w:t>
      </w:r>
      <w:r w:rsidRPr="00E300F0">
        <w:rPr>
          <w:rFonts w:ascii="Times New Roman" w:hAnsi="Times New Roman" w:cs="Times New Roman"/>
          <w:i w:val="0"/>
          <w:iCs w:val="0"/>
          <w:sz w:val="24"/>
        </w:rPr>
        <w:t xml:space="preserve">метка </w:t>
      </w:r>
      <w:r>
        <w:rPr>
          <w:rFonts w:ascii="Times New Roman" w:hAnsi="Times New Roman" w:cs="Times New Roman"/>
          <w:i w:val="0"/>
          <w:iCs w:val="0"/>
          <w:sz w:val="24"/>
        </w:rPr>
        <w:t>за чужди средства на</w:t>
      </w:r>
      <w:r w:rsidRPr="00E300F0">
        <w:rPr>
          <w:rFonts w:ascii="Times New Roman" w:hAnsi="Times New Roman" w:cs="Times New Roman"/>
          <w:i w:val="0"/>
          <w:iCs w:val="0"/>
          <w:sz w:val="24"/>
        </w:rPr>
        <w:t xml:space="preserve"> М</w:t>
      </w:r>
      <w:r>
        <w:rPr>
          <w:rFonts w:ascii="Times New Roman" w:hAnsi="Times New Roman" w:cs="Times New Roman"/>
          <w:i w:val="0"/>
          <w:iCs w:val="0"/>
          <w:sz w:val="24"/>
        </w:rPr>
        <w:t>М</w:t>
      </w:r>
      <w:r w:rsidRPr="00E300F0">
        <w:rPr>
          <w:rFonts w:ascii="Times New Roman" w:hAnsi="Times New Roman" w:cs="Times New Roman"/>
          <w:i w:val="0"/>
          <w:iCs w:val="0"/>
          <w:sz w:val="24"/>
        </w:rPr>
        <w:t>С</w:t>
      </w:r>
      <w:bookmarkEnd w:id="362"/>
    </w:p>
    <w:p w:rsidR="000938C1" w:rsidRPr="000D408E" w:rsidRDefault="000938C1" w:rsidP="00E300F0">
      <w:pPr>
        <w:tabs>
          <w:tab w:val="left" w:pos="720"/>
        </w:tabs>
        <w:spacing w:before="120" w:after="120"/>
        <w:ind w:firstLine="720"/>
        <w:jc w:val="both"/>
      </w:pPr>
      <w:r w:rsidRPr="000D408E">
        <w:t xml:space="preserve">Съгласно чл. 59б от Закона за физическото възпитание и спорта разпределените средства от постъпленията на Държавно предприятие "Български спортен тотализатор" по чл. 14, ал. 3 от Закона за хазарта се съхраняват по сметка за чужди средства на Министерството на </w:t>
      </w:r>
      <w:r w:rsidRPr="000D408E">
        <w:rPr>
          <w:bdr w:val="none" w:sz="0" w:space="0" w:color="auto" w:frame="1"/>
          <w:shd w:val="clear" w:color="auto" w:fill="FFFFFF"/>
        </w:rPr>
        <w:t>младежта</w:t>
      </w:r>
      <w:r w:rsidRPr="000D408E">
        <w:t xml:space="preserve"> и </w:t>
      </w:r>
      <w:r w:rsidRPr="000D408E">
        <w:rPr>
          <w:bdr w:val="none" w:sz="0" w:space="0" w:color="auto" w:frame="1"/>
          <w:shd w:val="clear" w:color="auto" w:fill="FFFFFF"/>
        </w:rPr>
        <w:t>спорта.</w:t>
      </w:r>
      <w:r w:rsidRPr="000D408E">
        <w:t xml:space="preserve"> През 2013 г. по сметка</w:t>
      </w:r>
      <w:r>
        <w:t>та</w:t>
      </w:r>
      <w:r w:rsidRPr="000D408E">
        <w:t xml:space="preserve"> на министерството са постъпили средства в размер на 30,5 млн. лв., в т.ч.: </w:t>
      </w:r>
    </w:p>
    <w:p w:rsidR="000938C1" w:rsidRPr="000D408E" w:rsidRDefault="000938C1" w:rsidP="00F30F79">
      <w:pPr>
        <w:numPr>
          <w:ilvl w:val="0"/>
          <w:numId w:val="16"/>
        </w:numPr>
        <w:tabs>
          <w:tab w:val="clear" w:pos="720"/>
          <w:tab w:val="num" w:pos="1080"/>
        </w:tabs>
        <w:ind w:left="0" w:firstLine="900"/>
        <w:jc w:val="both"/>
        <w:rPr>
          <w:bCs/>
        </w:rPr>
      </w:pPr>
      <w:r w:rsidRPr="000D408E">
        <w:rPr>
          <w:bCs/>
        </w:rPr>
        <w:t>30,46 млн. лв. приходи и доходи от собственост /вноски от приходи на държавни (общински) предприятия и институции/. Средствата са постъпления от игрите, организирани от ДП „Български спортен тотализатор” през 2013 година;</w:t>
      </w:r>
    </w:p>
    <w:p w:rsidR="000938C1" w:rsidRPr="000D408E" w:rsidRDefault="000938C1" w:rsidP="00F30F79">
      <w:pPr>
        <w:numPr>
          <w:ilvl w:val="0"/>
          <w:numId w:val="16"/>
        </w:numPr>
        <w:tabs>
          <w:tab w:val="clear" w:pos="720"/>
          <w:tab w:val="num" w:pos="1080"/>
        </w:tabs>
        <w:ind w:left="0" w:firstLine="900"/>
        <w:jc w:val="both"/>
        <w:rPr>
          <w:bCs/>
        </w:rPr>
      </w:pPr>
      <w:r w:rsidRPr="000D408E">
        <w:rPr>
          <w:bCs/>
        </w:rPr>
        <w:t>0</w:t>
      </w:r>
      <w:r>
        <w:rPr>
          <w:bCs/>
        </w:rPr>
        <w:t>,</w:t>
      </w:r>
      <w:r w:rsidRPr="000D408E">
        <w:rPr>
          <w:bCs/>
        </w:rPr>
        <w:t>04 млн. лв. от глоби, санкции и наказателни лихви. Средствата са постъпления от лихви по възстановени суми от спортни организации, поради неусвоени средства и непризнати разходи по сключени договори с ММС за финансово подпомагане на дейности на спортните организации.</w:t>
      </w:r>
    </w:p>
    <w:p w:rsidR="000938C1" w:rsidRPr="00305B2B" w:rsidRDefault="000938C1" w:rsidP="00E300F0">
      <w:pPr>
        <w:tabs>
          <w:tab w:val="left" w:pos="720"/>
        </w:tabs>
        <w:spacing w:before="120" w:after="120"/>
        <w:ind w:firstLine="720"/>
        <w:jc w:val="both"/>
      </w:pPr>
      <w:r w:rsidRPr="00305B2B">
        <w:t>За отчетния период от сметка</w:t>
      </w:r>
      <w:r>
        <w:t>та за чужди средства</w:t>
      </w:r>
      <w:r w:rsidRPr="00305B2B">
        <w:t xml:space="preserve"> на ММС са усвоени средства в размер на 28,7 млн. лв., както следва:</w:t>
      </w:r>
    </w:p>
    <w:p w:rsidR="000938C1" w:rsidRPr="00305B2B" w:rsidRDefault="000938C1" w:rsidP="00F30F79">
      <w:pPr>
        <w:numPr>
          <w:ilvl w:val="0"/>
          <w:numId w:val="16"/>
        </w:numPr>
        <w:tabs>
          <w:tab w:val="num" w:pos="0"/>
          <w:tab w:val="left" w:pos="1134"/>
        </w:tabs>
        <w:ind w:left="0" w:firstLine="900"/>
        <w:jc w:val="both"/>
        <w:rPr>
          <w:bCs/>
        </w:rPr>
      </w:pPr>
      <w:r w:rsidRPr="00305B2B">
        <w:rPr>
          <w:bCs/>
        </w:rPr>
        <w:t>22,9 млн. лв. – предоставени средства на спортни организации /спортни федерации и клубове/ по договори въз основа на одобрени проекти от ММС за финансиране на спортни дейности по реда на Наредба № Н-1 от 2007 година;</w:t>
      </w:r>
    </w:p>
    <w:p w:rsidR="000938C1" w:rsidRDefault="000938C1" w:rsidP="00F30F79">
      <w:pPr>
        <w:numPr>
          <w:ilvl w:val="0"/>
          <w:numId w:val="16"/>
        </w:numPr>
        <w:tabs>
          <w:tab w:val="left" w:pos="1134"/>
        </w:tabs>
        <w:ind w:left="0" w:firstLine="900"/>
        <w:jc w:val="both"/>
        <w:rPr>
          <w:bCs/>
        </w:rPr>
      </w:pPr>
      <w:r w:rsidRPr="00305B2B">
        <w:rPr>
          <w:bCs/>
        </w:rPr>
        <w:t>3,3 млн. лв. – отпуснати премии за олимпийски медалисти, прекратили активна състезателна дейност;</w:t>
      </w:r>
    </w:p>
    <w:p w:rsidR="000938C1" w:rsidRDefault="000938C1" w:rsidP="00F30F79">
      <w:pPr>
        <w:numPr>
          <w:ilvl w:val="0"/>
          <w:numId w:val="16"/>
        </w:numPr>
        <w:tabs>
          <w:tab w:val="left" w:pos="1134"/>
        </w:tabs>
        <w:spacing w:before="120" w:after="120"/>
        <w:ind w:left="0" w:firstLine="851"/>
        <w:jc w:val="both"/>
        <w:rPr>
          <w:bCs/>
        </w:rPr>
      </w:pPr>
      <w:r w:rsidRPr="00305B2B">
        <w:rPr>
          <w:bCs/>
        </w:rPr>
        <w:t>2,5 млн. лв. – предоставени капиталови трансфери на спортни организации за изграждане и реконструкция на спортни обекти и съоръжения.</w:t>
      </w:r>
    </w:p>
    <w:p w:rsidR="000938C1" w:rsidRDefault="000938C1" w:rsidP="00F30F79">
      <w:pPr>
        <w:pStyle w:val="Heading2"/>
        <w:numPr>
          <w:ilvl w:val="0"/>
          <w:numId w:val="60"/>
        </w:numPr>
        <w:rPr>
          <w:rFonts w:ascii="Times New Roman" w:hAnsi="Times New Roman" w:cs="Times New Roman"/>
          <w:i w:val="0"/>
          <w:iCs w:val="0"/>
          <w:sz w:val="24"/>
        </w:rPr>
      </w:pPr>
      <w:bookmarkStart w:id="363" w:name="_Toc393728109"/>
      <w:r w:rsidRPr="00E300F0">
        <w:rPr>
          <w:rFonts w:ascii="Times New Roman" w:hAnsi="Times New Roman" w:cs="Times New Roman"/>
          <w:i w:val="0"/>
          <w:iCs w:val="0"/>
          <w:sz w:val="24"/>
        </w:rPr>
        <w:t>Сметка за чужди средства, открита съгласно §28 от Преходните и заключителните разпоредби на ЗИД на Закона за българските лични документи към МВР</w:t>
      </w:r>
      <w:bookmarkEnd w:id="363"/>
    </w:p>
    <w:p w:rsidR="000938C1" w:rsidRPr="00183633" w:rsidRDefault="000938C1" w:rsidP="00183633"/>
    <w:p w:rsidR="000938C1" w:rsidRPr="00305B2B" w:rsidRDefault="000938C1" w:rsidP="00E300F0">
      <w:pPr>
        <w:ind w:firstLine="720"/>
        <w:jc w:val="both"/>
      </w:pPr>
      <w:r w:rsidRPr="00305B2B">
        <w:t>Съгласно §</w:t>
      </w:r>
      <w:r>
        <w:t xml:space="preserve"> </w:t>
      </w:r>
      <w:r w:rsidRPr="00305B2B">
        <w:rPr>
          <w:lang w:val="ru-RU"/>
        </w:rPr>
        <w:t>28 от Преходните и заключителните разпоредби на ЗИД на Закона за българските лични документи към МВР</w:t>
      </w:r>
      <w:r w:rsidRPr="00305B2B">
        <w:t>, събираните такси от издаването на документи за самоличност, документи за пребиваване в Република България и за управление на моторно превозно средство постъпват по отделна сметка за чужди средства на Министерството на вътрешните работи и се ползват за погасяване на задължения към фирмите-изпълнители във връзка с придобиване на активи или ползване на услуги, съгласно сключен договор, както и за покриване на разходи по бюджета на Министерството на вътрешните работи за съответната година. Приходите постъпват по сметката от 1 юли 2009 г.</w:t>
      </w:r>
    </w:p>
    <w:p w:rsidR="000938C1" w:rsidRDefault="000938C1" w:rsidP="00E300F0">
      <w:pPr>
        <w:ind w:firstLine="720"/>
        <w:jc w:val="both"/>
        <w:rPr>
          <w:color w:val="0070C0"/>
        </w:rPr>
      </w:pPr>
      <w:r w:rsidRPr="00627F38">
        <w:t>Отчетените за 2013 г</w:t>
      </w:r>
      <w:r w:rsidRPr="00E300F0">
        <w:t>. приходи от събрани такси са в размер на 41,9 млн. лв., а по бюджета на МВР са прехвърлени 52,7 млн. лв. за разплащане на част от задълженията за текуща издръжка. Отчетените за 2013 г. разходи са в размер на 15,8 млн. лв.,</w:t>
      </w:r>
      <w:r w:rsidRPr="00627F38">
        <w:t>от тях 15,1 млн. лв. са издръжка и представляват разходи за материали, консумативи, абонаментно поддържане на компютърна техника и комуникационни устройства</w:t>
      </w:r>
      <w:r>
        <w:t>,</w:t>
      </w:r>
      <w:r w:rsidRPr="00627F38">
        <w:t xml:space="preserve"> и държавни такси на основание Тарифа </w:t>
      </w:r>
      <w:r w:rsidRPr="00627F38">
        <w:rPr>
          <w:bCs/>
        </w:rPr>
        <w:t>№</w:t>
      </w:r>
      <w:r w:rsidRPr="00627F38">
        <w:t>12 за упражнен финансов контрол на отпечатани ценни книжа.</w:t>
      </w:r>
      <w:r>
        <w:t xml:space="preserve"> Извършени са и разходи за лихви по финансов лизинг в размер на 0,7 млн. лева.</w:t>
      </w:r>
    </w:p>
    <w:p w:rsidR="000938C1" w:rsidRPr="00136824" w:rsidRDefault="000938C1" w:rsidP="00E300F0">
      <w:pPr>
        <w:ind w:firstLine="720"/>
        <w:jc w:val="both"/>
      </w:pPr>
      <w:r w:rsidRPr="00136824">
        <w:t xml:space="preserve">Отчетена е сума по § 93-17 в размер на 8,9 млн. лв., </w:t>
      </w:r>
      <w:r>
        <w:t xml:space="preserve">която </w:t>
      </w:r>
      <w:r w:rsidRPr="00136824">
        <w:t xml:space="preserve">представлява задължения по финансовия лизинг, съгласно чл. 4 от Споразумение със „СИМЕНС“ ЕООД рег. </w:t>
      </w:r>
      <w:r w:rsidRPr="00136824">
        <w:rPr>
          <w:bCs/>
        </w:rPr>
        <w:t xml:space="preserve">№ </w:t>
      </w:r>
      <w:r w:rsidRPr="00136824">
        <w:rPr>
          <w:lang w:val="en-US"/>
        </w:rPr>
        <w:t>I</w:t>
      </w:r>
      <w:r w:rsidRPr="00136824">
        <w:t>-9365/2012 г</w:t>
      </w:r>
      <w:r>
        <w:t>одина</w:t>
      </w:r>
      <w:r w:rsidRPr="00136824">
        <w:t>.</w:t>
      </w:r>
    </w:p>
    <w:p w:rsidR="000938C1" w:rsidRPr="00CF1A14" w:rsidRDefault="000938C1" w:rsidP="003A41FD">
      <w:pPr>
        <w:ind w:firstLine="720"/>
        <w:jc w:val="both"/>
        <w:rPr>
          <w:color w:val="0070C0"/>
        </w:rPr>
      </w:pPr>
    </w:p>
    <w:p w:rsidR="000938C1" w:rsidRPr="00CF1A14" w:rsidRDefault="000938C1" w:rsidP="003A41FD">
      <w:pPr>
        <w:pStyle w:val="BodyText2"/>
        <w:spacing w:before="120" w:line="240" w:lineRule="auto"/>
        <w:ind w:firstLine="708"/>
        <w:jc w:val="both"/>
        <w:rPr>
          <w:color w:val="0070C0"/>
          <w:sz w:val="8"/>
          <w:szCs w:val="8"/>
        </w:rPr>
      </w:pPr>
      <w:r w:rsidRPr="00CF1A14">
        <w:rPr>
          <w:color w:val="0070C0"/>
          <w:szCs w:val="28"/>
        </w:rPr>
        <w:br w:type="page"/>
      </w:r>
    </w:p>
    <w:p w:rsidR="000938C1" w:rsidRPr="00DC1432" w:rsidRDefault="000938C1" w:rsidP="009C2A71">
      <w:pPr>
        <w:pStyle w:val="Heading1"/>
        <w:rPr>
          <w:sz w:val="28"/>
          <w:szCs w:val="28"/>
        </w:rPr>
      </w:pPr>
      <w:bookmarkStart w:id="364" w:name="_Toc324863459"/>
      <w:bookmarkStart w:id="365" w:name="_Toc393728110"/>
      <w:r w:rsidRPr="00DC1432">
        <w:rPr>
          <w:sz w:val="28"/>
          <w:szCs w:val="28"/>
        </w:rPr>
        <w:t>ЗАКЛЮЧЕНИЕ</w:t>
      </w:r>
      <w:bookmarkEnd w:id="364"/>
      <w:bookmarkEnd w:id="365"/>
    </w:p>
    <w:p w:rsidR="000938C1" w:rsidRPr="00DC1432" w:rsidRDefault="000938C1" w:rsidP="009C2A71">
      <w:pPr>
        <w:ind w:firstLine="720"/>
        <w:jc w:val="both"/>
        <w:rPr>
          <w:sz w:val="16"/>
          <w:szCs w:val="16"/>
        </w:rPr>
      </w:pPr>
    </w:p>
    <w:p w:rsidR="000938C1" w:rsidRPr="00DC1432" w:rsidRDefault="000938C1" w:rsidP="007D5E67">
      <w:pPr>
        <w:ind w:firstLine="629"/>
        <w:jc w:val="both"/>
      </w:pPr>
      <w:r w:rsidRPr="00DC1432">
        <w:t>През 2013 г. икономическата среда се разви по-песимистично от първоначалните прогнози, като икономическия растеж остана слаб и не позволи по-интензивно възстановяване на приходите. В средата на годината бе направена актуализация на Закона за държавния бюджет за 2013 г. с отразяване в него на промените в текущата икономическа ситуация в страната и обезпечаване с необходимия ресурс на приоритетните политики в програмата на новоизбраното правителството до края на годината. С одобрения Закон за изменение и допълнение на ЗДБРБ за 2013 г. фискалната цел за годината бе променена, като в разчетите бе заложено дефицитът по КФП да не надвиши 2 % от БВП, което е в съответствие с националните фискални правила.</w:t>
      </w:r>
    </w:p>
    <w:p w:rsidR="000938C1" w:rsidRPr="00DC1432" w:rsidRDefault="000938C1" w:rsidP="007D5E67">
      <w:pPr>
        <w:ind w:firstLine="629"/>
        <w:jc w:val="both"/>
      </w:pPr>
    </w:p>
    <w:p w:rsidR="000938C1" w:rsidRPr="00DC1432" w:rsidRDefault="000938C1" w:rsidP="007D5E67">
      <w:pPr>
        <w:ind w:firstLine="629"/>
        <w:jc w:val="both"/>
        <w:rPr>
          <w:b/>
          <w:bCs/>
        </w:rPr>
      </w:pPr>
      <w:r w:rsidRPr="00DC1432">
        <w:t xml:space="preserve">Изпълнението на приходите по националния бюджет за 2013 г. е близко до заложеното в актуализираните разчети за годината, като изпълнението на приходите по републиканския бюджет е 98,6 на сто, като принос за отчетените параметри имат и предприетите мерки от страна на приходните администрации за повишаване на събираемостта на публичните вземания. Благоприятните ефекти в приходите бяха свързани основно с ускорено реализиране на проектите по Структурните и Кохезионния фондове на ЕС, мерките за борба със сивата икономика и повишаване на събираемостта на публичните вземания и някои постъпления с еднократен характер. Въпреки че положителните ефекти в приходната част бяха по-слаби от очакванията общо приходите и помощите нарастват с 1,9 п.п. от БВП спрямо предходната година, като основен принос за този ръст (1,1 п.п. от БВП) имат данъчните постъпления. През последните месеци на 2013 г. се наблюдаваше тенденция на постепенно подобрение на параметрите по изпълнението при преките данъци, което е свързано и с някои нормативни промени въведени от началото на годината. Най-силно изразен положителен ефект се наблюдаваше при корпоративния данък през месец декември, когато тенденцията на изоставане от разчета през предходните месеци бе изцяло преодоляна. Причина за това са и подадените голям брой годишни корекционни декларации за преизчисляване на дължим авансово корпоративен данък за 2013 година. Влияние върху параметрите по изпълнението на данъчните приходи оказа и по-високия размер на възстановения данъчен кредит към фирмите през 2013 г., като </w:t>
      </w:r>
      <w:r w:rsidRPr="00DC1432">
        <w:rPr>
          <w:bCs/>
        </w:rPr>
        <w:t>невъзстановения ДДС към края на 2013 г. бе сведен до най-ниското му равнище за последните 7 години.</w:t>
      </w:r>
    </w:p>
    <w:p w:rsidR="000938C1" w:rsidRPr="00DC1432" w:rsidRDefault="000938C1" w:rsidP="007D5E67">
      <w:pPr>
        <w:ind w:firstLine="629"/>
        <w:jc w:val="both"/>
      </w:pPr>
      <w:r w:rsidRPr="00DC1432">
        <w:t>При постъпленията от социални и здравноосигурителни вноски изпълнението на годишния разчет е 99,8 %. При постъпленията от здравноосигурителни вноски се отчита преизпълнение на плана, докато по бюджета на ДОО реализирани икономии в разходите компенсират изцяло неизпълнението при приходите, с което не се влошава бюджетното салдо.</w:t>
      </w:r>
    </w:p>
    <w:p w:rsidR="000938C1" w:rsidRPr="00DC1432" w:rsidRDefault="000938C1" w:rsidP="007D5E67">
      <w:pPr>
        <w:ind w:firstLine="629"/>
        <w:jc w:val="both"/>
      </w:pPr>
      <w:r w:rsidRPr="00DC1432">
        <w:t>Едновременно с усилията за нормализиране на бизнес средата приоритет в разходните политики бяха социалните отговорности на държавата и очерталия се недостиг за финансиране на сектора на здравеопазването. През месец декември на пенсионерите с най-ниски пенсии за първи път от четири години бе изплатена коледна добавка към пенсиите, като необходимия ресурс в размер на 53,5 млн. лв. бе осигурен чрез преструктуриране на разходите и трансферите по републиканския бюджет без да се влошава одобрения бюджетен дефицит. Подобрената събираемост на приходите от здравни вноски и направените промени по бюджета на НЗОК позволиха да бъде посрещната основната част от недостига за финансиране по бюджета на НЗОК в последните месеци на годината. Осигуреният допълнителен ресурс по бюджета на НЗОК за 2013 г. за сметка на преизпълнение на приходите от здравни вноски и одобрени промени по бюджета на НЗОК бе в общ размер на 71,7 млн. лева.</w:t>
      </w:r>
    </w:p>
    <w:p w:rsidR="000938C1" w:rsidRPr="00DC1432" w:rsidRDefault="000938C1" w:rsidP="007D5E67">
      <w:pPr>
        <w:ind w:firstLine="629"/>
        <w:jc w:val="both"/>
      </w:pPr>
    </w:p>
    <w:p w:rsidR="000938C1" w:rsidRPr="00DC1432" w:rsidRDefault="000938C1" w:rsidP="007D5E67">
      <w:pPr>
        <w:ind w:firstLine="629"/>
        <w:jc w:val="both"/>
      </w:pPr>
      <w:r w:rsidRPr="00DC1432">
        <w:t xml:space="preserve">Дефицитът по консолидираната фискална програма на касова основа за 2013 г. е в размер на 1,8 % от БВП, а оценен по методологията на ЕСС 95 в априлските Нотификационни таблици дефицитът на България е в размер на 1,5 % от БВП. В актуализираните разчети към ЗДБРБ за 2013 г. бе предвидено дефицитът по КФП да не превиши 2,0 % от прогнозния БВП, т.е. дефицитът за 2013 г. е по-нисък с 0,2 п.п. от БВП спрямо разчета.  </w:t>
      </w:r>
    </w:p>
    <w:p w:rsidR="000938C1" w:rsidRPr="00DC1432" w:rsidRDefault="000938C1" w:rsidP="007D5E67">
      <w:pPr>
        <w:ind w:firstLine="629"/>
        <w:jc w:val="both"/>
        <w:rPr>
          <w:iCs/>
        </w:rPr>
      </w:pPr>
      <w:r w:rsidRPr="00DC1432">
        <w:rPr>
          <w:iCs/>
        </w:rPr>
        <w:t xml:space="preserve">По-долу са представени накратко основни бюджетни показатели и макроикономически параметри за 2013 г., както следва: </w:t>
      </w:r>
    </w:p>
    <w:p w:rsidR="000938C1" w:rsidRPr="00DC1432" w:rsidRDefault="000938C1" w:rsidP="007D5E67">
      <w:pPr>
        <w:numPr>
          <w:ilvl w:val="0"/>
          <w:numId w:val="32"/>
        </w:numPr>
        <w:tabs>
          <w:tab w:val="clear" w:pos="2160"/>
          <w:tab w:val="num" w:pos="360"/>
        </w:tabs>
        <w:ind w:left="0" w:firstLine="426"/>
        <w:jc w:val="both"/>
        <w:rPr>
          <w:iCs/>
        </w:rPr>
      </w:pPr>
      <w:r w:rsidRPr="00DC1432">
        <w:t>През 2013 г. брутният вътрешен продукт на България възлезе на 78 115 млн. лв. Реалният годишен растеж достигна 0,9 % при 0</w:t>
      </w:r>
      <w:r>
        <w:t>,</w:t>
      </w:r>
      <w:r w:rsidRPr="00DC1432">
        <w:t>6 % за 2012 г. Нетният износ бе с основен положителен принос за динамиката на БВП за годината. След като регистрира растеж от 3,1</w:t>
      </w:r>
      <w:r>
        <w:t xml:space="preserve"> </w:t>
      </w:r>
      <w:r w:rsidRPr="00DC1432">
        <w:t xml:space="preserve">% за предходната година, през 2013 г. вътрешното търсене намаля с 1,1 процента. </w:t>
      </w:r>
    </w:p>
    <w:p w:rsidR="000938C1" w:rsidRPr="00DC1432" w:rsidRDefault="000938C1" w:rsidP="007D5E67">
      <w:pPr>
        <w:numPr>
          <w:ilvl w:val="0"/>
          <w:numId w:val="32"/>
        </w:numPr>
        <w:tabs>
          <w:tab w:val="clear" w:pos="2160"/>
          <w:tab w:val="num" w:pos="360"/>
        </w:tabs>
        <w:ind w:left="0" w:firstLine="426"/>
        <w:jc w:val="both"/>
        <w:rPr>
          <w:iCs/>
        </w:rPr>
      </w:pPr>
      <w:r w:rsidRPr="00DC1432">
        <w:t xml:space="preserve">На пазара на труда през 2013 г. се наблюдаваше постепенно стабилизиране на заетостта, като заедно с това безработицата продължи да нараства. Наблюдаваното през предходните години намаление на броя на заетите се забави до едва 0,4 % спрямо 2,5 % година по рано. Основен принос за отбелязаното подобрение имаше селското стопанство, и в по-малка степен услугите. </w:t>
      </w:r>
    </w:p>
    <w:p w:rsidR="000938C1" w:rsidRPr="00DC1432" w:rsidRDefault="000938C1" w:rsidP="007D5E67">
      <w:pPr>
        <w:numPr>
          <w:ilvl w:val="0"/>
          <w:numId w:val="32"/>
        </w:numPr>
        <w:tabs>
          <w:tab w:val="clear" w:pos="2160"/>
          <w:tab w:val="num" w:pos="360"/>
        </w:tabs>
        <w:ind w:left="0" w:firstLine="426"/>
        <w:jc w:val="both"/>
        <w:rPr>
          <w:iCs/>
        </w:rPr>
      </w:pPr>
      <w:r w:rsidRPr="00DC1432">
        <w:rPr>
          <w:iCs/>
        </w:rPr>
        <w:t xml:space="preserve">Преките чуждестранни инвестиции за 2013 г. са в размер на </w:t>
      </w:r>
      <w:r w:rsidRPr="00DC1432">
        <w:t>2,1 млрд. лв. (2,7 % от БВП), отбелязвайки повишение от 2,1 процента.</w:t>
      </w:r>
    </w:p>
    <w:p w:rsidR="000938C1" w:rsidRPr="00DC1432" w:rsidRDefault="000938C1" w:rsidP="007D5E67">
      <w:pPr>
        <w:numPr>
          <w:ilvl w:val="0"/>
          <w:numId w:val="32"/>
        </w:numPr>
        <w:tabs>
          <w:tab w:val="clear" w:pos="2160"/>
          <w:tab w:val="num" w:pos="360"/>
        </w:tabs>
        <w:ind w:left="0" w:firstLine="426"/>
        <w:jc w:val="both"/>
        <w:rPr>
          <w:iCs/>
        </w:rPr>
      </w:pPr>
      <w:r w:rsidRPr="00DC1432">
        <w:t>Текущата сметка достигна рекордно висока положителна стойност от 1,5 млрд. лв. (1,9% от БВП), като продължи да бъде зависима главно от промените в търговията със стоки.</w:t>
      </w:r>
    </w:p>
    <w:p w:rsidR="000938C1" w:rsidRPr="00DC1432" w:rsidRDefault="000938C1" w:rsidP="007D5E67">
      <w:pPr>
        <w:numPr>
          <w:ilvl w:val="0"/>
          <w:numId w:val="32"/>
        </w:numPr>
        <w:tabs>
          <w:tab w:val="clear" w:pos="2160"/>
          <w:tab w:val="num" w:pos="360"/>
        </w:tabs>
        <w:ind w:left="0" w:firstLine="426"/>
        <w:jc w:val="both"/>
        <w:rPr>
          <w:iCs/>
        </w:rPr>
      </w:pPr>
      <w:r w:rsidRPr="00DC1432">
        <w:rPr>
          <w:iCs/>
        </w:rPr>
        <w:t xml:space="preserve"> Оценката в априлските Нотификационни таблици за размера на дефицита на сектор „Държавно управление” е 1,5 % от БВП. </w:t>
      </w:r>
    </w:p>
    <w:p w:rsidR="000938C1" w:rsidRPr="00DC1432" w:rsidRDefault="000938C1" w:rsidP="007D5E67">
      <w:pPr>
        <w:numPr>
          <w:ilvl w:val="0"/>
          <w:numId w:val="32"/>
        </w:numPr>
        <w:tabs>
          <w:tab w:val="clear" w:pos="2160"/>
          <w:tab w:val="num" w:pos="360"/>
        </w:tabs>
        <w:ind w:left="0" w:firstLine="426"/>
        <w:jc w:val="both"/>
        <w:rPr>
          <w:iCs/>
        </w:rPr>
      </w:pPr>
      <w:r w:rsidRPr="00DC1432">
        <w:rPr>
          <w:iCs/>
        </w:rPr>
        <w:t xml:space="preserve">Дефицитът на касова основа за годината е в размер на 1 440,7 млн. лв., което представлява 1,8 % от БВП. </w:t>
      </w:r>
    </w:p>
    <w:p w:rsidR="000938C1" w:rsidRPr="00DC1432" w:rsidRDefault="000938C1" w:rsidP="007D5E67">
      <w:pPr>
        <w:numPr>
          <w:ilvl w:val="0"/>
          <w:numId w:val="32"/>
        </w:numPr>
        <w:tabs>
          <w:tab w:val="clear" w:pos="2160"/>
          <w:tab w:val="num" w:pos="360"/>
        </w:tabs>
        <w:ind w:left="0" w:firstLine="426"/>
        <w:jc w:val="both"/>
        <w:rPr>
          <w:iCs/>
        </w:rPr>
      </w:pPr>
      <w:r w:rsidRPr="00DC1432">
        <w:rPr>
          <w:iCs/>
        </w:rPr>
        <w:t>Изпълнението на приходите и помощите по консолидираната фискална програма спрямо актуализираните годишни разчети за 2013 г. е 95,4 %, а по републиканския бюджет – 98,6 %.</w:t>
      </w:r>
    </w:p>
    <w:p w:rsidR="000938C1" w:rsidRPr="00DC1432" w:rsidRDefault="000938C1" w:rsidP="007D5E67">
      <w:pPr>
        <w:numPr>
          <w:ilvl w:val="0"/>
          <w:numId w:val="32"/>
        </w:numPr>
        <w:tabs>
          <w:tab w:val="clear" w:pos="2160"/>
          <w:tab w:val="num" w:pos="360"/>
        </w:tabs>
        <w:ind w:left="0" w:firstLine="426"/>
        <w:jc w:val="both"/>
        <w:rPr>
          <w:iCs/>
        </w:rPr>
      </w:pPr>
      <w:r w:rsidRPr="00DC1432">
        <w:rPr>
          <w:iCs/>
        </w:rPr>
        <w:t xml:space="preserve">Общите разходи (вкл. вноската на България в общия бюджет на ЕС) по КФП за годината представляват 95,1 % от годишните разчети към ЗДБРБ за 2013 г., а по републиканския бюджет разходите, трансферите и вноската за бюджета на ЕС представляват 97,8 % от планираните за годината. </w:t>
      </w:r>
    </w:p>
    <w:p w:rsidR="000938C1" w:rsidRPr="00DC1432" w:rsidRDefault="000938C1" w:rsidP="007D5E67">
      <w:pPr>
        <w:numPr>
          <w:ilvl w:val="0"/>
          <w:numId w:val="32"/>
        </w:numPr>
        <w:tabs>
          <w:tab w:val="clear" w:pos="2160"/>
          <w:tab w:val="num" w:pos="360"/>
        </w:tabs>
        <w:ind w:left="0" w:firstLine="426"/>
        <w:jc w:val="both"/>
        <w:rPr>
          <w:iCs/>
        </w:rPr>
      </w:pPr>
      <w:r w:rsidRPr="00DC1432">
        <w:rPr>
          <w:iCs/>
        </w:rPr>
        <w:t xml:space="preserve">Фискалният резерв към 31.12.2013 г. възлиза на 4,7 млрд. лв., в т.ч. средствата по сметките на ДФГУДПС към 31.12.2013 г. в размер на 2,3 млрд. лв. Заложеният в ПЗР на ЗДБРБ за 2013 г. минимален размер на фискалния резерв към 31.12.2013 г. е 4,5 млрд. лева. </w:t>
      </w:r>
    </w:p>
    <w:p w:rsidR="000938C1" w:rsidRPr="00DC1432" w:rsidRDefault="000938C1" w:rsidP="00A07585">
      <w:pPr>
        <w:ind w:firstLine="629"/>
        <w:jc w:val="both"/>
        <w:rPr>
          <w:sz w:val="6"/>
          <w:szCs w:val="6"/>
        </w:rPr>
      </w:pPr>
    </w:p>
    <w:p w:rsidR="000938C1" w:rsidRPr="00DC1432" w:rsidRDefault="000938C1" w:rsidP="00A07585">
      <w:pPr>
        <w:ind w:firstLine="540"/>
        <w:jc w:val="both"/>
        <w:rPr>
          <w:sz w:val="8"/>
          <w:szCs w:val="8"/>
        </w:rPr>
      </w:pPr>
    </w:p>
    <w:p w:rsidR="000938C1" w:rsidRPr="00DC1432" w:rsidRDefault="000938C1" w:rsidP="00A07585">
      <w:pPr>
        <w:ind w:firstLine="540"/>
        <w:jc w:val="both"/>
        <w:rPr>
          <w:sz w:val="8"/>
          <w:szCs w:val="8"/>
        </w:rPr>
      </w:pPr>
    </w:p>
    <w:p w:rsidR="000938C1" w:rsidRPr="00DC1432" w:rsidRDefault="000938C1" w:rsidP="00A07585">
      <w:pPr>
        <w:ind w:firstLine="540"/>
        <w:jc w:val="both"/>
        <w:rPr>
          <w:sz w:val="8"/>
          <w:szCs w:val="8"/>
        </w:rPr>
      </w:pPr>
    </w:p>
    <w:p w:rsidR="000938C1" w:rsidRPr="00DC1432" w:rsidRDefault="000938C1" w:rsidP="00A07585">
      <w:pPr>
        <w:ind w:firstLine="540"/>
        <w:jc w:val="both"/>
        <w:rPr>
          <w:sz w:val="8"/>
          <w:szCs w:val="8"/>
        </w:rPr>
      </w:pPr>
    </w:p>
    <w:p w:rsidR="000938C1" w:rsidRPr="00DC1432" w:rsidRDefault="000938C1" w:rsidP="00A07585">
      <w:pPr>
        <w:ind w:left="2520" w:hanging="2520"/>
        <w:jc w:val="both"/>
        <w:rPr>
          <w:b/>
        </w:rPr>
      </w:pPr>
      <w:r w:rsidRPr="00DC1432">
        <w:rPr>
          <w:b/>
          <w:bCs/>
          <w:sz w:val="28"/>
          <w:szCs w:val="28"/>
          <w:lang w:eastAsia="en-US"/>
        </w:rPr>
        <w:t>ПРИЛОЖЕНИЯ</w:t>
      </w:r>
      <w:r w:rsidRPr="00DC1432">
        <w:rPr>
          <w:b/>
        </w:rPr>
        <w:t xml:space="preserve">:  </w:t>
      </w:r>
    </w:p>
    <w:p w:rsidR="000938C1" w:rsidRPr="00DC1432" w:rsidRDefault="000938C1" w:rsidP="007D5E67">
      <w:pPr>
        <w:ind w:left="2340" w:hanging="180"/>
        <w:rPr>
          <w:color w:val="000000"/>
        </w:rPr>
      </w:pPr>
      <w:r w:rsidRPr="00DC1432">
        <w:rPr>
          <w:color w:val="000000"/>
        </w:rPr>
        <w:t>1.Отчет за изпълнението на държавния бюджет на Република България за 2013 г.</w:t>
      </w:r>
    </w:p>
    <w:p w:rsidR="000938C1" w:rsidRPr="00DC1432" w:rsidRDefault="000938C1" w:rsidP="007D5E67">
      <w:pPr>
        <w:ind w:firstLine="2160"/>
        <w:rPr>
          <w:b/>
          <w:color w:val="000000"/>
        </w:rPr>
      </w:pPr>
      <w:r w:rsidRPr="00DC1432">
        <w:rPr>
          <w:color w:val="000000"/>
        </w:rPr>
        <w:t>2.Отчет на консолидираната фискална програма за 2013 г.</w:t>
      </w:r>
    </w:p>
    <w:p w:rsidR="000938C1" w:rsidRDefault="000938C1" w:rsidP="007D5E67">
      <w:pPr>
        <w:ind w:left="2340" w:hanging="180"/>
        <w:rPr>
          <w:color w:val="000000"/>
        </w:rPr>
      </w:pPr>
      <w:r w:rsidRPr="00DC1432">
        <w:rPr>
          <w:color w:val="000000"/>
        </w:rPr>
        <w:t>3.</w:t>
      </w:r>
      <w:r>
        <w:rPr>
          <w:color w:val="000000"/>
        </w:rPr>
        <w:t>Кратък а</w:t>
      </w:r>
      <w:r w:rsidRPr="00DC1432">
        <w:rPr>
          <w:color w:val="000000"/>
        </w:rPr>
        <w:t xml:space="preserve">нализ на изпълнението на утвърдените политики и програми на министерствата и агенциите за 2013 г.  </w:t>
      </w:r>
    </w:p>
    <w:p w:rsidR="000938C1" w:rsidRDefault="000938C1" w:rsidP="007D5E67">
      <w:pPr>
        <w:ind w:left="2340" w:hanging="180"/>
        <w:rPr>
          <w:color w:val="000000"/>
        </w:rPr>
      </w:pPr>
    </w:p>
    <w:p w:rsidR="000938C1" w:rsidRPr="00DC1432" w:rsidRDefault="000938C1" w:rsidP="007D5E67">
      <w:pPr>
        <w:ind w:left="2340" w:hanging="180"/>
        <w:rPr>
          <w:color w:val="000000"/>
        </w:rPr>
      </w:pPr>
      <w:bookmarkStart w:id="366" w:name="_GoBack"/>
      <w:bookmarkEnd w:id="366"/>
    </w:p>
    <w:p w:rsidR="000938C1" w:rsidRPr="00DC1432" w:rsidRDefault="000938C1" w:rsidP="00371B2A">
      <w:pPr>
        <w:rPr>
          <w:b/>
          <w:bCs/>
          <w:color w:val="0070C0"/>
          <w:sz w:val="16"/>
          <w:szCs w:val="16"/>
        </w:rPr>
      </w:pPr>
    </w:p>
    <w:sectPr w:rsidR="000938C1" w:rsidRPr="00DC1432" w:rsidSect="0022774B">
      <w:pgSz w:w="11906" w:h="16838"/>
      <w:pgMar w:top="1258" w:right="1106" w:bottom="1417" w:left="1417"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38C1" w:rsidRDefault="000938C1">
      <w:r>
        <w:separator/>
      </w:r>
    </w:p>
  </w:endnote>
  <w:endnote w:type="continuationSeparator" w:id="0">
    <w:p w:rsidR="000938C1" w:rsidRDefault="000938C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Futura Bk">
    <w:altName w:val="AvantGarde"/>
    <w:panose1 w:val="00000000000000000000"/>
    <w:charset w:val="CC"/>
    <w:family w:val="swiss"/>
    <w:notTrueType/>
    <w:pitch w:val="variable"/>
    <w:sig w:usb0="00000203" w:usb1="00000000" w:usb2="00000000" w:usb3="00000000" w:csb0="00000005" w:csb1="00000000"/>
  </w:font>
  <w:font w:name="Verdana">
    <w:panose1 w:val="020B0604030504040204"/>
    <w:charset w:val="CC"/>
    <w:family w:val="swiss"/>
    <w:pitch w:val="variable"/>
    <w:sig w:usb0="20000287" w:usb1="00000000" w:usb2="00000000" w:usb3="00000000" w:csb0="0000019F" w:csb1="00000000"/>
  </w:font>
  <w:font w:name="Batang">
    <w:altName w:val="ўа¬»¬¦¬ў"/>
    <w:panose1 w:val="02030600000101010101"/>
    <w:charset w:val="81"/>
    <w:family w:val="roman"/>
    <w:pitch w:val="variable"/>
    <w:sig w:usb0="B00002AF" w:usb1="69D77CFB" w:usb2="00000030" w:usb3="00000000" w:csb0="000800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PMingLiU">
    <w:altName w:val="ЎPs??c???"/>
    <w:panose1 w:val="020203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Narrow">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8C1" w:rsidRDefault="000938C1" w:rsidP="00CC2AF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938C1" w:rsidRDefault="000938C1" w:rsidP="00C21101">
    <w:pPr>
      <w:pStyle w:val="Footer"/>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8C1" w:rsidRDefault="000938C1" w:rsidP="00CC2AFC">
    <w:pPr>
      <w:pStyle w:val="Footer"/>
      <w:framePr w:wrap="around" w:vAnchor="text" w:hAnchor="margin" w:xAlign="right" w:y="1"/>
      <w:jc w:val="right"/>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157</w:t>
    </w:r>
    <w:r>
      <w:rPr>
        <w:rStyle w:val="PageNumber"/>
      </w:rPr>
      <w:fldChar w:fldCharType="end"/>
    </w:r>
  </w:p>
  <w:p w:rsidR="000938C1" w:rsidRDefault="000938C1" w:rsidP="00CC2AFC">
    <w:pPr>
      <w:pStyle w:val="Footer"/>
      <w:framePr w:wrap="around" w:vAnchor="text" w:hAnchor="margin" w:xAlign="right" w:y="1"/>
      <w:ind w:right="360"/>
      <w:rPr>
        <w:rStyle w:val="PageNumber"/>
      </w:rPr>
    </w:pPr>
  </w:p>
  <w:p w:rsidR="000938C1" w:rsidRDefault="000938C1" w:rsidP="00797BA4">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38C1" w:rsidRDefault="000938C1">
      <w:r>
        <w:separator/>
      </w:r>
    </w:p>
  </w:footnote>
  <w:footnote w:type="continuationSeparator" w:id="0">
    <w:p w:rsidR="000938C1" w:rsidRDefault="000938C1">
      <w:r>
        <w:continuationSeparator/>
      </w:r>
    </w:p>
  </w:footnote>
  <w:footnote w:id="1">
    <w:p w:rsidR="000938C1" w:rsidRDefault="000938C1" w:rsidP="00A732CE">
      <w:pPr>
        <w:pStyle w:val="FootnoteText"/>
      </w:pPr>
      <w:r>
        <w:rPr>
          <w:rStyle w:val="FootnoteReference"/>
        </w:rPr>
        <w:footnoteRef/>
      </w:r>
      <w:r>
        <w:t xml:space="preserve"> Според данните от Системата на националните сметки (СНС).</w:t>
      </w:r>
    </w:p>
  </w:footnote>
  <w:footnote w:id="2">
    <w:p w:rsidR="000938C1" w:rsidRDefault="000938C1" w:rsidP="00A732CE">
      <w:pPr>
        <w:pStyle w:val="FootnoteText"/>
      </w:pPr>
      <w:r>
        <w:rPr>
          <w:rStyle w:val="FootnoteReference"/>
        </w:rPr>
        <w:footnoteRef/>
      </w:r>
      <w:r>
        <w:t xml:space="preserve"> Съгласно групировка на икономическите дейности на ниво 10 отрасъла.</w:t>
      </w:r>
    </w:p>
  </w:footnote>
  <w:footnote w:id="3">
    <w:p w:rsidR="000938C1" w:rsidRDefault="000938C1" w:rsidP="00A732CE">
      <w:pPr>
        <w:pStyle w:val="FootnoteText"/>
      </w:pPr>
      <w:r>
        <w:rPr>
          <w:rStyle w:val="FootnoteReference"/>
        </w:rPr>
        <w:footnoteRef/>
      </w:r>
      <w:r>
        <w:t xml:space="preserve"> Според данните от Наблюдението на работната сила (НРС).</w:t>
      </w:r>
    </w:p>
  </w:footnote>
  <w:footnote w:id="4">
    <w:p w:rsidR="000938C1" w:rsidRDefault="000938C1" w:rsidP="00A732CE">
      <w:pPr>
        <w:pStyle w:val="FootnoteText"/>
      </w:pPr>
      <w:r>
        <w:rPr>
          <w:rStyle w:val="FootnoteReference"/>
        </w:rPr>
        <w:footnoteRef/>
      </w:r>
      <w:r>
        <w:t xml:space="preserve"> Производителността на труда по отрасли е изчислена като БДС по цени от 2005 г. разделена на броя на заетите лица.</w:t>
      </w:r>
    </w:p>
  </w:footnote>
  <w:footnote w:id="5">
    <w:p w:rsidR="000938C1" w:rsidRDefault="000938C1">
      <w:pPr>
        <w:pStyle w:val="FootnoteText"/>
      </w:pPr>
      <w:r>
        <w:rPr>
          <w:rStyle w:val="FootnoteReference"/>
        </w:rPr>
        <w:footnoteRef/>
      </w:r>
      <w:r>
        <w:t xml:space="preserve"> БВП за 2013 г. по текущи цени по предварителни данни на НСИ е в размер на 78 115 млн. лв. </w:t>
      </w:r>
    </w:p>
  </w:footnote>
  <w:footnote w:id="6">
    <w:p w:rsidR="000938C1" w:rsidRDefault="000938C1" w:rsidP="004A6956">
      <w:pPr>
        <w:pStyle w:val="FootnoteText"/>
        <w:jc w:val="both"/>
      </w:pPr>
      <w:r>
        <w:rPr>
          <w:rStyle w:val="FootnoteReference"/>
        </w:rPr>
        <w:footnoteRef/>
      </w:r>
      <w:r w:rsidRPr="00362312">
        <w:rPr>
          <w:sz w:val="18"/>
          <w:szCs w:val="18"/>
        </w:rPr>
        <w:t xml:space="preserve">Обхваща републиканския бюджет и всички </w:t>
      </w:r>
      <w:r>
        <w:rPr>
          <w:sz w:val="18"/>
          <w:szCs w:val="18"/>
        </w:rPr>
        <w:t>самостоятелни и</w:t>
      </w:r>
      <w:r w:rsidRPr="00362312">
        <w:rPr>
          <w:sz w:val="18"/>
          <w:szCs w:val="18"/>
        </w:rPr>
        <w:t xml:space="preserve"> автономни бюджети – на общините, осигурителните фондове, ДВУ, БАН, БНР, БНТ,</w:t>
      </w:r>
      <w:r>
        <w:rPr>
          <w:sz w:val="18"/>
          <w:szCs w:val="18"/>
        </w:rPr>
        <w:t xml:space="preserve"> БТА,</w:t>
      </w:r>
      <w:r w:rsidRPr="00362312">
        <w:rPr>
          <w:sz w:val="18"/>
          <w:szCs w:val="18"/>
        </w:rPr>
        <w:t xml:space="preserve"> Висшия съдебен съвет, както и извънбюджетни фондове и сметки на централно и местно ниво. </w:t>
      </w:r>
    </w:p>
  </w:footnote>
  <w:footnote w:id="7">
    <w:p w:rsidR="000938C1" w:rsidRDefault="000938C1" w:rsidP="004A6956">
      <w:pPr>
        <w:pStyle w:val="FootnoteText"/>
        <w:jc w:val="both"/>
      </w:pPr>
      <w:r w:rsidRPr="00362312">
        <w:rPr>
          <w:rStyle w:val="FootnoteReference"/>
          <w:sz w:val="18"/>
          <w:szCs w:val="18"/>
        </w:rPr>
        <w:footnoteRef/>
      </w:r>
      <w:r w:rsidRPr="00362312">
        <w:rPr>
          <w:sz w:val="18"/>
          <w:szCs w:val="18"/>
        </w:rPr>
        <w:t xml:space="preserve"> Поради закръгление в млн. лв., някои сумарни позиции в таблиците не се изчерпват от съставните им </w:t>
      </w:r>
      <w:r>
        <w:rPr>
          <w:sz w:val="18"/>
          <w:szCs w:val="18"/>
        </w:rPr>
        <w:t>ч</w:t>
      </w:r>
      <w:r w:rsidRPr="00362312">
        <w:rPr>
          <w:sz w:val="18"/>
          <w:szCs w:val="18"/>
        </w:rPr>
        <w:t>исла</w:t>
      </w:r>
      <w:r>
        <w:rPr>
          <w:sz w:val="18"/>
          <w:szCs w:val="18"/>
        </w:rPr>
        <w:t>.</w:t>
      </w:r>
    </w:p>
  </w:footnote>
  <w:footnote w:id="8">
    <w:p w:rsidR="000938C1" w:rsidRPr="00362312" w:rsidRDefault="000938C1" w:rsidP="004A6956">
      <w:pPr>
        <w:pStyle w:val="FootnoteText"/>
        <w:jc w:val="both"/>
        <w:rPr>
          <w:sz w:val="18"/>
          <w:szCs w:val="18"/>
          <w:lang w:val="ru-RU"/>
        </w:rPr>
      </w:pPr>
      <w:r w:rsidRPr="00362312">
        <w:rPr>
          <w:rStyle w:val="FootnoteReference"/>
          <w:sz w:val="18"/>
          <w:szCs w:val="18"/>
        </w:rPr>
        <w:footnoteRef/>
      </w:r>
      <w:r w:rsidRPr="00362312">
        <w:rPr>
          <w:sz w:val="18"/>
          <w:szCs w:val="18"/>
        </w:rPr>
        <w:t xml:space="preserve"> С оглед съпоставимост с отчетните данни на показателите по КФП по програмата за 20</w:t>
      </w:r>
      <w:r w:rsidRPr="00362312">
        <w:rPr>
          <w:sz w:val="18"/>
          <w:szCs w:val="18"/>
          <w:lang w:val="ru-RU"/>
        </w:rPr>
        <w:t>1</w:t>
      </w:r>
      <w:r w:rsidRPr="002255D3">
        <w:rPr>
          <w:sz w:val="18"/>
          <w:szCs w:val="18"/>
          <w:lang w:val="ru-RU"/>
        </w:rPr>
        <w:t>3</w:t>
      </w:r>
      <w:r w:rsidRPr="00362312">
        <w:rPr>
          <w:sz w:val="18"/>
          <w:szCs w:val="18"/>
        </w:rPr>
        <w:t xml:space="preserve"> г.:</w:t>
      </w:r>
    </w:p>
    <w:p w:rsidR="000938C1" w:rsidRPr="00362312" w:rsidRDefault="000938C1" w:rsidP="004A6956">
      <w:pPr>
        <w:pStyle w:val="FootnoteText"/>
        <w:jc w:val="both"/>
        <w:rPr>
          <w:sz w:val="18"/>
          <w:szCs w:val="18"/>
          <w:lang w:val="ru-RU"/>
        </w:rPr>
      </w:pPr>
      <w:r w:rsidRPr="00362312">
        <w:rPr>
          <w:sz w:val="18"/>
          <w:szCs w:val="18"/>
          <w:lang w:val="en-US"/>
        </w:rPr>
        <w:t>i</w:t>
      </w:r>
      <w:r w:rsidRPr="00362312">
        <w:rPr>
          <w:sz w:val="18"/>
          <w:szCs w:val="18"/>
        </w:rPr>
        <w:t>) разчетите в позицията „Резерв за непредвидени и неотложни разходи” са отнесени в съответните разходни позиции според основното предназначение на планираните средства</w:t>
      </w:r>
      <w:r w:rsidRPr="00362312">
        <w:rPr>
          <w:sz w:val="18"/>
          <w:szCs w:val="18"/>
          <w:lang w:val="ru-RU"/>
        </w:rPr>
        <w:t>;</w:t>
      </w:r>
    </w:p>
    <w:p w:rsidR="000938C1" w:rsidRDefault="000938C1" w:rsidP="004A6956">
      <w:pPr>
        <w:pStyle w:val="FootnoteText"/>
        <w:jc w:val="both"/>
      </w:pPr>
      <w:r w:rsidRPr="00362312">
        <w:rPr>
          <w:sz w:val="18"/>
          <w:szCs w:val="18"/>
          <w:lang w:val="en-US"/>
        </w:rPr>
        <w:t>ii</w:t>
      </w:r>
      <w:r w:rsidRPr="00362312">
        <w:rPr>
          <w:sz w:val="18"/>
          <w:szCs w:val="18"/>
        </w:rPr>
        <w:t>) Нетния прираст на държавния резерв е отнесен в позицията „Капиталови разходи”.</w:t>
      </w:r>
    </w:p>
  </w:footnote>
  <w:footnote w:id="9">
    <w:p w:rsidR="000938C1" w:rsidRDefault="000938C1" w:rsidP="00891830">
      <w:pPr>
        <w:pStyle w:val="FootnoteText"/>
        <w:jc w:val="both"/>
      </w:pPr>
      <w:r w:rsidRPr="000C78E6">
        <w:rPr>
          <w:rStyle w:val="FootnoteReference"/>
          <w:sz w:val="18"/>
          <w:szCs w:val="18"/>
        </w:rPr>
        <w:footnoteRef/>
      </w:r>
      <w:r w:rsidRPr="000C78E6">
        <w:rPr>
          <w:sz w:val="18"/>
          <w:szCs w:val="18"/>
        </w:rPr>
        <w:t xml:space="preserve"> В разходите по функции не е включена Вноската на Република България в общия бюджет на ЕС.</w:t>
      </w:r>
    </w:p>
  </w:footnote>
  <w:footnote w:id="10">
    <w:p w:rsidR="000938C1" w:rsidRDefault="000938C1"/>
  </w:footnote>
  <w:footnote w:id="11">
    <w:p w:rsidR="000938C1" w:rsidRPr="000C78E6" w:rsidRDefault="000938C1" w:rsidP="00891830">
      <w:pPr>
        <w:pStyle w:val="FootnoteText"/>
        <w:jc w:val="both"/>
        <w:rPr>
          <w:sz w:val="18"/>
          <w:szCs w:val="18"/>
        </w:rPr>
      </w:pPr>
      <w:r w:rsidRPr="000C78E6">
        <w:rPr>
          <w:rStyle w:val="FootnoteReference"/>
          <w:sz w:val="18"/>
          <w:szCs w:val="18"/>
        </w:rPr>
        <w:footnoteRef/>
      </w:r>
      <w:r w:rsidRPr="000C78E6">
        <w:rPr>
          <w:sz w:val="18"/>
          <w:szCs w:val="18"/>
        </w:rPr>
        <w:t xml:space="preserve"> С оглед постигането на съпоставимост на данните, в разчетите към ЗДБРБ за 20</w:t>
      </w:r>
      <w:r w:rsidRPr="000C78E6">
        <w:rPr>
          <w:sz w:val="18"/>
          <w:szCs w:val="18"/>
          <w:lang w:val="ru-RU"/>
        </w:rPr>
        <w:t>1</w:t>
      </w:r>
      <w:r w:rsidRPr="00187783">
        <w:rPr>
          <w:sz w:val="18"/>
          <w:szCs w:val="18"/>
          <w:lang w:val="en-US"/>
        </w:rPr>
        <w:t>3</w:t>
      </w:r>
      <w:r w:rsidRPr="000C78E6">
        <w:rPr>
          <w:sz w:val="18"/>
          <w:szCs w:val="18"/>
        </w:rPr>
        <w:t xml:space="preserve"> г.:</w:t>
      </w:r>
    </w:p>
    <w:p w:rsidR="000938C1" w:rsidRPr="000C78E6" w:rsidRDefault="000938C1" w:rsidP="00891830">
      <w:pPr>
        <w:pStyle w:val="FootnoteText"/>
        <w:jc w:val="both"/>
        <w:rPr>
          <w:sz w:val="18"/>
          <w:szCs w:val="18"/>
        </w:rPr>
      </w:pPr>
      <w:r>
        <w:rPr>
          <w:sz w:val="18"/>
          <w:szCs w:val="18"/>
        </w:rPr>
        <w:t xml:space="preserve">- </w:t>
      </w:r>
      <w:r w:rsidRPr="000C78E6">
        <w:rPr>
          <w:sz w:val="18"/>
          <w:szCs w:val="18"/>
        </w:rPr>
        <w:t xml:space="preserve">резервът за структурна реформа е прекласифициран от </w:t>
      </w:r>
      <w:r w:rsidRPr="000C78E6">
        <w:rPr>
          <w:sz w:val="18"/>
          <w:szCs w:val="18"/>
          <w:lang w:val="en-US"/>
        </w:rPr>
        <w:t>IX</w:t>
      </w:r>
      <w:r w:rsidRPr="000C78E6">
        <w:rPr>
          <w:sz w:val="18"/>
          <w:szCs w:val="18"/>
        </w:rPr>
        <w:t>-та функция по съответната функция според основното предназначение на планираните средства;</w:t>
      </w:r>
    </w:p>
    <w:p w:rsidR="000938C1" w:rsidRDefault="000938C1" w:rsidP="00891830">
      <w:pPr>
        <w:pStyle w:val="FootnoteText"/>
        <w:jc w:val="both"/>
      </w:pPr>
      <w:r w:rsidRPr="000C78E6">
        <w:rPr>
          <w:sz w:val="18"/>
          <w:szCs w:val="18"/>
        </w:rPr>
        <w:t xml:space="preserve">- резервът за преодоляване и ликвидиране на последствията от стихийни бедствия и аварии е прекласифициран от </w:t>
      </w:r>
      <w:r w:rsidRPr="000C78E6">
        <w:rPr>
          <w:sz w:val="18"/>
          <w:szCs w:val="18"/>
          <w:lang w:val="en-US"/>
        </w:rPr>
        <w:t>IX</w:t>
      </w:r>
      <w:r w:rsidRPr="000C78E6">
        <w:rPr>
          <w:sz w:val="18"/>
          <w:szCs w:val="18"/>
        </w:rPr>
        <w:t xml:space="preserve">-та функция във </w:t>
      </w:r>
      <w:r w:rsidRPr="000C78E6">
        <w:rPr>
          <w:sz w:val="18"/>
          <w:szCs w:val="18"/>
          <w:lang w:val="en-US"/>
        </w:rPr>
        <w:t>II</w:t>
      </w:r>
      <w:r w:rsidRPr="000C78E6">
        <w:rPr>
          <w:sz w:val="18"/>
          <w:szCs w:val="18"/>
        </w:rPr>
        <w:t>-ра функция, група Д.”Защита на населението, управление и дейности при, стихийни бедствия и аварии</w:t>
      </w:r>
      <w:r w:rsidRPr="000C78E6">
        <w:rPr>
          <w:sz w:val="18"/>
          <w:szCs w:val="18"/>
          <w:lang w:val="ru-RU"/>
        </w:rPr>
        <w:t>”</w:t>
      </w:r>
      <w:r w:rsidRPr="000C78E6">
        <w:rPr>
          <w:sz w:val="18"/>
          <w:szCs w:val="18"/>
        </w:rPr>
        <w:t xml:space="preserve">, където са и отчетени усвоените средства. </w:t>
      </w:r>
    </w:p>
  </w:footnote>
  <w:footnote w:id="12">
    <w:p w:rsidR="000938C1" w:rsidRDefault="000938C1" w:rsidP="00891830">
      <w:pPr>
        <w:pStyle w:val="FootnoteText"/>
        <w:jc w:val="both"/>
      </w:pPr>
      <w:r w:rsidRPr="00232511">
        <w:rPr>
          <w:rStyle w:val="FootnoteReference"/>
          <w:sz w:val="18"/>
          <w:szCs w:val="18"/>
        </w:rPr>
        <w:footnoteRef/>
      </w:r>
      <w:r w:rsidRPr="00232511">
        <w:rPr>
          <w:sz w:val="18"/>
          <w:szCs w:val="18"/>
          <w:lang w:val="ru-RU"/>
        </w:rPr>
        <w:t>Фискалният резерв (ФР) включва: 1) Всички сметки, включени в системата на единна сметка съгласно § 21, ал. 1 от преходните и заключителните разпоредби на Закона за държавния бюджет на Република България за 2013 г., както и останалите обслужвани от Българската народна банка сметки на бюджетните предприятия;  2) Обслужваните от банки сметки за бюджетни и извънбюджетни средства на бюджетните предприятия без тези на общините и техните разпоредители с бюджетни кредити.</w:t>
      </w:r>
    </w:p>
  </w:footnote>
  <w:footnote w:id="13">
    <w:p w:rsidR="000938C1" w:rsidRDefault="000938C1" w:rsidP="00F85C67">
      <w:pPr>
        <w:pStyle w:val="FootnoteText"/>
        <w:jc w:val="both"/>
      </w:pPr>
      <w:r>
        <w:rPr>
          <w:rStyle w:val="FootnoteReference"/>
        </w:rPr>
        <w:footnoteRef/>
      </w:r>
      <w:r>
        <w:t xml:space="preserve"> В разходите по функции не е включена Вноската на Република България в общия бюджет на ЕС</w:t>
      </w:r>
    </w:p>
  </w:footnote>
  <w:footnote w:id="14">
    <w:p w:rsidR="000938C1" w:rsidRDefault="000938C1" w:rsidP="00F85C67">
      <w:pPr>
        <w:pStyle w:val="FootnoteText"/>
      </w:pPr>
      <w:r w:rsidRPr="004C623B">
        <w:rPr>
          <w:rStyle w:val="FootnoteReference"/>
          <w:sz w:val="18"/>
          <w:szCs w:val="18"/>
        </w:rPr>
        <w:footnoteRef/>
      </w:r>
      <w:r w:rsidRPr="004C623B">
        <w:rPr>
          <w:sz w:val="18"/>
          <w:szCs w:val="18"/>
        </w:rPr>
        <w:t xml:space="preserve"> Разходите по програмите, съфинансирани по Структурните и Кохезионния фондове на ЕС, както и по ЕЗФРСР и ЕФР</w:t>
      </w:r>
      <w:r>
        <w:rPr>
          <w:sz w:val="18"/>
          <w:szCs w:val="18"/>
        </w:rPr>
        <w:t xml:space="preserve">, </w:t>
      </w:r>
      <w:r w:rsidRPr="004C623B">
        <w:rPr>
          <w:sz w:val="18"/>
          <w:szCs w:val="18"/>
        </w:rPr>
        <w:t>вкл</w:t>
      </w:r>
      <w:r>
        <w:rPr>
          <w:sz w:val="18"/>
          <w:szCs w:val="18"/>
        </w:rPr>
        <w:t>.</w:t>
      </w:r>
      <w:r w:rsidRPr="004C623B">
        <w:rPr>
          <w:sz w:val="18"/>
          <w:szCs w:val="18"/>
        </w:rPr>
        <w:t xml:space="preserve"> националното съфинансиране.</w:t>
      </w:r>
    </w:p>
  </w:footnote>
  <w:footnote w:id="15">
    <w:p w:rsidR="000938C1" w:rsidRDefault="000938C1" w:rsidP="00F85C67">
      <w:pPr>
        <w:pStyle w:val="FootnoteText"/>
      </w:pPr>
      <w:r w:rsidRPr="00592353">
        <w:rPr>
          <w:rStyle w:val="FootnoteReference"/>
          <w:sz w:val="18"/>
          <w:szCs w:val="18"/>
        </w:rPr>
        <w:footnoteRef/>
      </w:r>
      <w:r w:rsidRPr="00592353">
        <w:rPr>
          <w:sz w:val="18"/>
          <w:szCs w:val="18"/>
        </w:rPr>
        <w:t xml:space="preserve"> За </w:t>
      </w:r>
      <w:r>
        <w:rPr>
          <w:sz w:val="18"/>
          <w:szCs w:val="18"/>
        </w:rPr>
        <w:t>ф</w:t>
      </w:r>
      <w:r w:rsidRPr="00592353">
        <w:rPr>
          <w:sz w:val="18"/>
          <w:szCs w:val="18"/>
        </w:rPr>
        <w:t>ункция „ОТБРАНА И СИГУРНОСТ” в</w:t>
      </w:r>
      <w:r>
        <w:rPr>
          <w:sz w:val="18"/>
          <w:szCs w:val="18"/>
        </w:rPr>
        <w:t xml:space="preserve"> </w:t>
      </w:r>
      <w:r w:rsidRPr="00592353">
        <w:rPr>
          <w:sz w:val="18"/>
          <w:szCs w:val="18"/>
        </w:rPr>
        <w:t>колона „Др</w:t>
      </w:r>
      <w:r w:rsidRPr="00592353">
        <w:rPr>
          <w:sz w:val="18"/>
          <w:szCs w:val="18"/>
          <w:lang w:val="ru-RU"/>
        </w:rPr>
        <w:t>.</w:t>
      </w:r>
      <w:r w:rsidRPr="00592353">
        <w:rPr>
          <w:sz w:val="18"/>
          <w:szCs w:val="18"/>
        </w:rPr>
        <w:t xml:space="preserve"> сметки” е включена  сметката за чужди средства на МВР</w:t>
      </w:r>
      <w:r w:rsidRPr="00592353">
        <w:rPr>
          <w:sz w:val="18"/>
          <w:szCs w:val="18"/>
          <w:lang w:val="ru-RU"/>
        </w:rPr>
        <w:t xml:space="preserve"> (</w:t>
      </w:r>
      <w:r w:rsidRPr="00592353">
        <w:rPr>
          <w:sz w:val="18"/>
          <w:szCs w:val="18"/>
        </w:rPr>
        <w:t>§ 28, ал. 1 от ЗИД на Закона за българските документи за самоличност</w:t>
      </w:r>
      <w:r w:rsidRPr="00592353">
        <w:rPr>
          <w:sz w:val="18"/>
          <w:szCs w:val="18"/>
          <w:lang w:val="ru-RU"/>
        </w:rPr>
        <w:t>)</w:t>
      </w:r>
      <w:r w:rsidRPr="00592353">
        <w:rPr>
          <w:sz w:val="18"/>
          <w:szCs w:val="18"/>
        </w:rPr>
        <w:t>, във връзка с издаването на документи за самоличност.</w:t>
      </w:r>
    </w:p>
  </w:footnote>
  <w:footnote w:id="16">
    <w:p w:rsidR="000938C1" w:rsidRDefault="000938C1" w:rsidP="00F85C67">
      <w:pPr>
        <w:pStyle w:val="FootnoteText"/>
        <w:jc w:val="both"/>
      </w:pPr>
      <w:r w:rsidRPr="004A3E43">
        <w:rPr>
          <w:rStyle w:val="FootnoteReference"/>
        </w:rPr>
        <w:footnoteRef/>
      </w:r>
      <w:r w:rsidRPr="004A3E43">
        <w:rPr>
          <w:sz w:val="18"/>
          <w:szCs w:val="18"/>
        </w:rPr>
        <w:t xml:space="preserve">За </w:t>
      </w:r>
      <w:r>
        <w:rPr>
          <w:sz w:val="18"/>
          <w:szCs w:val="18"/>
        </w:rPr>
        <w:t>ф</w:t>
      </w:r>
      <w:r w:rsidRPr="004A3E43">
        <w:rPr>
          <w:sz w:val="18"/>
          <w:szCs w:val="18"/>
        </w:rPr>
        <w:t>ункция „</w:t>
      </w:r>
      <w:r w:rsidRPr="004A3E43">
        <w:rPr>
          <w:bCs/>
          <w:sz w:val="18"/>
          <w:szCs w:val="18"/>
        </w:rPr>
        <w:t>СОЦИАЛНО ОСИГУРЯВАНЕ, ПОДПОМАГАНЕ И ГРИЖИ</w:t>
      </w:r>
      <w:r w:rsidRPr="004A3E43">
        <w:rPr>
          <w:sz w:val="18"/>
          <w:szCs w:val="18"/>
        </w:rPr>
        <w:t>” в</w:t>
      </w:r>
      <w:r>
        <w:rPr>
          <w:sz w:val="18"/>
          <w:szCs w:val="18"/>
        </w:rPr>
        <w:t xml:space="preserve"> </w:t>
      </w:r>
      <w:r w:rsidRPr="004A3E43">
        <w:rPr>
          <w:sz w:val="18"/>
          <w:szCs w:val="18"/>
        </w:rPr>
        <w:t>колона „Др</w:t>
      </w:r>
      <w:r w:rsidRPr="004A3E43">
        <w:rPr>
          <w:sz w:val="18"/>
          <w:szCs w:val="18"/>
          <w:lang w:val="ru-RU"/>
        </w:rPr>
        <w:t>.</w:t>
      </w:r>
      <w:r w:rsidRPr="004A3E43">
        <w:rPr>
          <w:sz w:val="18"/>
          <w:szCs w:val="18"/>
        </w:rPr>
        <w:t xml:space="preserve"> сметки” е включена</w:t>
      </w:r>
      <w:r w:rsidRPr="004C1E40">
        <w:rPr>
          <w:sz w:val="18"/>
          <w:szCs w:val="18"/>
        </w:rPr>
        <w:t xml:space="preserve"> сметката за чужди средства </w:t>
      </w:r>
      <w:r w:rsidRPr="004C1E40">
        <w:rPr>
          <w:sz w:val="18"/>
          <w:szCs w:val="18"/>
          <w:lang w:val="ru-RU"/>
        </w:rPr>
        <w:t>(</w:t>
      </w:r>
      <w:r w:rsidRPr="004C1E40">
        <w:rPr>
          <w:sz w:val="18"/>
          <w:szCs w:val="18"/>
        </w:rPr>
        <w:t>набирателна сметка</w:t>
      </w:r>
      <w:r w:rsidRPr="004C1E40">
        <w:rPr>
          <w:sz w:val="18"/>
          <w:szCs w:val="18"/>
          <w:lang w:val="ru-RU"/>
        </w:rPr>
        <w:t>)</w:t>
      </w:r>
      <w:r w:rsidRPr="004C1E40">
        <w:rPr>
          <w:sz w:val="18"/>
          <w:szCs w:val="18"/>
        </w:rPr>
        <w:t xml:space="preserve"> на М</w:t>
      </w:r>
      <w:r>
        <w:rPr>
          <w:sz w:val="18"/>
          <w:szCs w:val="18"/>
        </w:rPr>
        <w:t>М</w:t>
      </w:r>
      <w:r w:rsidRPr="004C1E40">
        <w:rPr>
          <w:sz w:val="18"/>
          <w:szCs w:val="18"/>
        </w:rPr>
        <w:t xml:space="preserve">С, във връзка </w:t>
      </w:r>
      <w:r w:rsidRPr="004C1E40">
        <w:rPr>
          <w:sz w:val="18"/>
          <w:szCs w:val="18"/>
          <w:lang w:val="ru-RU"/>
        </w:rPr>
        <w:t>с изплащането на месечни премии на олимпийски медалисти, прекратили активна състезателна дейност (чл. 59 б,</w:t>
      </w:r>
      <w:r>
        <w:rPr>
          <w:sz w:val="18"/>
          <w:szCs w:val="18"/>
          <w:lang w:val="ru-RU"/>
        </w:rPr>
        <w:t xml:space="preserve"> ал. 2,</w:t>
      </w:r>
      <w:r w:rsidRPr="004C1E40">
        <w:rPr>
          <w:sz w:val="18"/>
          <w:szCs w:val="18"/>
          <w:lang w:val="ru-RU"/>
        </w:rPr>
        <w:t xml:space="preserve"> т.</w:t>
      </w:r>
      <w:r>
        <w:rPr>
          <w:sz w:val="18"/>
          <w:szCs w:val="18"/>
          <w:lang w:val="ru-RU"/>
        </w:rPr>
        <w:t xml:space="preserve"> </w:t>
      </w:r>
      <w:r w:rsidRPr="004C1E40">
        <w:rPr>
          <w:sz w:val="18"/>
          <w:szCs w:val="18"/>
          <w:lang w:val="ru-RU"/>
        </w:rPr>
        <w:t xml:space="preserve">5 от </w:t>
      </w:r>
      <w:r w:rsidRPr="004C1E40">
        <w:rPr>
          <w:sz w:val="18"/>
          <w:szCs w:val="18"/>
        </w:rPr>
        <w:t>Закона за физическото възпитание и спорта</w:t>
      </w:r>
      <w:r w:rsidRPr="004C1E40">
        <w:rPr>
          <w:sz w:val="18"/>
          <w:szCs w:val="18"/>
          <w:lang w:val="ru-RU"/>
        </w:rPr>
        <w:t>)</w:t>
      </w:r>
      <w:r w:rsidRPr="004C1E40">
        <w:rPr>
          <w:sz w:val="18"/>
          <w:szCs w:val="18"/>
        </w:rPr>
        <w:t>.</w:t>
      </w:r>
    </w:p>
  </w:footnote>
  <w:footnote w:id="17">
    <w:p w:rsidR="000938C1" w:rsidRDefault="000938C1" w:rsidP="00F85C67">
      <w:pPr>
        <w:pStyle w:val="FootnoteText"/>
        <w:jc w:val="both"/>
      </w:pPr>
      <w:r w:rsidRPr="008130C9">
        <w:rPr>
          <w:rStyle w:val="FootnoteReference"/>
        </w:rPr>
        <w:footnoteRef/>
      </w:r>
      <w:r w:rsidRPr="008130C9">
        <w:rPr>
          <w:sz w:val="18"/>
          <w:szCs w:val="18"/>
        </w:rPr>
        <w:t xml:space="preserve"> За Функция </w:t>
      </w:r>
      <w:r w:rsidRPr="00F904A8">
        <w:rPr>
          <w:sz w:val="18"/>
          <w:szCs w:val="18"/>
        </w:rPr>
        <w:t>„</w:t>
      </w:r>
      <w:r w:rsidRPr="00DB65A6">
        <w:rPr>
          <w:bCs/>
          <w:sz w:val="18"/>
          <w:szCs w:val="18"/>
        </w:rPr>
        <w:t>ПОЧИВНО ДЕЛО, КУЛТУРА, РЕЛИГИОЗНИ ДЕЙНОСТИ</w:t>
      </w:r>
      <w:r w:rsidRPr="00F904A8">
        <w:rPr>
          <w:sz w:val="18"/>
          <w:szCs w:val="18"/>
        </w:rPr>
        <w:t>”,</w:t>
      </w:r>
      <w:r w:rsidRPr="008130C9">
        <w:rPr>
          <w:sz w:val="18"/>
          <w:szCs w:val="18"/>
        </w:rPr>
        <w:t xml:space="preserve"> гр.</w:t>
      </w:r>
      <w:r>
        <w:rPr>
          <w:sz w:val="18"/>
          <w:szCs w:val="18"/>
        </w:rPr>
        <w:t xml:space="preserve"> </w:t>
      </w:r>
      <w:r w:rsidRPr="008130C9">
        <w:rPr>
          <w:sz w:val="18"/>
          <w:szCs w:val="18"/>
        </w:rPr>
        <w:t>Б ”Физическа култура и спорт” в</w:t>
      </w:r>
      <w:r>
        <w:rPr>
          <w:sz w:val="18"/>
          <w:szCs w:val="18"/>
        </w:rPr>
        <w:t xml:space="preserve"> </w:t>
      </w:r>
      <w:r w:rsidRPr="008130C9">
        <w:rPr>
          <w:sz w:val="18"/>
          <w:szCs w:val="18"/>
        </w:rPr>
        <w:t>колона „Др</w:t>
      </w:r>
      <w:r w:rsidRPr="008130C9">
        <w:rPr>
          <w:sz w:val="18"/>
          <w:szCs w:val="18"/>
          <w:lang w:val="ru-RU"/>
        </w:rPr>
        <w:t>.</w:t>
      </w:r>
      <w:r w:rsidRPr="008130C9">
        <w:rPr>
          <w:sz w:val="18"/>
          <w:szCs w:val="18"/>
        </w:rPr>
        <w:t xml:space="preserve"> сметки” е включена сметката за чужди средства </w:t>
      </w:r>
      <w:r w:rsidRPr="008130C9">
        <w:rPr>
          <w:sz w:val="18"/>
          <w:szCs w:val="18"/>
          <w:lang w:val="ru-RU"/>
        </w:rPr>
        <w:t>(</w:t>
      </w:r>
      <w:r w:rsidRPr="008130C9">
        <w:rPr>
          <w:sz w:val="18"/>
          <w:szCs w:val="18"/>
        </w:rPr>
        <w:t>набирателна сметка</w:t>
      </w:r>
      <w:r w:rsidRPr="008130C9">
        <w:rPr>
          <w:sz w:val="18"/>
          <w:szCs w:val="18"/>
          <w:lang w:val="ru-RU"/>
        </w:rPr>
        <w:t>)</w:t>
      </w:r>
      <w:r w:rsidRPr="008130C9">
        <w:rPr>
          <w:sz w:val="18"/>
          <w:szCs w:val="18"/>
        </w:rPr>
        <w:t xml:space="preserve"> на М</w:t>
      </w:r>
      <w:r>
        <w:rPr>
          <w:sz w:val="18"/>
          <w:szCs w:val="18"/>
        </w:rPr>
        <w:t>М</w:t>
      </w:r>
      <w:r w:rsidRPr="008130C9">
        <w:rPr>
          <w:sz w:val="18"/>
          <w:szCs w:val="18"/>
        </w:rPr>
        <w:t>С</w:t>
      </w:r>
      <w:r>
        <w:rPr>
          <w:sz w:val="18"/>
          <w:szCs w:val="18"/>
        </w:rPr>
        <w:t xml:space="preserve">. </w:t>
      </w:r>
      <w:r>
        <w:rPr>
          <w:sz w:val="18"/>
          <w:szCs w:val="18"/>
          <w:lang w:val="ru-RU"/>
        </w:rPr>
        <w:t>С</w:t>
      </w:r>
      <w:r w:rsidRPr="008130C9">
        <w:rPr>
          <w:sz w:val="18"/>
          <w:szCs w:val="18"/>
          <w:lang w:val="ru-RU"/>
        </w:rPr>
        <w:t>редства</w:t>
      </w:r>
      <w:r>
        <w:rPr>
          <w:sz w:val="18"/>
          <w:szCs w:val="18"/>
          <w:lang w:val="ru-RU"/>
        </w:rPr>
        <w:t>та са</w:t>
      </w:r>
      <w:r w:rsidRPr="008130C9">
        <w:rPr>
          <w:sz w:val="18"/>
          <w:szCs w:val="18"/>
          <w:lang w:val="ru-RU"/>
        </w:rPr>
        <w:t xml:space="preserve"> предоставени на спортни организации</w:t>
      </w:r>
      <w:r w:rsidRPr="008130C9">
        <w:rPr>
          <w:sz w:val="18"/>
          <w:szCs w:val="18"/>
        </w:rPr>
        <w:t xml:space="preserve">, въз основа на сключени договори, </w:t>
      </w:r>
      <w:r w:rsidRPr="00311FB9">
        <w:rPr>
          <w:sz w:val="18"/>
          <w:szCs w:val="18"/>
        </w:rPr>
        <w:t>за подпомагане реализирането на спортни</w:t>
      </w:r>
      <w:r w:rsidRPr="008130C9">
        <w:rPr>
          <w:sz w:val="18"/>
          <w:szCs w:val="18"/>
        </w:rPr>
        <w:t xml:space="preserve"> дейности </w:t>
      </w:r>
      <w:r w:rsidRPr="008130C9">
        <w:rPr>
          <w:sz w:val="18"/>
          <w:szCs w:val="18"/>
          <w:lang w:val="ru-RU"/>
        </w:rPr>
        <w:t xml:space="preserve">(чл. 59 б от </w:t>
      </w:r>
      <w:r w:rsidRPr="008130C9">
        <w:rPr>
          <w:sz w:val="18"/>
          <w:szCs w:val="18"/>
        </w:rPr>
        <w:t>Закона за физическото възпитание и спорта</w:t>
      </w:r>
      <w:r w:rsidRPr="008130C9">
        <w:rPr>
          <w:sz w:val="18"/>
          <w:szCs w:val="18"/>
          <w:lang w:val="ru-RU"/>
        </w:rPr>
        <w:t>)</w:t>
      </w:r>
      <w:r w:rsidRPr="008130C9">
        <w:rPr>
          <w:sz w:val="18"/>
          <w:szCs w:val="18"/>
        </w:rPr>
        <w:t xml:space="preserve">. </w:t>
      </w:r>
    </w:p>
  </w:footnote>
  <w:footnote w:id="18">
    <w:p w:rsidR="000938C1" w:rsidRDefault="000938C1" w:rsidP="00F85C67">
      <w:pPr>
        <w:pStyle w:val="FootnoteText"/>
      </w:pPr>
      <w:r w:rsidRPr="0022027B">
        <w:rPr>
          <w:rStyle w:val="FootnoteReference"/>
          <w:sz w:val="18"/>
          <w:szCs w:val="18"/>
        </w:rPr>
        <w:footnoteRef/>
      </w:r>
      <w:r>
        <w:rPr>
          <w:rStyle w:val="FootnoteReference"/>
        </w:rPr>
        <w:t xml:space="preserve"> </w:t>
      </w:r>
      <w:r w:rsidRPr="0022027B">
        <w:rPr>
          <w:rStyle w:val="FootnoteReference"/>
        </w:rPr>
        <w:t>За функция „РАЗХОДИ НЕКЛАСИФИЦИРАНИ В ДРУГИТЕ ФУНКЦИИ” в колона „Други сметки” е включена сметката за чужди средства (набирателна сметка) на МВР (§ 28, ал. 1 от</w:t>
      </w:r>
      <w:r>
        <w:t xml:space="preserve"> </w:t>
      </w:r>
      <w:r w:rsidRPr="0022027B">
        <w:rPr>
          <w:rStyle w:val="FootnoteReference"/>
        </w:rPr>
        <w:t>ЗИД на Закона за българските документи за самоличност), във връзка с издаването на документи за самоличност.</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8C1" w:rsidRPr="00483166" w:rsidRDefault="000938C1" w:rsidP="00497D9C">
    <w:pPr>
      <w:pStyle w:val="Header"/>
      <w:tabs>
        <w:tab w:val="left" w:pos="5910"/>
        <w:tab w:val="left" w:pos="6015"/>
        <w:tab w:val="right" w:pos="9203"/>
      </w:tabs>
      <w:rPr>
        <w:rFonts w:ascii="Times New Roman Bold" w:hAnsi="Times New Roman Bold"/>
        <w:sz w:val="10"/>
        <w:szCs w:val="10"/>
      </w:rPr>
    </w:pPr>
    <w:r w:rsidRPr="00483166">
      <w:rPr>
        <w:rFonts w:ascii="Times New Roman Bold" w:hAnsi="Times New Roman Bold"/>
        <w:sz w:val="10"/>
        <w:szCs w:val="10"/>
      </w:rPr>
      <w:tab/>
    </w:r>
    <w:r w:rsidRPr="00483166">
      <w:rPr>
        <w:rFonts w:ascii="Times New Roman Bold" w:hAnsi="Times New Roman Bold"/>
        <w:sz w:val="10"/>
        <w:szCs w:val="10"/>
      </w:rPr>
      <w:tab/>
    </w:r>
    <w:r w:rsidRPr="00483166">
      <w:rPr>
        <w:rFonts w:ascii="Times New Roman Bold" w:hAnsi="Times New Roman Bold"/>
        <w:sz w:val="10"/>
        <w:szCs w:val="10"/>
      </w:rPr>
      <w:tab/>
    </w:r>
    <w:r w:rsidRPr="00483166">
      <w:rPr>
        <w:rFonts w:ascii="Times New Roman Bold" w:hAnsi="Times New Roman Bold"/>
        <w:sz w:val="10"/>
        <w:szCs w:val="10"/>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86706"/>
    <w:multiLevelType w:val="multilevel"/>
    <w:tmpl w:val="31DC48E0"/>
    <w:lvl w:ilvl="0">
      <w:start w:val="1"/>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720"/>
        </w:tabs>
        <w:ind w:left="720" w:hanging="36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
    <w:nsid w:val="028B3890"/>
    <w:multiLevelType w:val="hybridMultilevel"/>
    <w:tmpl w:val="4FC6EF0E"/>
    <w:lvl w:ilvl="0" w:tplc="04020003">
      <w:start w:val="1"/>
      <w:numFmt w:val="bullet"/>
      <w:lvlText w:val="o"/>
      <w:lvlJc w:val="left"/>
      <w:pPr>
        <w:ind w:left="720" w:hanging="360"/>
      </w:pPr>
      <w:rPr>
        <w:rFonts w:ascii="Courier New" w:hAnsi="Courier New" w:hint="default"/>
        <w:color w:val="auto"/>
      </w:rPr>
    </w:lvl>
    <w:lvl w:ilvl="1" w:tplc="04020003">
      <w:start w:val="1"/>
      <w:numFmt w:val="bullet"/>
      <w:lvlText w:val="o"/>
      <w:lvlJc w:val="left"/>
      <w:pPr>
        <w:ind w:left="1440" w:hanging="360"/>
      </w:pPr>
      <w:rPr>
        <w:rFonts w:ascii="Courier New" w:hAnsi="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hint="default"/>
      </w:rPr>
    </w:lvl>
    <w:lvl w:ilvl="8" w:tplc="04020005">
      <w:start w:val="1"/>
      <w:numFmt w:val="bullet"/>
      <w:lvlText w:val=""/>
      <w:lvlJc w:val="left"/>
      <w:pPr>
        <w:ind w:left="6480" w:hanging="360"/>
      </w:pPr>
      <w:rPr>
        <w:rFonts w:ascii="Wingdings" w:hAnsi="Wingdings" w:hint="default"/>
      </w:rPr>
    </w:lvl>
  </w:abstractNum>
  <w:abstractNum w:abstractNumId="2">
    <w:nsid w:val="03DD6E81"/>
    <w:multiLevelType w:val="multilevel"/>
    <w:tmpl w:val="905A68B0"/>
    <w:lvl w:ilvl="0">
      <w:start w:val="1"/>
      <w:numFmt w:val="decimal"/>
      <w:lvlText w:val="%1."/>
      <w:lvlJc w:val="left"/>
      <w:pPr>
        <w:tabs>
          <w:tab w:val="num" w:pos="360"/>
        </w:tabs>
        <w:ind w:left="360" w:hanging="360"/>
      </w:pPr>
      <w:rPr>
        <w:rFonts w:cs="Times New Roman" w:hint="default"/>
      </w:rPr>
    </w:lvl>
    <w:lvl w:ilvl="1">
      <w:start w:val="1"/>
      <w:numFmt w:val="none"/>
      <w:lvlText w:val="1.3"/>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3">
    <w:nsid w:val="04E4582D"/>
    <w:multiLevelType w:val="hybridMultilevel"/>
    <w:tmpl w:val="CBDA02E6"/>
    <w:lvl w:ilvl="0" w:tplc="0402000B">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4">
    <w:nsid w:val="05801DBB"/>
    <w:multiLevelType w:val="multilevel"/>
    <w:tmpl w:val="CCF08B70"/>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5">
    <w:nsid w:val="08EA2B61"/>
    <w:multiLevelType w:val="hybridMultilevel"/>
    <w:tmpl w:val="D60E80DC"/>
    <w:lvl w:ilvl="0" w:tplc="CC72A724">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
    <w:nsid w:val="09232A7E"/>
    <w:multiLevelType w:val="hybridMultilevel"/>
    <w:tmpl w:val="A2809C42"/>
    <w:lvl w:ilvl="0" w:tplc="0402000B">
      <w:start w:val="1"/>
      <w:numFmt w:val="bullet"/>
      <w:lvlText w:val=""/>
      <w:lvlJc w:val="left"/>
      <w:pPr>
        <w:ind w:left="1287" w:hanging="360"/>
      </w:pPr>
      <w:rPr>
        <w:rFonts w:ascii="Wingdings" w:hAnsi="Wingdings" w:hint="default"/>
      </w:rPr>
    </w:lvl>
    <w:lvl w:ilvl="1" w:tplc="04020003" w:tentative="1">
      <w:start w:val="1"/>
      <w:numFmt w:val="bullet"/>
      <w:lvlText w:val="o"/>
      <w:lvlJc w:val="left"/>
      <w:pPr>
        <w:ind w:left="2007" w:hanging="360"/>
      </w:pPr>
      <w:rPr>
        <w:rFonts w:ascii="Courier New" w:hAnsi="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
    <w:nsid w:val="095A76C7"/>
    <w:multiLevelType w:val="hybridMultilevel"/>
    <w:tmpl w:val="E928678A"/>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8">
    <w:nsid w:val="09A5249C"/>
    <w:multiLevelType w:val="hybridMultilevel"/>
    <w:tmpl w:val="0B200D50"/>
    <w:lvl w:ilvl="0" w:tplc="0F7C68D6">
      <w:start w:val="1"/>
      <w:numFmt w:val="bullet"/>
      <w:lvlText w:val=""/>
      <w:lvlJc w:val="left"/>
      <w:pPr>
        <w:tabs>
          <w:tab w:val="num" w:pos="720"/>
        </w:tabs>
        <w:ind w:left="720" w:hanging="360"/>
      </w:pPr>
      <w:rPr>
        <w:rFonts w:ascii="Symbol" w:hAnsi="Symbol" w:hint="default"/>
        <w:color w:val="auto"/>
      </w:rPr>
    </w:lvl>
    <w:lvl w:ilvl="1" w:tplc="04020001">
      <w:start w:val="1"/>
      <w:numFmt w:val="bullet"/>
      <w:lvlText w:val=""/>
      <w:lvlJc w:val="left"/>
      <w:pPr>
        <w:tabs>
          <w:tab w:val="num" w:pos="1440"/>
        </w:tabs>
        <w:ind w:left="1440" w:hanging="360"/>
      </w:pPr>
      <w:rPr>
        <w:rFonts w:ascii="Symbol" w:hAnsi="Symbol" w:hint="default"/>
        <w:color w:val="auto"/>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9">
    <w:nsid w:val="0A7D1E63"/>
    <w:multiLevelType w:val="multilevel"/>
    <w:tmpl w:val="9A763DD2"/>
    <w:lvl w:ilvl="0">
      <w:start w:val="1"/>
      <w:numFmt w:val="decimal"/>
      <w:lvlText w:val="%1."/>
      <w:lvlJc w:val="left"/>
      <w:pPr>
        <w:tabs>
          <w:tab w:val="num" w:pos="360"/>
        </w:tabs>
        <w:ind w:left="360" w:hanging="360"/>
      </w:pPr>
      <w:rPr>
        <w:rFonts w:cs="Times New Roman" w:hint="default"/>
      </w:rPr>
    </w:lvl>
    <w:lvl w:ilvl="1">
      <w:start w:val="1"/>
      <w:numFmt w:val="none"/>
      <w:lvlText w:val="1.1"/>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0">
    <w:nsid w:val="0D330FE6"/>
    <w:multiLevelType w:val="hybridMultilevel"/>
    <w:tmpl w:val="5DA29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E684DC8"/>
    <w:multiLevelType w:val="hybridMultilevel"/>
    <w:tmpl w:val="7F266CFE"/>
    <w:lvl w:ilvl="0" w:tplc="B8089F6A">
      <w:start w:val="1"/>
      <w:numFmt w:val="bullet"/>
      <w:lvlText w:val=""/>
      <w:lvlJc w:val="left"/>
      <w:pPr>
        <w:tabs>
          <w:tab w:val="num" w:pos="357"/>
        </w:tabs>
        <w:ind w:left="357" w:hanging="357"/>
      </w:pPr>
      <w:rPr>
        <w:rFonts w:ascii="Wingdings" w:hAnsi="Wingdings" w:hint="default"/>
        <w:color w:val="auto"/>
        <w:sz w:val="28"/>
        <w:u w:color="FFFFFF"/>
      </w:rPr>
    </w:lvl>
    <w:lvl w:ilvl="1" w:tplc="04020003" w:tentative="1">
      <w:start w:val="1"/>
      <w:numFmt w:val="bullet"/>
      <w:lvlText w:val="o"/>
      <w:lvlJc w:val="left"/>
      <w:pPr>
        <w:tabs>
          <w:tab w:val="num" w:pos="663"/>
        </w:tabs>
        <w:ind w:left="663" w:hanging="360"/>
      </w:pPr>
      <w:rPr>
        <w:rFonts w:ascii="Courier New" w:hAnsi="Courier New" w:hint="default"/>
      </w:rPr>
    </w:lvl>
    <w:lvl w:ilvl="2" w:tplc="04020005" w:tentative="1">
      <w:start w:val="1"/>
      <w:numFmt w:val="bullet"/>
      <w:lvlText w:val=""/>
      <w:lvlJc w:val="left"/>
      <w:pPr>
        <w:tabs>
          <w:tab w:val="num" w:pos="1383"/>
        </w:tabs>
        <w:ind w:left="1383" w:hanging="360"/>
      </w:pPr>
      <w:rPr>
        <w:rFonts w:ascii="Wingdings" w:hAnsi="Wingdings" w:hint="default"/>
      </w:rPr>
    </w:lvl>
    <w:lvl w:ilvl="3" w:tplc="04020001" w:tentative="1">
      <w:start w:val="1"/>
      <w:numFmt w:val="bullet"/>
      <w:lvlText w:val=""/>
      <w:lvlJc w:val="left"/>
      <w:pPr>
        <w:tabs>
          <w:tab w:val="num" w:pos="2103"/>
        </w:tabs>
        <w:ind w:left="2103" w:hanging="360"/>
      </w:pPr>
      <w:rPr>
        <w:rFonts w:ascii="Symbol" w:hAnsi="Symbol" w:hint="default"/>
      </w:rPr>
    </w:lvl>
    <w:lvl w:ilvl="4" w:tplc="04020003" w:tentative="1">
      <w:start w:val="1"/>
      <w:numFmt w:val="bullet"/>
      <w:lvlText w:val="o"/>
      <w:lvlJc w:val="left"/>
      <w:pPr>
        <w:tabs>
          <w:tab w:val="num" w:pos="2823"/>
        </w:tabs>
        <w:ind w:left="2823" w:hanging="360"/>
      </w:pPr>
      <w:rPr>
        <w:rFonts w:ascii="Courier New" w:hAnsi="Courier New" w:hint="default"/>
      </w:rPr>
    </w:lvl>
    <w:lvl w:ilvl="5" w:tplc="04020005" w:tentative="1">
      <w:start w:val="1"/>
      <w:numFmt w:val="bullet"/>
      <w:lvlText w:val=""/>
      <w:lvlJc w:val="left"/>
      <w:pPr>
        <w:tabs>
          <w:tab w:val="num" w:pos="3543"/>
        </w:tabs>
        <w:ind w:left="3543" w:hanging="360"/>
      </w:pPr>
      <w:rPr>
        <w:rFonts w:ascii="Wingdings" w:hAnsi="Wingdings" w:hint="default"/>
      </w:rPr>
    </w:lvl>
    <w:lvl w:ilvl="6" w:tplc="04020001" w:tentative="1">
      <w:start w:val="1"/>
      <w:numFmt w:val="bullet"/>
      <w:lvlText w:val=""/>
      <w:lvlJc w:val="left"/>
      <w:pPr>
        <w:tabs>
          <w:tab w:val="num" w:pos="4263"/>
        </w:tabs>
        <w:ind w:left="4263" w:hanging="360"/>
      </w:pPr>
      <w:rPr>
        <w:rFonts w:ascii="Symbol" w:hAnsi="Symbol" w:hint="default"/>
      </w:rPr>
    </w:lvl>
    <w:lvl w:ilvl="7" w:tplc="04020003" w:tentative="1">
      <w:start w:val="1"/>
      <w:numFmt w:val="bullet"/>
      <w:lvlText w:val="o"/>
      <w:lvlJc w:val="left"/>
      <w:pPr>
        <w:tabs>
          <w:tab w:val="num" w:pos="4983"/>
        </w:tabs>
        <w:ind w:left="4983" w:hanging="360"/>
      </w:pPr>
      <w:rPr>
        <w:rFonts w:ascii="Courier New" w:hAnsi="Courier New" w:hint="default"/>
      </w:rPr>
    </w:lvl>
    <w:lvl w:ilvl="8" w:tplc="04020005" w:tentative="1">
      <w:start w:val="1"/>
      <w:numFmt w:val="bullet"/>
      <w:lvlText w:val=""/>
      <w:lvlJc w:val="left"/>
      <w:pPr>
        <w:tabs>
          <w:tab w:val="num" w:pos="5703"/>
        </w:tabs>
        <w:ind w:left="5703" w:hanging="360"/>
      </w:pPr>
      <w:rPr>
        <w:rFonts w:ascii="Wingdings" w:hAnsi="Wingdings" w:hint="default"/>
      </w:rPr>
    </w:lvl>
  </w:abstractNum>
  <w:abstractNum w:abstractNumId="12">
    <w:nsid w:val="141821C7"/>
    <w:multiLevelType w:val="multilevel"/>
    <w:tmpl w:val="FD72B840"/>
    <w:lvl w:ilvl="0">
      <w:start w:val="2"/>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13">
    <w:nsid w:val="14646AC5"/>
    <w:multiLevelType w:val="hybridMultilevel"/>
    <w:tmpl w:val="8B8CF1E6"/>
    <w:lvl w:ilvl="0" w:tplc="04020001">
      <w:start w:val="1"/>
      <w:numFmt w:val="bullet"/>
      <w:lvlText w:val=""/>
      <w:lvlJc w:val="left"/>
      <w:pPr>
        <w:ind w:left="1260" w:hanging="360"/>
      </w:pPr>
      <w:rPr>
        <w:rFonts w:ascii="Symbol" w:hAnsi="Symbol" w:hint="default"/>
      </w:rPr>
    </w:lvl>
    <w:lvl w:ilvl="1" w:tplc="04020003" w:tentative="1">
      <w:start w:val="1"/>
      <w:numFmt w:val="bullet"/>
      <w:lvlText w:val="o"/>
      <w:lvlJc w:val="left"/>
      <w:pPr>
        <w:ind w:left="1980" w:hanging="360"/>
      </w:pPr>
      <w:rPr>
        <w:rFonts w:ascii="Courier New" w:hAnsi="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14">
    <w:nsid w:val="181F112F"/>
    <w:multiLevelType w:val="hybridMultilevel"/>
    <w:tmpl w:val="FCEECC82"/>
    <w:lvl w:ilvl="0" w:tplc="68448AFE">
      <w:start w:val="15"/>
      <w:numFmt w:val="decimal"/>
      <w:lvlText w:val="%1."/>
      <w:lvlJc w:val="left"/>
      <w:pPr>
        <w:tabs>
          <w:tab w:val="num" w:pos="1150"/>
        </w:tabs>
        <w:ind w:left="1150" w:hanging="360"/>
      </w:pPr>
      <w:rPr>
        <w:rFonts w:cs="Times New Roman" w:hint="default"/>
      </w:rPr>
    </w:lvl>
    <w:lvl w:ilvl="1" w:tplc="04020019" w:tentative="1">
      <w:start w:val="1"/>
      <w:numFmt w:val="lowerLetter"/>
      <w:lvlText w:val="%2."/>
      <w:lvlJc w:val="left"/>
      <w:pPr>
        <w:tabs>
          <w:tab w:val="num" w:pos="1440"/>
        </w:tabs>
        <w:ind w:left="1440" w:hanging="360"/>
      </w:pPr>
      <w:rPr>
        <w:rFonts w:cs="Times New Roman"/>
      </w:rPr>
    </w:lvl>
    <w:lvl w:ilvl="2" w:tplc="0402001B" w:tentative="1">
      <w:start w:val="1"/>
      <w:numFmt w:val="lowerRoman"/>
      <w:lvlText w:val="%3."/>
      <w:lvlJc w:val="right"/>
      <w:pPr>
        <w:tabs>
          <w:tab w:val="num" w:pos="2160"/>
        </w:tabs>
        <w:ind w:left="2160" w:hanging="180"/>
      </w:pPr>
      <w:rPr>
        <w:rFonts w:cs="Times New Roman"/>
      </w:rPr>
    </w:lvl>
    <w:lvl w:ilvl="3" w:tplc="0402000F" w:tentative="1">
      <w:start w:val="1"/>
      <w:numFmt w:val="decimal"/>
      <w:lvlText w:val="%4."/>
      <w:lvlJc w:val="left"/>
      <w:pPr>
        <w:tabs>
          <w:tab w:val="num" w:pos="2880"/>
        </w:tabs>
        <w:ind w:left="2880" w:hanging="360"/>
      </w:pPr>
      <w:rPr>
        <w:rFonts w:cs="Times New Roman"/>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15">
    <w:nsid w:val="188020B7"/>
    <w:multiLevelType w:val="hybridMultilevel"/>
    <w:tmpl w:val="6E8EA22C"/>
    <w:lvl w:ilvl="0" w:tplc="04266EAE">
      <w:start w:val="1"/>
      <w:numFmt w:val="bullet"/>
      <w:lvlText w:val="♦"/>
      <w:lvlJc w:val="left"/>
      <w:pPr>
        <w:tabs>
          <w:tab w:val="num" w:pos="2160"/>
        </w:tabs>
        <w:ind w:left="2160" w:hanging="360"/>
      </w:pPr>
      <w:rPr>
        <w:rFonts w:ascii="Courier New" w:hAnsi="Courier New" w:hint="default"/>
        <w:color w:val="000000"/>
        <w:sz w:val="28"/>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6">
    <w:nsid w:val="19AE63B5"/>
    <w:multiLevelType w:val="hybridMultilevel"/>
    <w:tmpl w:val="C6DCA346"/>
    <w:lvl w:ilvl="0" w:tplc="B8089F6A">
      <w:start w:val="1"/>
      <w:numFmt w:val="bullet"/>
      <w:lvlText w:val=""/>
      <w:lvlJc w:val="left"/>
      <w:pPr>
        <w:tabs>
          <w:tab w:val="num" w:pos="1077"/>
        </w:tabs>
        <w:ind w:left="1077" w:hanging="357"/>
      </w:pPr>
      <w:rPr>
        <w:rFonts w:ascii="Wingdings" w:hAnsi="Wingdings" w:hint="default"/>
        <w:color w:val="auto"/>
        <w:sz w:val="28"/>
        <w:u w:color="FFFFFF"/>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7">
    <w:nsid w:val="1A0D2923"/>
    <w:multiLevelType w:val="hybridMultilevel"/>
    <w:tmpl w:val="2D069EA4"/>
    <w:lvl w:ilvl="0" w:tplc="D5B4FCBA">
      <w:start w:val="4"/>
      <w:numFmt w:val="bullet"/>
      <w:lvlText w:val="-"/>
      <w:lvlJc w:val="left"/>
      <w:pPr>
        <w:tabs>
          <w:tab w:val="num" w:pos="1097"/>
        </w:tabs>
        <w:ind w:left="1097" w:hanging="360"/>
      </w:pPr>
      <w:rPr>
        <w:rFonts w:ascii="Times New Roman" w:eastAsia="Times New Roman" w:hAnsi="Times New Roman" w:hint="default"/>
      </w:rPr>
    </w:lvl>
    <w:lvl w:ilvl="1" w:tplc="04020003" w:tentative="1">
      <w:start w:val="1"/>
      <w:numFmt w:val="bullet"/>
      <w:lvlText w:val="o"/>
      <w:lvlJc w:val="left"/>
      <w:pPr>
        <w:tabs>
          <w:tab w:val="num" w:pos="1817"/>
        </w:tabs>
        <w:ind w:left="1817" w:hanging="360"/>
      </w:pPr>
      <w:rPr>
        <w:rFonts w:ascii="Courier New" w:hAnsi="Courier New" w:hint="default"/>
      </w:rPr>
    </w:lvl>
    <w:lvl w:ilvl="2" w:tplc="04020005" w:tentative="1">
      <w:start w:val="1"/>
      <w:numFmt w:val="bullet"/>
      <w:lvlText w:val=""/>
      <w:lvlJc w:val="left"/>
      <w:pPr>
        <w:tabs>
          <w:tab w:val="num" w:pos="2537"/>
        </w:tabs>
        <w:ind w:left="2537" w:hanging="360"/>
      </w:pPr>
      <w:rPr>
        <w:rFonts w:ascii="Wingdings" w:hAnsi="Wingdings" w:hint="default"/>
      </w:rPr>
    </w:lvl>
    <w:lvl w:ilvl="3" w:tplc="04020001" w:tentative="1">
      <w:start w:val="1"/>
      <w:numFmt w:val="bullet"/>
      <w:lvlText w:val=""/>
      <w:lvlJc w:val="left"/>
      <w:pPr>
        <w:tabs>
          <w:tab w:val="num" w:pos="3257"/>
        </w:tabs>
        <w:ind w:left="3257" w:hanging="360"/>
      </w:pPr>
      <w:rPr>
        <w:rFonts w:ascii="Symbol" w:hAnsi="Symbol" w:hint="default"/>
      </w:rPr>
    </w:lvl>
    <w:lvl w:ilvl="4" w:tplc="04020003" w:tentative="1">
      <w:start w:val="1"/>
      <w:numFmt w:val="bullet"/>
      <w:lvlText w:val="o"/>
      <w:lvlJc w:val="left"/>
      <w:pPr>
        <w:tabs>
          <w:tab w:val="num" w:pos="3977"/>
        </w:tabs>
        <w:ind w:left="3977" w:hanging="360"/>
      </w:pPr>
      <w:rPr>
        <w:rFonts w:ascii="Courier New" w:hAnsi="Courier New" w:hint="default"/>
      </w:rPr>
    </w:lvl>
    <w:lvl w:ilvl="5" w:tplc="04020005" w:tentative="1">
      <w:start w:val="1"/>
      <w:numFmt w:val="bullet"/>
      <w:lvlText w:val=""/>
      <w:lvlJc w:val="left"/>
      <w:pPr>
        <w:tabs>
          <w:tab w:val="num" w:pos="4697"/>
        </w:tabs>
        <w:ind w:left="4697" w:hanging="360"/>
      </w:pPr>
      <w:rPr>
        <w:rFonts w:ascii="Wingdings" w:hAnsi="Wingdings" w:hint="default"/>
      </w:rPr>
    </w:lvl>
    <w:lvl w:ilvl="6" w:tplc="04020001" w:tentative="1">
      <w:start w:val="1"/>
      <w:numFmt w:val="bullet"/>
      <w:lvlText w:val=""/>
      <w:lvlJc w:val="left"/>
      <w:pPr>
        <w:tabs>
          <w:tab w:val="num" w:pos="5417"/>
        </w:tabs>
        <w:ind w:left="5417" w:hanging="360"/>
      </w:pPr>
      <w:rPr>
        <w:rFonts w:ascii="Symbol" w:hAnsi="Symbol" w:hint="default"/>
      </w:rPr>
    </w:lvl>
    <w:lvl w:ilvl="7" w:tplc="04020003" w:tentative="1">
      <w:start w:val="1"/>
      <w:numFmt w:val="bullet"/>
      <w:lvlText w:val="o"/>
      <w:lvlJc w:val="left"/>
      <w:pPr>
        <w:tabs>
          <w:tab w:val="num" w:pos="6137"/>
        </w:tabs>
        <w:ind w:left="6137" w:hanging="360"/>
      </w:pPr>
      <w:rPr>
        <w:rFonts w:ascii="Courier New" w:hAnsi="Courier New" w:hint="default"/>
      </w:rPr>
    </w:lvl>
    <w:lvl w:ilvl="8" w:tplc="04020005" w:tentative="1">
      <w:start w:val="1"/>
      <w:numFmt w:val="bullet"/>
      <w:lvlText w:val=""/>
      <w:lvlJc w:val="left"/>
      <w:pPr>
        <w:tabs>
          <w:tab w:val="num" w:pos="6857"/>
        </w:tabs>
        <w:ind w:left="6857" w:hanging="360"/>
      </w:pPr>
      <w:rPr>
        <w:rFonts w:ascii="Wingdings" w:hAnsi="Wingdings" w:hint="default"/>
      </w:rPr>
    </w:lvl>
  </w:abstractNum>
  <w:abstractNum w:abstractNumId="18">
    <w:nsid w:val="1AE50893"/>
    <w:multiLevelType w:val="hybridMultilevel"/>
    <w:tmpl w:val="4480699A"/>
    <w:lvl w:ilvl="0" w:tplc="CC72A724">
      <w:start w:val="1"/>
      <w:numFmt w:val="bullet"/>
      <w:lvlText w:val=""/>
      <w:lvlJc w:val="left"/>
      <w:pPr>
        <w:tabs>
          <w:tab w:val="num" w:pos="720"/>
        </w:tabs>
        <w:ind w:left="720" w:hanging="360"/>
      </w:pPr>
      <w:rPr>
        <w:rFonts w:ascii="Wingdings" w:hAnsi="Wingdings"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1BE856D1"/>
    <w:multiLevelType w:val="hybridMultilevel"/>
    <w:tmpl w:val="A5646F06"/>
    <w:lvl w:ilvl="0" w:tplc="B8089F6A">
      <w:start w:val="1"/>
      <w:numFmt w:val="bullet"/>
      <w:lvlText w:val=""/>
      <w:lvlJc w:val="left"/>
      <w:pPr>
        <w:tabs>
          <w:tab w:val="num" w:pos="1137"/>
        </w:tabs>
        <w:ind w:left="1137" w:hanging="357"/>
      </w:pPr>
      <w:rPr>
        <w:rFonts w:ascii="Wingdings" w:hAnsi="Wingdings" w:hint="default"/>
        <w:color w:val="auto"/>
        <w:sz w:val="28"/>
        <w:u w:color="FFFFFF"/>
      </w:rPr>
    </w:lvl>
    <w:lvl w:ilvl="1" w:tplc="04020003" w:tentative="1">
      <w:start w:val="1"/>
      <w:numFmt w:val="bullet"/>
      <w:lvlText w:val="o"/>
      <w:lvlJc w:val="left"/>
      <w:pPr>
        <w:tabs>
          <w:tab w:val="num" w:pos="2220"/>
        </w:tabs>
        <w:ind w:left="2220" w:hanging="360"/>
      </w:pPr>
      <w:rPr>
        <w:rFonts w:ascii="Courier New" w:hAnsi="Courier New" w:hint="default"/>
      </w:rPr>
    </w:lvl>
    <w:lvl w:ilvl="2" w:tplc="04020005" w:tentative="1">
      <w:start w:val="1"/>
      <w:numFmt w:val="bullet"/>
      <w:lvlText w:val=""/>
      <w:lvlJc w:val="left"/>
      <w:pPr>
        <w:tabs>
          <w:tab w:val="num" w:pos="2940"/>
        </w:tabs>
        <w:ind w:left="2940" w:hanging="360"/>
      </w:pPr>
      <w:rPr>
        <w:rFonts w:ascii="Wingdings" w:hAnsi="Wingdings" w:hint="default"/>
      </w:rPr>
    </w:lvl>
    <w:lvl w:ilvl="3" w:tplc="04020001" w:tentative="1">
      <w:start w:val="1"/>
      <w:numFmt w:val="bullet"/>
      <w:lvlText w:val=""/>
      <w:lvlJc w:val="left"/>
      <w:pPr>
        <w:tabs>
          <w:tab w:val="num" w:pos="3660"/>
        </w:tabs>
        <w:ind w:left="3660" w:hanging="360"/>
      </w:pPr>
      <w:rPr>
        <w:rFonts w:ascii="Symbol" w:hAnsi="Symbol" w:hint="default"/>
      </w:rPr>
    </w:lvl>
    <w:lvl w:ilvl="4" w:tplc="04020003" w:tentative="1">
      <w:start w:val="1"/>
      <w:numFmt w:val="bullet"/>
      <w:lvlText w:val="o"/>
      <w:lvlJc w:val="left"/>
      <w:pPr>
        <w:tabs>
          <w:tab w:val="num" w:pos="4380"/>
        </w:tabs>
        <w:ind w:left="4380" w:hanging="360"/>
      </w:pPr>
      <w:rPr>
        <w:rFonts w:ascii="Courier New" w:hAnsi="Courier New" w:hint="default"/>
      </w:rPr>
    </w:lvl>
    <w:lvl w:ilvl="5" w:tplc="04020005" w:tentative="1">
      <w:start w:val="1"/>
      <w:numFmt w:val="bullet"/>
      <w:lvlText w:val=""/>
      <w:lvlJc w:val="left"/>
      <w:pPr>
        <w:tabs>
          <w:tab w:val="num" w:pos="5100"/>
        </w:tabs>
        <w:ind w:left="5100" w:hanging="360"/>
      </w:pPr>
      <w:rPr>
        <w:rFonts w:ascii="Wingdings" w:hAnsi="Wingdings" w:hint="default"/>
      </w:rPr>
    </w:lvl>
    <w:lvl w:ilvl="6" w:tplc="04020001" w:tentative="1">
      <w:start w:val="1"/>
      <w:numFmt w:val="bullet"/>
      <w:lvlText w:val=""/>
      <w:lvlJc w:val="left"/>
      <w:pPr>
        <w:tabs>
          <w:tab w:val="num" w:pos="5820"/>
        </w:tabs>
        <w:ind w:left="5820" w:hanging="360"/>
      </w:pPr>
      <w:rPr>
        <w:rFonts w:ascii="Symbol" w:hAnsi="Symbol" w:hint="default"/>
      </w:rPr>
    </w:lvl>
    <w:lvl w:ilvl="7" w:tplc="04020003" w:tentative="1">
      <w:start w:val="1"/>
      <w:numFmt w:val="bullet"/>
      <w:lvlText w:val="o"/>
      <w:lvlJc w:val="left"/>
      <w:pPr>
        <w:tabs>
          <w:tab w:val="num" w:pos="6540"/>
        </w:tabs>
        <w:ind w:left="6540" w:hanging="360"/>
      </w:pPr>
      <w:rPr>
        <w:rFonts w:ascii="Courier New" w:hAnsi="Courier New" w:hint="default"/>
      </w:rPr>
    </w:lvl>
    <w:lvl w:ilvl="8" w:tplc="04020005" w:tentative="1">
      <w:start w:val="1"/>
      <w:numFmt w:val="bullet"/>
      <w:lvlText w:val=""/>
      <w:lvlJc w:val="left"/>
      <w:pPr>
        <w:tabs>
          <w:tab w:val="num" w:pos="7260"/>
        </w:tabs>
        <w:ind w:left="7260" w:hanging="360"/>
      </w:pPr>
      <w:rPr>
        <w:rFonts w:ascii="Wingdings" w:hAnsi="Wingdings" w:hint="default"/>
      </w:rPr>
    </w:lvl>
  </w:abstractNum>
  <w:abstractNum w:abstractNumId="20">
    <w:nsid w:val="1E26558E"/>
    <w:multiLevelType w:val="hybridMultilevel"/>
    <w:tmpl w:val="DD50E866"/>
    <w:lvl w:ilvl="0" w:tplc="B8089F6A">
      <w:start w:val="1"/>
      <w:numFmt w:val="bullet"/>
      <w:lvlText w:val=""/>
      <w:lvlJc w:val="left"/>
      <w:pPr>
        <w:ind w:left="1320" w:hanging="360"/>
      </w:pPr>
      <w:rPr>
        <w:rFonts w:ascii="Wingdings" w:hAnsi="Wingdings" w:hint="default"/>
        <w:color w:val="auto"/>
        <w:sz w:val="28"/>
        <w:u w:color="FFFFFF"/>
      </w:rPr>
    </w:lvl>
    <w:lvl w:ilvl="1" w:tplc="04090003" w:tentative="1">
      <w:start w:val="1"/>
      <w:numFmt w:val="bullet"/>
      <w:lvlText w:val="o"/>
      <w:lvlJc w:val="left"/>
      <w:pPr>
        <w:ind w:left="2040" w:hanging="360"/>
      </w:pPr>
      <w:rPr>
        <w:rFonts w:ascii="Courier New" w:hAnsi="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21">
    <w:nsid w:val="1EC47D11"/>
    <w:multiLevelType w:val="hybridMultilevel"/>
    <w:tmpl w:val="7AD26AE8"/>
    <w:lvl w:ilvl="0" w:tplc="0402000D">
      <w:start w:val="1"/>
      <w:numFmt w:val="bullet"/>
      <w:lvlText w:val=""/>
      <w:lvlJc w:val="left"/>
      <w:pPr>
        <w:ind w:left="1980" w:hanging="360"/>
      </w:pPr>
      <w:rPr>
        <w:rFonts w:ascii="Wingdings" w:hAnsi="Wingdings" w:hint="default"/>
      </w:rPr>
    </w:lvl>
    <w:lvl w:ilvl="1" w:tplc="04090003" w:tentative="1">
      <w:start w:val="1"/>
      <w:numFmt w:val="bullet"/>
      <w:lvlText w:val="o"/>
      <w:lvlJc w:val="left"/>
      <w:pPr>
        <w:ind w:left="2700" w:hanging="360"/>
      </w:pPr>
      <w:rPr>
        <w:rFonts w:ascii="Courier New" w:hAnsi="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2">
    <w:nsid w:val="1F425D12"/>
    <w:multiLevelType w:val="hybridMultilevel"/>
    <w:tmpl w:val="3D30E6F6"/>
    <w:lvl w:ilvl="0" w:tplc="04020009">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3">
    <w:nsid w:val="1F76309A"/>
    <w:multiLevelType w:val="hybridMultilevel"/>
    <w:tmpl w:val="64DA724A"/>
    <w:lvl w:ilvl="0" w:tplc="04020001">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24">
    <w:nsid w:val="1FE30D72"/>
    <w:multiLevelType w:val="hybridMultilevel"/>
    <w:tmpl w:val="0FC2E638"/>
    <w:lvl w:ilvl="0" w:tplc="0F7C68D6">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25">
    <w:nsid w:val="21E6397F"/>
    <w:multiLevelType w:val="multilevel"/>
    <w:tmpl w:val="18D4F194"/>
    <w:lvl w:ilvl="0">
      <w:start w:val="1"/>
      <w:numFmt w:val="decimal"/>
      <w:lvlText w:val="%1."/>
      <w:lvlJc w:val="left"/>
      <w:pPr>
        <w:tabs>
          <w:tab w:val="num" w:pos="1440"/>
        </w:tabs>
        <w:ind w:left="1440" w:hanging="360"/>
      </w:pPr>
      <w:rPr>
        <w:rFonts w:cs="Times New Roman"/>
      </w:rPr>
    </w:lvl>
    <w:lvl w:ilvl="1">
      <w:start w:val="1"/>
      <w:numFmt w:val="bullet"/>
      <w:lvlText w:val=""/>
      <w:lvlJc w:val="left"/>
      <w:pPr>
        <w:tabs>
          <w:tab w:val="num" w:pos="2148"/>
        </w:tabs>
        <w:ind w:left="2148" w:hanging="360"/>
      </w:pPr>
      <w:rPr>
        <w:rFonts w:ascii="Symbol" w:hAnsi="Symbol" w:hint="default"/>
        <w:color w:val="auto"/>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1800" w:hanging="720"/>
      </w:pPr>
      <w:rPr>
        <w:rFonts w:cs="Times New Roman" w:hint="default"/>
      </w:rPr>
    </w:lvl>
    <w:lvl w:ilvl="4">
      <w:start w:val="1"/>
      <w:numFmt w:val="decimal"/>
      <w:isLgl/>
      <w:lvlText w:val="%1.%2.%3.%4.%5."/>
      <w:lvlJc w:val="left"/>
      <w:pPr>
        <w:ind w:left="2160" w:hanging="1080"/>
      </w:pPr>
      <w:rPr>
        <w:rFonts w:cs="Times New Roman" w:hint="default"/>
      </w:rPr>
    </w:lvl>
    <w:lvl w:ilvl="5">
      <w:start w:val="1"/>
      <w:numFmt w:val="decimal"/>
      <w:isLgl/>
      <w:lvlText w:val="%1.%2.%3.%4.%5.%6."/>
      <w:lvlJc w:val="left"/>
      <w:pPr>
        <w:ind w:left="2160" w:hanging="1080"/>
      </w:pPr>
      <w:rPr>
        <w:rFonts w:cs="Times New Roman" w:hint="default"/>
      </w:rPr>
    </w:lvl>
    <w:lvl w:ilvl="6">
      <w:start w:val="1"/>
      <w:numFmt w:val="decimal"/>
      <w:isLgl/>
      <w:lvlText w:val="%1.%2.%3.%4.%5.%6.%7."/>
      <w:lvlJc w:val="left"/>
      <w:pPr>
        <w:ind w:left="2520" w:hanging="1440"/>
      </w:pPr>
      <w:rPr>
        <w:rFonts w:cs="Times New Roman" w:hint="default"/>
      </w:rPr>
    </w:lvl>
    <w:lvl w:ilvl="7">
      <w:start w:val="1"/>
      <w:numFmt w:val="decimal"/>
      <w:isLgl/>
      <w:lvlText w:val="%1.%2.%3.%4.%5.%6.%7.%8."/>
      <w:lvlJc w:val="left"/>
      <w:pPr>
        <w:ind w:left="2520" w:hanging="1440"/>
      </w:pPr>
      <w:rPr>
        <w:rFonts w:cs="Times New Roman" w:hint="default"/>
      </w:rPr>
    </w:lvl>
    <w:lvl w:ilvl="8">
      <w:start w:val="1"/>
      <w:numFmt w:val="decimal"/>
      <w:isLgl/>
      <w:lvlText w:val="%1.%2.%3.%4.%5.%6.%7.%8.%9."/>
      <w:lvlJc w:val="left"/>
      <w:pPr>
        <w:ind w:left="2880" w:hanging="1800"/>
      </w:pPr>
      <w:rPr>
        <w:rFonts w:cs="Times New Roman" w:hint="default"/>
      </w:rPr>
    </w:lvl>
  </w:abstractNum>
  <w:abstractNum w:abstractNumId="26">
    <w:nsid w:val="24921DB4"/>
    <w:multiLevelType w:val="hybridMultilevel"/>
    <w:tmpl w:val="3760B1B6"/>
    <w:lvl w:ilvl="0" w:tplc="04020001">
      <w:start w:val="1"/>
      <w:numFmt w:val="bullet"/>
      <w:lvlText w:val=""/>
      <w:lvlJc w:val="left"/>
      <w:pPr>
        <w:ind w:left="1428" w:hanging="360"/>
      </w:pPr>
      <w:rPr>
        <w:rFonts w:ascii="Symbol" w:hAnsi="Symbol" w:hint="default"/>
      </w:rPr>
    </w:lvl>
    <w:lvl w:ilvl="1" w:tplc="DBFCECEC">
      <w:start w:val="1"/>
      <w:numFmt w:val="bullet"/>
      <w:lvlText w:val=""/>
      <w:lvlJc w:val="left"/>
      <w:pPr>
        <w:tabs>
          <w:tab w:val="num" w:pos="2148"/>
        </w:tabs>
        <w:ind w:left="2148" w:hanging="360"/>
      </w:pPr>
      <w:rPr>
        <w:rFonts w:ascii="Symbol" w:hAnsi="Symbol" w:hint="default"/>
        <w:color w:val="auto"/>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7">
    <w:nsid w:val="25A20358"/>
    <w:multiLevelType w:val="hybridMultilevel"/>
    <w:tmpl w:val="E1D8CE2E"/>
    <w:lvl w:ilvl="0" w:tplc="B8369D36">
      <w:start w:val="1"/>
      <w:numFmt w:val="bullet"/>
      <w:lvlText w:val=""/>
      <w:lvlJc w:val="left"/>
      <w:pPr>
        <w:tabs>
          <w:tab w:val="num" w:pos="898"/>
        </w:tabs>
        <w:ind w:firstLine="360"/>
      </w:pPr>
      <w:rPr>
        <w:rFonts w:ascii="Symbol" w:hAnsi="Symbol" w:hint="default"/>
        <w:color w:val="auto"/>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8">
    <w:nsid w:val="26803780"/>
    <w:multiLevelType w:val="hybridMultilevel"/>
    <w:tmpl w:val="D2A6B9FA"/>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29">
    <w:nsid w:val="28D70AE9"/>
    <w:multiLevelType w:val="hybridMultilevel"/>
    <w:tmpl w:val="7E5AB360"/>
    <w:lvl w:ilvl="0" w:tplc="0402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D624270"/>
    <w:multiLevelType w:val="hybridMultilevel"/>
    <w:tmpl w:val="7BEA637C"/>
    <w:lvl w:ilvl="0" w:tplc="0BF2C414">
      <w:start w:val="1"/>
      <w:numFmt w:val="bullet"/>
      <w:lvlText w:val=""/>
      <w:lvlJc w:val="left"/>
      <w:pPr>
        <w:tabs>
          <w:tab w:val="num" w:pos="720"/>
        </w:tabs>
        <w:ind w:left="720" w:hanging="360"/>
      </w:pPr>
      <w:rPr>
        <w:rFonts w:ascii="Symbol" w:hAnsi="Symbol" w:hint="default"/>
      </w:rPr>
    </w:lvl>
    <w:lvl w:ilvl="1" w:tplc="FCA857A2">
      <w:numFmt w:val="bullet"/>
      <w:lvlText w:val="-"/>
      <w:lvlJc w:val="left"/>
      <w:pPr>
        <w:tabs>
          <w:tab w:val="num" w:pos="1800"/>
        </w:tabs>
        <w:ind w:left="1800" w:hanging="720"/>
      </w:pPr>
      <w:rPr>
        <w:rFonts w:ascii="Times New Roman" w:eastAsia="Times New Roman" w:hAnsi="Times New Roman"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1">
    <w:nsid w:val="2F7F4720"/>
    <w:multiLevelType w:val="hybridMultilevel"/>
    <w:tmpl w:val="0CFA38B2"/>
    <w:lvl w:ilvl="0" w:tplc="B8089F6A">
      <w:start w:val="1"/>
      <w:numFmt w:val="bullet"/>
      <w:lvlText w:val=""/>
      <w:lvlJc w:val="left"/>
      <w:pPr>
        <w:tabs>
          <w:tab w:val="num" w:pos="1547"/>
        </w:tabs>
        <w:ind w:left="1185" w:firstLine="96"/>
      </w:pPr>
      <w:rPr>
        <w:rFonts w:ascii="Wingdings" w:hAnsi="Wingdings"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2">
    <w:nsid w:val="300F721A"/>
    <w:multiLevelType w:val="hybridMultilevel"/>
    <w:tmpl w:val="90A23CF2"/>
    <w:lvl w:ilvl="0" w:tplc="C70A4C3A">
      <w:start w:val="1"/>
      <w:numFmt w:val="bullet"/>
      <w:lvlText w:val=""/>
      <w:lvlJc w:val="left"/>
      <w:pPr>
        <w:tabs>
          <w:tab w:val="num" w:pos="1440"/>
        </w:tabs>
        <w:ind w:left="1440" w:hanging="360"/>
      </w:pPr>
      <w:rPr>
        <w:rFonts w:ascii="Symbol" w:hAnsi="Symbol" w:hint="default"/>
        <w:color w:val="auto"/>
      </w:rPr>
    </w:lvl>
    <w:lvl w:ilvl="1" w:tplc="54C466F6">
      <w:numFmt w:val="bullet"/>
      <w:lvlText w:val="-"/>
      <w:lvlJc w:val="left"/>
      <w:pPr>
        <w:tabs>
          <w:tab w:val="num" w:pos="2160"/>
        </w:tabs>
        <w:ind w:left="2160" w:hanging="360"/>
      </w:pPr>
      <w:rPr>
        <w:rFonts w:ascii="Times New Roman" w:eastAsia="Times New Roman" w:hAnsi="Times New Roman" w:hint="default"/>
        <w:color w:val="auto"/>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3">
    <w:nsid w:val="30905154"/>
    <w:multiLevelType w:val="hybridMultilevel"/>
    <w:tmpl w:val="94749AF2"/>
    <w:lvl w:ilvl="0" w:tplc="C6C87552">
      <w:numFmt w:val="bullet"/>
      <w:lvlText w:val="-"/>
      <w:lvlJc w:val="left"/>
      <w:pPr>
        <w:tabs>
          <w:tab w:val="num" w:pos="1870"/>
        </w:tabs>
        <w:ind w:left="1870" w:hanging="360"/>
      </w:pPr>
      <w:rPr>
        <w:rFonts w:ascii="Times New Roman" w:eastAsia="Times New Roman" w:hAnsi="Times New Roman"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4">
    <w:nsid w:val="34025ECD"/>
    <w:multiLevelType w:val="hybridMultilevel"/>
    <w:tmpl w:val="5BA43B78"/>
    <w:lvl w:ilvl="0" w:tplc="FFFFFFFF">
      <w:start w:val="1"/>
      <w:numFmt w:val="bullet"/>
      <w:lvlText w:val=""/>
      <w:lvlJc w:val="left"/>
      <w:pPr>
        <w:tabs>
          <w:tab w:val="num" w:pos="-2523"/>
        </w:tabs>
        <w:ind w:left="-2523" w:hanging="357"/>
      </w:pPr>
      <w:rPr>
        <w:rFonts w:ascii="Wingdings" w:hAnsi="Wingdings" w:hint="default"/>
        <w:color w:val="auto"/>
        <w:sz w:val="28"/>
        <w:u w:color="FFFFFF"/>
      </w:rPr>
    </w:lvl>
    <w:lvl w:ilvl="1" w:tplc="FFFFFFFF">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360"/>
        </w:tabs>
        <w:ind w:left="-360" w:hanging="360"/>
      </w:pPr>
      <w:rPr>
        <w:rFonts w:ascii="Symbol" w:hAnsi="Symbol" w:hint="default"/>
      </w:rPr>
    </w:lvl>
    <w:lvl w:ilvl="4" w:tplc="FFFFFFFF" w:tentative="1">
      <w:start w:val="1"/>
      <w:numFmt w:val="bullet"/>
      <w:lvlText w:val="o"/>
      <w:lvlJc w:val="left"/>
      <w:pPr>
        <w:tabs>
          <w:tab w:val="num" w:pos="360"/>
        </w:tabs>
        <w:ind w:left="360" w:hanging="360"/>
      </w:pPr>
      <w:rPr>
        <w:rFonts w:ascii="Courier New" w:hAnsi="Courier New" w:hint="default"/>
      </w:rPr>
    </w:lvl>
    <w:lvl w:ilvl="5" w:tplc="FFFFFFFF" w:tentative="1">
      <w:start w:val="1"/>
      <w:numFmt w:val="bullet"/>
      <w:lvlText w:val=""/>
      <w:lvlJc w:val="left"/>
      <w:pPr>
        <w:tabs>
          <w:tab w:val="num" w:pos="1080"/>
        </w:tabs>
        <w:ind w:left="1080" w:hanging="360"/>
      </w:pPr>
      <w:rPr>
        <w:rFonts w:ascii="Wingdings" w:hAnsi="Wingdings" w:hint="default"/>
      </w:rPr>
    </w:lvl>
    <w:lvl w:ilvl="6" w:tplc="FFFFFFFF" w:tentative="1">
      <w:start w:val="1"/>
      <w:numFmt w:val="bullet"/>
      <w:lvlText w:val=""/>
      <w:lvlJc w:val="left"/>
      <w:pPr>
        <w:tabs>
          <w:tab w:val="num" w:pos="1800"/>
        </w:tabs>
        <w:ind w:left="1800" w:hanging="360"/>
      </w:pPr>
      <w:rPr>
        <w:rFonts w:ascii="Symbol" w:hAnsi="Symbol" w:hint="default"/>
      </w:rPr>
    </w:lvl>
    <w:lvl w:ilvl="7" w:tplc="FFFFFFFF" w:tentative="1">
      <w:start w:val="1"/>
      <w:numFmt w:val="bullet"/>
      <w:lvlText w:val="o"/>
      <w:lvlJc w:val="left"/>
      <w:pPr>
        <w:tabs>
          <w:tab w:val="num" w:pos="2520"/>
        </w:tabs>
        <w:ind w:left="2520" w:hanging="360"/>
      </w:pPr>
      <w:rPr>
        <w:rFonts w:ascii="Courier New" w:hAnsi="Courier New" w:hint="default"/>
      </w:rPr>
    </w:lvl>
    <w:lvl w:ilvl="8" w:tplc="FFFFFFFF" w:tentative="1">
      <w:start w:val="1"/>
      <w:numFmt w:val="bullet"/>
      <w:lvlText w:val=""/>
      <w:lvlJc w:val="left"/>
      <w:pPr>
        <w:tabs>
          <w:tab w:val="num" w:pos="3240"/>
        </w:tabs>
        <w:ind w:left="3240" w:hanging="360"/>
      </w:pPr>
      <w:rPr>
        <w:rFonts w:ascii="Wingdings" w:hAnsi="Wingdings" w:hint="default"/>
      </w:rPr>
    </w:lvl>
  </w:abstractNum>
  <w:abstractNum w:abstractNumId="35">
    <w:nsid w:val="34850308"/>
    <w:multiLevelType w:val="hybridMultilevel"/>
    <w:tmpl w:val="F53CAB0A"/>
    <w:lvl w:ilvl="0" w:tplc="B8089F6A">
      <w:start w:val="1"/>
      <w:numFmt w:val="bullet"/>
      <w:lvlText w:val=""/>
      <w:lvlJc w:val="left"/>
      <w:pPr>
        <w:tabs>
          <w:tab w:val="num" w:pos="1260"/>
        </w:tabs>
        <w:ind w:left="1260" w:hanging="360"/>
      </w:pPr>
      <w:rPr>
        <w:rFonts w:ascii="Symbol" w:hAnsi="Symbol" w:hint="default"/>
        <w:color w:val="auto"/>
      </w:rPr>
    </w:lvl>
    <w:lvl w:ilvl="1" w:tplc="04020003">
      <w:start w:val="1"/>
      <w:numFmt w:val="bullet"/>
      <w:lvlText w:val="o"/>
      <w:lvlJc w:val="left"/>
      <w:pPr>
        <w:tabs>
          <w:tab w:val="num" w:pos="1980"/>
        </w:tabs>
        <w:ind w:left="1980" w:hanging="360"/>
      </w:pPr>
      <w:rPr>
        <w:rFonts w:ascii="Courier New" w:hAnsi="Courier New" w:hint="default"/>
        <w:color w:val="auto"/>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6">
    <w:nsid w:val="366922EB"/>
    <w:multiLevelType w:val="hybridMultilevel"/>
    <w:tmpl w:val="A0DEF824"/>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37">
    <w:nsid w:val="392C0DB4"/>
    <w:multiLevelType w:val="hybridMultilevel"/>
    <w:tmpl w:val="A40CF706"/>
    <w:lvl w:ilvl="0" w:tplc="1D44219E">
      <w:start w:val="1"/>
      <w:numFmt w:val="bullet"/>
      <w:lvlText w:val=""/>
      <w:lvlJc w:val="left"/>
      <w:pPr>
        <w:tabs>
          <w:tab w:val="num" w:pos="720"/>
        </w:tabs>
        <w:ind w:left="720" w:hanging="360"/>
      </w:pPr>
      <w:rPr>
        <w:rFonts w:ascii="Symbol" w:hAnsi="Symbol" w:hint="default"/>
        <w:color w:val="auto"/>
      </w:rPr>
    </w:lvl>
    <w:lvl w:ilvl="1" w:tplc="05B419D2"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8">
    <w:nsid w:val="3C204DB0"/>
    <w:multiLevelType w:val="hybridMultilevel"/>
    <w:tmpl w:val="47D8959A"/>
    <w:lvl w:ilvl="0" w:tplc="0402000F">
      <w:start w:val="1"/>
      <w:numFmt w:val="decimal"/>
      <w:lvlText w:val="%1."/>
      <w:lvlJc w:val="left"/>
      <w:pPr>
        <w:tabs>
          <w:tab w:val="num" w:pos="720"/>
        </w:tabs>
        <w:ind w:left="720" w:hanging="360"/>
      </w:pPr>
      <w:rPr>
        <w:rFonts w:cs="Times New Roman" w:hint="default"/>
      </w:rPr>
    </w:lvl>
    <w:lvl w:ilvl="1" w:tplc="04020019" w:tentative="1">
      <w:start w:val="1"/>
      <w:numFmt w:val="lowerLetter"/>
      <w:lvlText w:val="%2."/>
      <w:lvlJc w:val="left"/>
      <w:pPr>
        <w:tabs>
          <w:tab w:val="num" w:pos="1440"/>
        </w:tabs>
        <w:ind w:left="1440" w:hanging="360"/>
      </w:pPr>
      <w:rPr>
        <w:rFonts w:cs="Times New Roman"/>
      </w:rPr>
    </w:lvl>
    <w:lvl w:ilvl="2" w:tplc="0402001B" w:tentative="1">
      <w:start w:val="1"/>
      <w:numFmt w:val="lowerRoman"/>
      <w:lvlText w:val="%3."/>
      <w:lvlJc w:val="right"/>
      <w:pPr>
        <w:tabs>
          <w:tab w:val="num" w:pos="2160"/>
        </w:tabs>
        <w:ind w:left="2160" w:hanging="180"/>
      </w:pPr>
      <w:rPr>
        <w:rFonts w:cs="Times New Roman"/>
      </w:rPr>
    </w:lvl>
    <w:lvl w:ilvl="3" w:tplc="0402000F" w:tentative="1">
      <w:start w:val="1"/>
      <w:numFmt w:val="decimal"/>
      <w:lvlText w:val="%4."/>
      <w:lvlJc w:val="left"/>
      <w:pPr>
        <w:tabs>
          <w:tab w:val="num" w:pos="2880"/>
        </w:tabs>
        <w:ind w:left="2880" w:hanging="360"/>
      </w:pPr>
      <w:rPr>
        <w:rFonts w:cs="Times New Roman"/>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39">
    <w:nsid w:val="3C4D11E1"/>
    <w:multiLevelType w:val="hybridMultilevel"/>
    <w:tmpl w:val="65D6544E"/>
    <w:lvl w:ilvl="0" w:tplc="104229B6">
      <w:numFmt w:val="bullet"/>
      <w:lvlText w:val="-"/>
      <w:lvlJc w:val="left"/>
      <w:pPr>
        <w:tabs>
          <w:tab w:val="num" w:pos="1870"/>
        </w:tabs>
        <w:ind w:left="1870" w:hanging="360"/>
      </w:pPr>
      <w:rPr>
        <w:rFonts w:ascii="Times New Roman" w:eastAsia="Times New Roman" w:hAnsi="Times New Roman" w:hint="default"/>
        <w:b w:val="0"/>
      </w:rPr>
    </w:lvl>
    <w:lvl w:ilvl="1" w:tplc="9098928A">
      <w:start w:val="1"/>
      <w:numFmt w:val="decimal"/>
      <w:lvlText w:val="%2."/>
      <w:lvlJc w:val="left"/>
      <w:pPr>
        <w:tabs>
          <w:tab w:val="num" w:pos="1150"/>
        </w:tabs>
        <w:ind w:left="1150" w:hanging="360"/>
      </w:pPr>
      <w:rPr>
        <w:rFonts w:cs="Times New Roman" w:hint="default"/>
        <w:b/>
      </w:rPr>
    </w:lvl>
    <w:lvl w:ilvl="2" w:tplc="04020005" w:tentative="1">
      <w:start w:val="1"/>
      <w:numFmt w:val="lowerRoman"/>
      <w:lvlText w:val="%3."/>
      <w:lvlJc w:val="right"/>
      <w:pPr>
        <w:tabs>
          <w:tab w:val="num" w:pos="1870"/>
        </w:tabs>
        <w:ind w:left="1870" w:hanging="180"/>
      </w:pPr>
      <w:rPr>
        <w:rFonts w:cs="Times New Roman"/>
      </w:rPr>
    </w:lvl>
    <w:lvl w:ilvl="3" w:tplc="04020001" w:tentative="1">
      <w:start w:val="1"/>
      <w:numFmt w:val="decimal"/>
      <w:lvlText w:val="%4."/>
      <w:lvlJc w:val="left"/>
      <w:pPr>
        <w:tabs>
          <w:tab w:val="num" w:pos="2590"/>
        </w:tabs>
        <w:ind w:left="2590" w:hanging="360"/>
      </w:pPr>
      <w:rPr>
        <w:rFonts w:cs="Times New Roman"/>
      </w:rPr>
    </w:lvl>
    <w:lvl w:ilvl="4" w:tplc="04020003" w:tentative="1">
      <w:start w:val="1"/>
      <w:numFmt w:val="lowerLetter"/>
      <w:lvlText w:val="%5."/>
      <w:lvlJc w:val="left"/>
      <w:pPr>
        <w:tabs>
          <w:tab w:val="num" w:pos="3310"/>
        </w:tabs>
        <w:ind w:left="3310" w:hanging="360"/>
      </w:pPr>
      <w:rPr>
        <w:rFonts w:cs="Times New Roman"/>
      </w:rPr>
    </w:lvl>
    <w:lvl w:ilvl="5" w:tplc="04020005" w:tentative="1">
      <w:start w:val="1"/>
      <w:numFmt w:val="lowerRoman"/>
      <w:lvlText w:val="%6."/>
      <w:lvlJc w:val="right"/>
      <w:pPr>
        <w:tabs>
          <w:tab w:val="num" w:pos="4030"/>
        </w:tabs>
        <w:ind w:left="4030" w:hanging="180"/>
      </w:pPr>
      <w:rPr>
        <w:rFonts w:cs="Times New Roman"/>
      </w:rPr>
    </w:lvl>
    <w:lvl w:ilvl="6" w:tplc="04020001" w:tentative="1">
      <w:start w:val="1"/>
      <w:numFmt w:val="decimal"/>
      <w:lvlText w:val="%7."/>
      <w:lvlJc w:val="left"/>
      <w:pPr>
        <w:tabs>
          <w:tab w:val="num" w:pos="4750"/>
        </w:tabs>
        <w:ind w:left="4750" w:hanging="360"/>
      </w:pPr>
      <w:rPr>
        <w:rFonts w:cs="Times New Roman"/>
      </w:rPr>
    </w:lvl>
    <w:lvl w:ilvl="7" w:tplc="04020003" w:tentative="1">
      <w:start w:val="1"/>
      <w:numFmt w:val="lowerLetter"/>
      <w:lvlText w:val="%8."/>
      <w:lvlJc w:val="left"/>
      <w:pPr>
        <w:tabs>
          <w:tab w:val="num" w:pos="5470"/>
        </w:tabs>
        <w:ind w:left="5470" w:hanging="360"/>
      </w:pPr>
      <w:rPr>
        <w:rFonts w:cs="Times New Roman"/>
      </w:rPr>
    </w:lvl>
    <w:lvl w:ilvl="8" w:tplc="04020005" w:tentative="1">
      <w:start w:val="1"/>
      <w:numFmt w:val="lowerRoman"/>
      <w:lvlText w:val="%9."/>
      <w:lvlJc w:val="right"/>
      <w:pPr>
        <w:tabs>
          <w:tab w:val="num" w:pos="6190"/>
        </w:tabs>
        <w:ind w:left="6190" w:hanging="180"/>
      </w:pPr>
      <w:rPr>
        <w:rFonts w:cs="Times New Roman"/>
      </w:rPr>
    </w:lvl>
  </w:abstractNum>
  <w:abstractNum w:abstractNumId="40">
    <w:nsid w:val="3F7C4408"/>
    <w:multiLevelType w:val="hybridMultilevel"/>
    <w:tmpl w:val="74708F34"/>
    <w:lvl w:ilvl="0" w:tplc="0402000D">
      <w:numFmt w:val="bullet"/>
      <w:lvlText w:val="-"/>
      <w:lvlJc w:val="left"/>
      <w:pPr>
        <w:tabs>
          <w:tab w:val="num" w:pos="360"/>
        </w:tabs>
        <w:ind w:left="360" w:hanging="360"/>
      </w:pPr>
      <w:rPr>
        <w:rFonts w:ascii="Times New Roman" w:eastAsia="Times New Roman" w:hAnsi="Times New Roman" w:hint="default"/>
      </w:rPr>
    </w:lvl>
    <w:lvl w:ilvl="1" w:tplc="04020005" w:tentative="1">
      <w:start w:val="1"/>
      <w:numFmt w:val="bullet"/>
      <w:lvlText w:val="o"/>
      <w:lvlJc w:val="left"/>
      <w:pPr>
        <w:tabs>
          <w:tab w:val="num" w:pos="300"/>
        </w:tabs>
        <w:ind w:left="300" w:hanging="360"/>
      </w:pPr>
      <w:rPr>
        <w:rFonts w:ascii="Courier New" w:hAnsi="Courier New" w:hint="default"/>
      </w:rPr>
    </w:lvl>
    <w:lvl w:ilvl="2" w:tplc="04020005" w:tentative="1">
      <w:start w:val="1"/>
      <w:numFmt w:val="bullet"/>
      <w:lvlText w:val=""/>
      <w:lvlJc w:val="left"/>
      <w:pPr>
        <w:tabs>
          <w:tab w:val="num" w:pos="1020"/>
        </w:tabs>
        <w:ind w:left="1020" w:hanging="360"/>
      </w:pPr>
      <w:rPr>
        <w:rFonts w:ascii="Wingdings" w:hAnsi="Wingdings" w:hint="default"/>
      </w:rPr>
    </w:lvl>
    <w:lvl w:ilvl="3" w:tplc="04020001" w:tentative="1">
      <w:start w:val="1"/>
      <w:numFmt w:val="bullet"/>
      <w:lvlText w:val=""/>
      <w:lvlJc w:val="left"/>
      <w:pPr>
        <w:tabs>
          <w:tab w:val="num" w:pos="1740"/>
        </w:tabs>
        <w:ind w:left="1740" w:hanging="360"/>
      </w:pPr>
      <w:rPr>
        <w:rFonts w:ascii="Symbol" w:hAnsi="Symbol" w:hint="default"/>
      </w:rPr>
    </w:lvl>
    <w:lvl w:ilvl="4" w:tplc="04020003" w:tentative="1">
      <w:start w:val="1"/>
      <w:numFmt w:val="bullet"/>
      <w:lvlText w:val="o"/>
      <w:lvlJc w:val="left"/>
      <w:pPr>
        <w:tabs>
          <w:tab w:val="num" w:pos="2460"/>
        </w:tabs>
        <w:ind w:left="2460" w:hanging="360"/>
      </w:pPr>
      <w:rPr>
        <w:rFonts w:ascii="Courier New" w:hAnsi="Courier New" w:hint="default"/>
      </w:rPr>
    </w:lvl>
    <w:lvl w:ilvl="5" w:tplc="04020005" w:tentative="1">
      <w:start w:val="1"/>
      <w:numFmt w:val="bullet"/>
      <w:lvlText w:val=""/>
      <w:lvlJc w:val="left"/>
      <w:pPr>
        <w:tabs>
          <w:tab w:val="num" w:pos="3180"/>
        </w:tabs>
        <w:ind w:left="3180" w:hanging="360"/>
      </w:pPr>
      <w:rPr>
        <w:rFonts w:ascii="Wingdings" w:hAnsi="Wingdings" w:hint="default"/>
      </w:rPr>
    </w:lvl>
    <w:lvl w:ilvl="6" w:tplc="04020001" w:tentative="1">
      <w:start w:val="1"/>
      <w:numFmt w:val="bullet"/>
      <w:lvlText w:val=""/>
      <w:lvlJc w:val="left"/>
      <w:pPr>
        <w:tabs>
          <w:tab w:val="num" w:pos="3900"/>
        </w:tabs>
        <w:ind w:left="3900" w:hanging="360"/>
      </w:pPr>
      <w:rPr>
        <w:rFonts w:ascii="Symbol" w:hAnsi="Symbol" w:hint="default"/>
      </w:rPr>
    </w:lvl>
    <w:lvl w:ilvl="7" w:tplc="04020003" w:tentative="1">
      <w:start w:val="1"/>
      <w:numFmt w:val="bullet"/>
      <w:lvlText w:val="o"/>
      <w:lvlJc w:val="left"/>
      <w:pPr>
        <w:tabs>
          <w:tab w:val="num" w:pos="4620"/>
        </w:tabs>
        <w:ind w:left="4620" w:hanging="360"/>
      </w:pPr>
      <w:rPr>
        <w:rFonts w:ascii="Courier New" w:hAnsi="Courier New" w:hint="default"/>
      </w:rPr>
    </w:lvl>
    <w:lvl w:ilvl="8" w:tplc="04020005" w:tentative="1">
      <w:start w:val="1"/>
      <w:numFmt w:val="bullet"/>
      <w:lvlText w:val=""/>
      <w:lvlJc w:val="left"/>
      <w:pPr>
        <w:tabs>
          <w:tab w:val="num" w:pos="5340"/>
        </w:tabs>
        <w:ind w:left="5340" w:hanging="360"/>
      </w:pPr>
      <w:rPr>
        <w:rFonts w:ascii="Wingdings" w:hAnsi="Wingdings" w:hint="default"/>
      </w:rPr>
    </w:lvl>
  </w:abstractNum>
  <w:abstractNum w:abstractNumId="41">
    <w:nsid w:val="40083A30"/>
    <w:multiLevelType w:val="multilevel"/>
    <w:tmpl w:val="9A763DD2"/>
    <w:lvl w:ilvl="0">
      <w:start w:val="1"/>
      <w:numFmt w:val="decimal"/>
      <w:lvlText w:val="%1."/>
      <w:lvlJc w:val="left"/>
      <w:pPr>
        <w:tabs>
          <w:tab w:val="num" w:pos="360"/>
        </w:tabs>
        <w:ind w:left="360" w:hanging="360"/>
      </w:pPr>
      <w:rPr>
        <w:rFonts w:cs="Times New Roman" w:hint="default"/>
      </w:rPr>
    </w:lvl>
    <w:lvl w:ilvl="1">
      <w:start w:val="1"/>
      <w:numFmt w:val="none"/>
      <w:lvlText w:val="1.1"/>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2">
    <w:nsid w:val="419D5F20"/>
    <w:multiLevelType w:val="hybridMultilevel"/>
    <w:tmpl w:val="3140E7FA"/>
    <w:lvl w:ilvl="0" w:tplc="FFFFFFFF">
      <w:start w:val="1"/>
      <w:numFmt w:val="bullet"/>
      <w:lvlText w:val=""/>
      <w:lvlJc w:val="left"/>
      <w:pPr>
        <w:tabs>
          <w:tab w:val="num" w:pos="2157"/>
        </w:tabs>
        <w:ind w:left="2157" w:hanging="357"/>
      </w:pPr>
      <w:rPr>
        <w:rFonts w:ascii="Wingdings" w:hAnsi="Wingdings" w:hint="default"/>
        <w:color w:val="auto"/>
        <w:sz w:val="28"/>
        <w:u w:color="FFFFFF"/>
      </w:rPr>
    </w:lvl>
    <w:lvl w:ilvl="1" w:tplc="FFFFFFFF" w:tentative="1">
      <w:start w:val="1"/>
      <w:numFmt w:val="bullet"/>
      <w:lvlText w:val="o"/>
      <w:lvlJc w:val="left"/>
      <w:pPr>
        <w:tabs>
          <w:tab w:val="num" w:pos="2520"/>
        </w:tabs>
        <w:ind w:left="2520" w:hanging="360"/>
      </w:pPr>
      <w:rPr>
        <w:rFonts w:ascii="Courier New" w:hAnsi="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43">
    <w:nsid w:val="432103C2"/>
    <w:multiLevelType w:val="hybridMultilevel"/>
    <w:tmpl w:val="BC267162"/>
    <w:lvl w:ilvl="0" w:tplc="6172E328">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o"/>
      <w:lvlJc w:val="left"/>
      <w:pPr>
        <w:tabs>
          <w:tab w:val="num" w:pos="1440"/>
        </w:tabs>
        <w:ind w:left="1440" w:hanging="360"/>
      </w:pPr>
      <w:rPr>
        <w:rFonts w:ascii="Courier New" w:hAnsi="Courier New" w:hint="default"/>
      </w:rPr>
    </w:lvl>
    <w:lvl w:ilvl="2" w:tplc="04020005">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44">
    <w:nsid w:val="437D552E"/>
    <w:multiLevelType w:val="hybridMultilevel"/>
    <w:tmpl w:val="02001F70"/>
    <w:lvl w:ilvl="0" w:tplc="04020001">
      <w:start w:val="1"/>
      <w:numFmt w:val="bullet"/>
      <w:lvlText w:val=""/>
      <w:lvlJc w:val="left"/>
      <w:pPr>
        <w:ind w:left="2880" w:hanging="360"/>
      </w:pPr>
      <w:rPr>
        <w:rFonts w:ascii="Symbol" w:hAnsi="Symbol" w:hint="default"/>
      </w:rPr>
    </w:lvl>
    <w:lvl w:ilvl="1" w:tplc="04020003" w:tentative="1">
      <w:start w:val="1"/>
      <w:numFmt w:val="bullet"/>
      <w:lvlText w:val="o"/>
      <w:lvlJc w:val="left"/>
      <w:pPr>
        <w:ind w:left="3600" w:hanging="360"/>
      </w:pPr>
      <w:rPr>
        <w:rFonts w:ascii="Courier New" w:hAnsi="Courier New" w:hint="default"/>
      </w:rPr>
    </w:lvl>
    <w:lvl w:ilvl="2" w:tplc="04020005" w:tentative="1">
      <w:start w:val="1"/>
      <w:numFmt w:val="bullet"/>
      <w:lvlText w:val=""/>
      <w:lvlJc w:val="left"/>
      <w:pPr>
        <w:ind w:left="4320" w:hanging="360"/>
      </w:pPr>
      <w:rPr>
        <w:rFonts w:ascii="Wingdings" w:hAnsi="Wingdings" w:hint="default"/>
      </w:rPr>
    </w:lvl>
    <w:lvl w:ilvl="3" w:tplc="04020001" w:tentative="1">
      <w:start w:val="1"/>
      <w:numFmt w:val="bullet"/>
      <w:lvlText w:val=""/>
      <w:lvlJc w:val="left"/>
      <w:pPr>
        <w:ind w:left="5040" w:hanging="360"/>
      </w:pPr>
      <w:rPr>
        <w:rFonts w:ascii="Symbol" w:hAnsi="Symbol" w:hint="default"/>
      </w:rPr>
    </w:lvl>
    <w:lvl w:ilvl="4" w:tplc="04020003" w:tentative="1">
      <w:start w:val="1"/>
      <w:numFmt w:val="bullet"/>
      <w:lvlText w:val="o"/>
      <w:lvlJc w:val="left"/>
      <w:pPr>
        <w:ind w:left="5760" w:hanging="360"/>
      </w:pPr>
      <w:rPr>
        <w:rFonts w:ascii="Courier New" w:hAnsi="Courier New" w:hint="default"/>
      </w:rPr>
    </w:lvl>
    <w:lvl w:ilvl="5" w:tplc="04020005" w:tentative="1">
      <w:start w:val="1"/>
      <w:numFmt w:val="bullet"/>
      <w:lvlText w:val=""/>
      <w:lvlJc w:val="left"/>
      <w:pPr>
        <w:ind w:left="6480" w:hanging="360"/>
      </w:pPr>
      <w:rPr>
        <w:rFonts w:ascii="Wingdings" w:hAnsi="Wingdings" w:hint="default"/>
      </w:rPr>
    </w:lvl>
    <w:lvl w:ilvl="6" w:tplc="04020001" w:tentative="1">
      <w:start w:val="1"/>
      <w:numFmt w:val="bullet"/>
      <w:lvlText w:val=""/>
      <w:lvlJc w:val="left"/>
      <w:pPr>
        <w:ind w:left="7200" w:hanging="360"/>
      </w:pPr>
      <w:rPr>
        <w:rFonts w:ascii="Symbol" w:hAnsi="Symbol" w:hint="default"/>
      </w:rPr>
    </w:lvl>
    <w:lvl w:ilvl="7" w:tplc="04020003" w:tentative="1">
      <w:start w:val="1"/>
      <w:numFmt w:val="bullet"/>
      <w:lvlText w:val="o"/>
      <w:lvlJc w:val="left"/>
      <w:pPr>
        <w:ind w:left="7920" w:hanging="360"/>
      </w:pPr>
      <w:rPr>
        <w:rFonts w:ascii="Courier New" w:hAnsi="Courier New" w:hint="default"/>
      </w:rPr>
    </w:lvl>
    <w:lvl w:ilvl="8" w:tplc="04020005" w:tentative="1">
      <w:start w:val="1"/>
      <w:numFmt w:val="bullet"/>
      <w:lvlText w:val=""/>
      <w:lvlJc w:val="left"/>
      <w:pPr>
        <w:ind w:left="8640" w:hanging="360"/>
      </w:pPr>
      <w:rPr>
        <w:rFonts w:ascii="Wingdings" w:hAnsi="Wingdings" w:hint="default"/>
      </w:rPr>
    </w:lvl>
  </w:abstractNum>
  <w:abstractNum w:abstractNumId="45">
    <w:nsid w:val="4416401D"/>
    <w:multiLevelType w:val="hybridMultilevel"/>
    <w:tmpl w:val="9DB250B4"/>
    <w:lvl w:ilvl="0" w:tplc="C6F2B98C">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46">
    <w:nsid w:val="455630E0"/>
    <w:multiLevelType w:val="hybridMultilevel"/>
    <w:tmpl w:val="8758A7F2"/>
    <w:lvl w:ilvl="0" w:tplc="CC72A724">
      <w:start w:val="1"/>
      <w:numFmt w:val="bullet"/>
      <w:lvlText w:val=""/>
      <w:lvlJc w:val="left"/>
      <w:pPr>
        <w:tabs>
          <w:tab w:val="num" w:pos="1260"/>
        </w:tabs>
        <w:ind w:left="1260" w:hanging="360"/>
      </w:pPr>
      <w:rPr>
        <w:rFonts w:ascii="Wingdings" w:hAnsi="Wingdings"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47">
    <w:nsid w:val="46AB40F6"/>
    <w:multiLevelType w:val="hybridMultilevel"/>
    <w:tmpl w:val="8F56685A"/>
    <w:lvl w:ilvl="0" w:tplc="3B28C328">
      <w:start w:val="1"/>
      <w:numFmt w:val="bullet"/>
      <w:lvlText w:val=""/>
      <w:lvlJc w:val="left"/>
      <w:pPr>
        <w:tabs>
          <w:tab w:val="num" w:pos="1635"/>
        </w:tabs>
        <w:ind w:left="1635" w:hanging="360"/>
      </w:pPr>
      <w:rPr>
        <w:rFonts w:ascii="Symbol" w:hAnsi="Symbol" w:hint="default"/>
      </w:rPr>
    </w:lvl>
    <w:lvl w:ilvl="1" w:tplc="04020003">
      <w:start w:val="1"/>
      <w:numFmt w:val="bullet"/>
      <w:lvlText w:val="o"/>
      <w:lvlJc w:val="left"/>
      <w:pPr>
        <w:tabs>
          <w:tab w:val="num" w:pos="2355"/>
        </w:tabs>
        <w:ind w:left="2355" w:hanging="360"/>
      </w:pPr>
      <w:rPr>
        <w:rFonts w:ascii="Courier New" w:hAnsi="Courier New" w:hint="default"/>
      </w:rPr>
    </w:lvl>
    <w:lvl w:ilvl="2" w:tplc="04020005" w:tentative="1">
      <w:start w:val="1"/>
      <w:numFmt w:val="bullet"/>
      <w:lvlText w:val=""/>
      <w:lvlJc w:val="left"/>
      <w:pPr>
        <w:tabs>
          <w:tab w:val="num" w:pos="3075"/>
        </w:tabs>
        <w:ind w:left="3075" w:hanging="360"/>
      </w:pPr>
      <w:rPr>
        <w:rFonts w:ascii="Wingdings" w:hAnsi="Wingdings" w:hint="default"/>
      </w:rPr>
    </w:lvl>
    <w:lvl w:ilvl="3" w:tplc="04020001" w:tentative="1">
      <w:start w:val="1"/>
      <w:numFmt w:val="bullet"/>
      <w:lvlText w:val=""/>
      <w:lvlJc w:val="left"/>
      <w:pPr>
        <w:tabs>
          <w:tab w:val="num" w:pos="3795"/>
        </w:tabs>
        <w:ind w:left="3795" w:hanging="360"/>
      </w:pPr>
      <w:rPr>
        <w:rFonts w:ascii="Symbol" w:hAnsi="Symbol" w:hint="default"/>
      </w:rPr>
    </w:lvl>
    <w:lvl w:ilvl="4" w:tplc="04020003" w:tentative="1">
      <w:start w:val="1"/>
      <w:numFmt w:val="bullet"/>
      <w:lvlText w:val="o"/>
      <w:lvlJc w:val="left"/>
      <w:pPr>
        <w:tabs>
          <w:tab w:val="num" w:pos="4515"/>
        </w:tabs>
        <w:ind w:left="4515" w:hanging="360"/>
      </w:pPr>
      <w:rPr>
        <w:rFonts w:ascii="Courier New" w:hAnsi="Courier New" w:hint="default"/>
      </w:rPr>
    </w:lvl>
    <w:lvl w:ilvl="5" w:tplc="04020005" w:tentative="1">
      <w:start w:val="1"/>
      <w:numFmt w:val="bullet"/>
      <w:lvlText w:val=""/>
      <w:lvlJc w:val="left"/>
      <w:pPr>
        <w:tabs>
          <w:tab w:val="num" w:pos="5235"/>
        </w:tabs>
        <w:ind w:left="5235" w:hanging="360"/>
      </w:pPr>
      <w:rPr>
        <w:rFonts w:ascii="Wingdings" w:hAnsi="Wingdings" w:hint="default"/>
      </w:rPr>
    </w:lvl>
    <w:lvl w:ilvl="6" w:tplc="04020001" w:tentative="1">
      <w:start w:val="1"/>
      <w:numFmt w:val="bullet"/>
      <w:lvlText w:val=""/>
      <w:lvlJc w:val="left"/>
      <w:pPr>
        <w:tabs>
          <w:tab w:val="num" w:pos="5955"/>
        </w:tabs>
        <w:ind w:left="5955" w:hanging="360"/>
      </w:pPr>
      <w:rPr>
        <w:rFonts w:ascii="Symbol" w:hAnsi="Symbol" w:hint="default"/>
      </w:rPr>
    </w:lvl>
    <w:lvl w:ilvl="7" w:tplc="04020003" w:tentative="1">
      <w:start w:val="1"/>
      <w:numFmt w:val="bullet"/>
      <w:lvlText w:val="o"/>
      <w:lvlJc w:val="left"/>
      <w:pPr>
        <w:tabs>
          <w:tab w:val="num" w:pos="6675"/>
        </w:tabs>
        <w:ind w:left="6675" w:hanging="360"/>
      </w:pPr>
      <w:rPr>
        <w:rFonts w:ascii="Courier New" w:hAnsi="Courier New" w:hint="default"/>
      </w:rPr>
    </w:lvl>
    <w:lvl w:ilvl="8" w:tplc="04020005" w:tentative="1">
      <w:start w:val="1"/>
      <w:numFmt w:val="bullet"/>
      <w:lvlText w:val=""/>
      <w:lvlJc w:val="left"/>
      <w:pPr>
        <w:tabs>
          <w:tab w:val="num" w:pos="7395"/>
        </w:tabs>
        <w:ind w:left="7395" w:hanging="360"/>
      </w:pPr>
      <w:rPr>
        <w:rFonts w:ascii="Wingdings" w:hAnsi="Wingdings" w:hint="default"/>
      </w:rPr>
    </w:lvl>
  </w:abstractNum>
  <w:abstractNum w:abstractNumId="48">
    <w:nsid w:val="47BC3825"/>
    <w:multiLevelType w:val="hybridMultilevel"/>
    <w:tmpl w:val="80D022DA"/>
    <w:lvl w:ilvl="0" w:tplc="5C78D074">
      <w:numFmt w:val="bullet"/>
      <w:lvlText w:val="-"/>
      <w:lvlJc w:val="left"/>
      <w:pPr>
        <w:tabs>
          <w:tab w:val="num" w:pos="720"/>
        </w:tabs>
        <w:ind w:left="720" w:hanging="360"/>
      </w:pPr>
      <w:rPr>
        <w:rFonts w:ascii="Times New Roman" w:eastAsia="Times New Roman" w:hAnsi="Times New Roman" w:hint="default"/>
        <w:i w:val="0"/>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49">
    <w:nsid w:val="490501F8"/>
    <w:multiLevelType w:val="hybridMultilevel"/>
    <w:tmpl w:val="640203B8"/>
    <w:lvl w:ilvl="0" w:tplc="04020001">
      <w:start w:val="1"/>
      <w:numFmt w:val="bullet"/>
      <w:lvlText w:val=""/>
      <w:lvlJc w:val="left"/>
      <w:pPr>
        <w:ind w:left="1260" w:hanging="360"/>
      </w:pPr>
      <w:rPr>
        <w:rFonts w:ascii="Symbol" w:hAnsi="Symbol" w:hint="default"/>
      </w:rPr>
    </w:lvl>
    <w:lvl w:ilvl="1" w:tplc="04020003" w:tentative="1">
      <w:start w:val="1"/>
      <w:numFmt w:val="bullet"/>
      <w:lvlText w:val="o"/>
      <w:lvlJc w:val="left"/>
      <w:pPr>
        <w:ind w:left="1980" w:hanging="360"/>
      </w:pPr>
      <w:rPr>
        <w:rFonts w:ascii="Courier New" w:hAnsi="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50">
    <w:nsid w:val="4A6B1CD3"/>
    <w:multiLevelType w:val="hybridMultilevel"/>
    <w:tmpl w:val="FC0295C2"/>
    <w:lvl w:ilvl="0" w:tplc="DBFCECEC">
      <w:start w:val="1"/>
      <w:numFmt w:val="bullet"/>
      <w:lvlText w:val=""/>
      <w:lvlJc w:val="left"/>
      <w:pPr>
        <w:tabs>
          <w:tab w:val="num" w:pos="823"/>
        </w:tabs>
        <w:ind w:left="823" w:hanging="360"/>
      </w:pPr>
      <w:rPr>
        <w:rFonts w:ascii="Symbol" w:hAnsi="Symbol" w:hint="default"/>
        <w:color w:val="auto"/>
      </w:rPr>
    </w:lvl>
    <w:lvl w:ilvl="1" w:tplc="04020003" w:tentative="1">
      <w:start w:val="1"/>
      <w:numFmt w:val="bullet"/>
      <w:lvlText w:val="o"/>
      <w:lvlJc w:val="left"/>
      <w:pPr>
        <w:tabs>
          <w:tab w:val="num" w:pos="1723"/>
        </w:tabs>
        <w:ind w:left="1723" w:hanging="360"/>
      </w:pPr>
      <w:rPr>
        <w:rFonts w:ascii="Courier New" w:hAnsi="Courier New" w:hint="default"/>
      </w:rPr>
    </w:lvl>
    <w:lvl w:ilvl="2" w:tplc="04020005" w:tentative="1">
      <w:start w:val="1"/>
      <w:numFmt w:val="bullet"/>
      <w:lvlText w:val=""/>
      <w:lvlJc w:val="left"/>
      <w:pPr>
        <w:tabs>
          <w:tab w:val="num" w:pos="2443"/>
        </w:tabs>
        <w:ind w:left="2443" w:hanging="360"/>
      </w:pPr>
      <w:rPr>
        <w:rFonts w:ascii="Wingdings" w:hAnsi="Wingdings" w:hint="default"/>
      </w:rPr>
    </w:lvl>
    <w:lvl w:ilvl="3" w:tplc="04020001" w:tentative="1">
      <w:start w:val="1"/>
      <w:numFmt w:val="bullet"/>
      <w:lvlText w:val=""/>
      <w:lvlJc w:val="left"/>
      <w:pPr>
        <w:tabs>
          <w:tab w:val="num" w:pos="3163"/>
        </w:tabs>
        <w:ind w:left="3163" w:hanging="360"/>
      </w:pPr>
      <w:rPr>
        <w:rFonts w:ascii="Symbol" w:hAnsi="Symbol" w:hint="default"/>
      </w:rPr>
    </w:lvl>
    <w:lvl w:ilvl="4" w:tplc="04020003" w:tentative="1">
      <w:start w:val="1"/>
      <w:numFmt w:val="bullet"/>
      <w:lvlText w:val="o"/>
      <w:lvlJc w:val="left"/>
      <w:pPr>
        <w:tabs>
          <w:tab w:val="num" w:pos="3883"/>
        </w:tabs>
        <w:ind w:left="3883" w:hanging="360"/>
      </w:pPr>
      <w:rPr>
        <w:rFonts w:ascii="Courier New" w:hAnsi="Courier New" w:hint="default"/>
      </w:rPr>
    </w:lvl>
    <w:lvl w:ilvl="5" w:tplc="04020005" w:tentative="1">
      <w:start w:val="1"/>
      <w:numFmt w:val="bullet"/>
      <w:lvlText w:val=""/>
      <w:lvlJc w:val="left"/>
      <w:pPr>
        <w:tabs>
          <w:tab w:val="num" w:pos="4603"/>
        </w:tabs>
        <w:ind w:left="4603" w:hanging="360"/>
      </w:pPr>
      <w:rPr>
        <w:rFonts w:ascii="Wingdings" w:hAnsi="Wingdings" w:hint="default"/>
      </w:rPr>
    </w:lvl>
    <w:lvl w:ilvl="6" w:tplc="04020001" w:tentative="1">
      <w:start w:val="1"/>
      <w:numFmt w:val="bullet"/>
      <w:lvlText w:val=""/>
      <w:lvlJc w:val="left"/>
      <w:pPr>
        <w:tabs>
          <w:tab w:val="num" w:pos="5323"/>
        </w:tabs>
        <w:ind w:left="5323" w:hanging="360"/>
      </w:pPr>
      <w:rPr>
        <w:rFonts w:ascii="Symbol" w:hAnsi="Symbol" w:hint="default"/>
      </w:rPr>
    </w:lvl>
    <w:lvl w:ilvl="7" w:tplc="04020003" w:tentative="1">
      <w:start w:val="1"/>
      <w:numFmt w:val="bullet"/>
      <w:lvlText w:val="o"/>
      <w:lvlJc w:val="left"/>
      <w:pPr>
        <w:tabs>
          <w:tab w:val="num" w:pos="6043"/>
        </w:tabs>
        <w:ind w:left="6043" w:hanging="360"/>
      </w:pPr>
      <w:rPr>
        <w:rFonts w:ascii="Courier New" w:hAnsi="Courier New" w:hint="default"/>
      </w:rPr>
    </w:lvl>
    <w:lvl w:ilvl="8" w:tplc="04020005" w:tentative="1">
      <w:start w:val="1"/>
      <w:numFmt w:val="bullet"/>
      <w:lvlText w:val=""/>
      <w:lvlJc w:val="left"/>
      <w:pPr>
        <w:tabs>
          <w:tab w:val="num" w:pos="6763"/>
        </w:tabs>
        <w:ind w:left="6763" w:hanging="360"/>
      </w:pPr>
      <w:rPr>
        <w:rFonts w:ascii="Wingdings" w:hAnsi="Wingdings" w:hint="default"/>
      </w:rPr>
    </w:lvl>
  </w:abstractNum>
  <w:abstractNum w:abstractNumId="51">
    <w:nsid w:val="4DD767BA"/>
    <w:multiLevelType w:val="hybridMultilevel"/>
    <w:tmpl w:val="8458CD52"/>
    <w:lvl w:ilvl="0" w:tplc="2B82A932">
      <w:start w:val="1"/>
      <w:numFmt w:val="bullet"/>
      <w:lvlText w:val=""/>
      <w:lvlJc w:val="left"/>
      <w:pPr>
        <w:ind w:left="720" w:hanging="360"/>
      </w:pPr>
      <w:rPr>
        <w:rFonts w:ascii="Symbol" w:hAnsi="Symbol" w:hint="default"/>
        <w:color w:val="auto"/>
      </w:rPr>
    </w:lvl>
    <w:lvl w:ilvl="1" w:tplc="04020001">
      <w:start w:val="1"/>
      <w:numFmt w:val="bullet"/>
      <w:lvlText w:val=""/>
      <w:lvlJc w:val="left"/>
      <w:pPr>
        <w:tabs>
          <w:tab w:val="num" w:pos="1440"/>
        </w:tabs>
        <w:ind w:left="1440" w:hanging="360"/>
      </w:pPr>
      <w:rPr>
        <w:rFonts w:ascii="Symbol" w:hAnsi="Symbol" w:hint="default"/>
        <w:color w:val="auto"/>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nsid w:val="4E6A7AD6"/>
    <w:multiLevelType w:val="hybridMultilevel"/>
    <w:tmpl w:val="7F56A0EC"/>
    <w:lvl w:ilvl="0" w:tplc="0402000B">
      <w:start w:val="1"/>
      <w:numFmt w:val="bullet"/>
      <w:lvlText w:val=""/>
      <w:lvlJc w:val="left"/>
      <w:pPr>
        <w:ind w:left="1287" w:hanging="360"/>
      </w:pPr>
      <w:rPr>
        <w:rFonts w:ascii="Wingdings" w:hAnsi="Wingdings" w:hint="default"/>
      </w:rPr>
    </w:lvl>
    <w:lvl w:ilvl="1" w:tplc="04020003" w:tentative="1">
      <w:start w:val="1"/>
      <w:numFmt w:val="bullet"/>
      <w:lvlText w:val="o"/>
      <w:lvlJc w:val="left"/>
      <w:pPr>
        <w:ind w:left="2007" w:hanging="360"/>
      </w:pPr>
      <w:rPr>
        <w:rFonts w:ascii="Courier New" w:hAnsi="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53">
    <w:nsid w:val="51DD51F6"/>
    <w:multiLevelType w:val="hybridMultilevel"/>
    <w:tmpl w:val="54BAF8A2"/>
    <w:lvl w:ilvl="0" w:tplc="0402000B">
      <w:start w:val="1"/>
      <w:numFmt w:val="bullet"/>
      <w:lvlText w:val=""/>
      <w:lvlJc w:val="left"/>
      <w:pPr>
        <w:tabs>
          <w:tab w:val="num" w:pos="720"/>
        </w:tabs>
        <w:ind w:left="720" w:hanging="360"/>
      </w:pPr>
      <w:rPr>
        <w:rFonts w:ascii="Wingdings" w:hAnsi="Wingdings" w:hint="default"/>
      </w:rPr>
    </w:lvl>
    <w:lvl w:ilvl="1" w:tplc="0402000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54">
    <w:nsid w:val="533F4D5C"/>
    <w:multiLevelType w:val="multilevel"/>
    <w:tmpl w:val="06C2B788"/>
    <w:lvl w:ilvl="0">
      <w:start w:val="1"/>
      <w:numFmt w:val="none"/>
      <w:lvlText w:val="3.2"/>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55">
    <w:nsid w:val="547A1CD1"/>
    <w:multiLevelType w:val="hybridMultilevel"/>
    <w:tmpl w:val="53A09D38"/>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56">
    <w:nsid w:val="580A4287"/>
    <w:multiLevelType w:val="hybridMultilevel"/>
    <w:tmpl w:val="EFB0D8F2"/>
    <w:lvl w:ilvl="0" w:tplc="04020001">
      <w:start w:val="1"/>
      <w:numFmt w:val="bullet"/>
      <w:lvlText w:val=""/>
      <w:lvlJc w:val="left"/>
      <w:pPr>
        <w:ind w:left="1500" w:hanging="360"/>
      </w:pPr>
      <w:rPr>
        <w:rFonts w:ascii="Symbol" w:hAnsi="Symbol" w:hint="default"/>
      </w:rPr>
    </w:lvl>
    <w:lvl w:ilvl="1" w:tplc="04020003" w:tentative="1">
      <w:start w:val="1"/>
      <w:numFmt w:val="bullet"/>
      <w:lvlText w:val="o"/>
      <w:lvlJc w:val="left"/>
      <w:pPr>
        <w:ind w:left="2220" w:hanging="360"/>
      </w:pPr>
      <w:rPr>
        <w:rFonts w:ascii="Courier New" w:hAnsi="Courier New" w:hint="default"/>
      </w:rPr>
    </w:lvl>
    <w:lvl w:ilvl="2" w:tplc="04020005" w:tentative="1">
      <w:start w:val="1"/>
      <w:numFmt w:val="bullet"/>
      <w:lvlText w:val=""/>
      <w:lvlJc w:val="left"/>
      <w:pPr>
        <w:ind w:left="2940" w:hanging="360"/>
      </w:pPr>
      <w:rPr>
        <w:rFonts w:ascii="Wingdings" w:hAnsi="Wingdings" w:hint="default"/>
      </w:rPr>
    </w:lvl>
    <w:lvl w:ilvl="3" w:tplc="04020001" w:tentative="1">
      <w:start w:val="1"/>
      <w:numFmt w:val="bullet"/>
      <w:lvlText w:val=""/>
      <w:lvlJc w:val="left"/>
      <w:pPr>
        <w:ind w:left="3660" w:hanging="360"/>
      </w:pPr>
      <w:rPr>
        <w:rFonts w:ascii="Symbol" w:hAnsi="Symbol" w:hint="default"/>
      </w:rPr>
    </w:lvl>
    <w:lvl w:ilvl="4" w:tplc="04020003" w:tentative="1">
      <w:start w:val="1"/>
      <w:numFmt w:val="bullet"/>
      <w:lvlText w:val="o"/>
      <w:lvlJc w:val="left"/>
      <w:pPr>
        <w:ind w:left="4380" w:hanging="360"/>
      </w:pPr>
      <w:rPr>
        <w:rFonts w:ascii="Courier New" w:hAnsi="Courier New" w:hint="default"/>
      </w:rPr>
    </w:lvl>
    <w:lvl w:ilvl="5" w:tplc="04020005" w:tentative="1">
      <w:start w:val="1"/>
      <w:numFmt w:val="bullet"/>
      <w:lvlText w:val=""/>
      <w:lvlJc w:val="left"/>
      <w:pPr>
        <w:ind w:left="5100" w:hanging="360"/>
      </w:pPr>
      <w:rPr>
        <w:rFonts w:ascii="Wingdings" w:hAnsi="Wingdings" w:hint="default"/>
      </w:rPr>
    </w:lvl>
    <w:lvl w:ilvl="6" w:tplc="04020001" w:tentative="1">
      <w:start w:val="1"/>
      <w:numFmt w:val="bullet"/>
      <w:lvlText w:val=""/>
      <w:lvlJc w:val="left"/>
      <w:pPr>
        <w:ind w:left="5820" w:hanging="360"/>
      </w:pPr>
      <w:rPr>
        <w:rFonts w:ascii="Symbol" w:hAnsi="Symbol" w:hint="default"/>
      </w:rPr>
    </w:lvl>
    <w:lvl w:ilvl="7" w:tplc="04020003" w:tentative="1">
      <w:start w:val="1"/>
      <w:numFmt w:val="bullet"/>
      <w:lvlText w:val="o"/>
      <w:lvlJc w:val="left"/>
      <w:pPr>
        <w:ind w:left="6540" w:hanging="360"/>
      </w:pPr>
      <w:rPr>
        <w:rFonts w:ascii="Courier New" w:hAnsi="Courier New" w:hint="default"/>
      </w:rPr>
    </w:lvl>
    <w:lvl w:ilvl="8" w:tplc="04020005" w:tentative="1">
      <w:start w:val="1"/>
      <w:numFmt w:val="bullet"/>
      <w:lvlText w:val=""/>
      <w:lvlJc w:val="left"/>
      <w:pPr>
        <w:ind w:left="7260" w:hanging="360"/>
      </w:pPr>
      <w:rPr>
        <w:rFonts w:ascii="Wingdings" w:hAnsi="Wingdings" w:hint="default"/>
      </w:rPr>
    </w:lvl>
  </w:abstractNum>
  <w:abstractNum w:abstractNumId="57">
    <w:nsid w:val="58947718"/>
    <w:multiLevelType w:val="hybridMultilevel"/>
    <w:tmpl w:val="3B1E7EA6"/>
    <w:lvl w:ilvl="0" w:tplc="05C22132">
      <w:numFmt w:val="bullet"/>
      <w:lvlText w:val="-"/>
      <w:lvlJc w:val="left"/>
      <w:pPr>
        <w:tabs>
          <w:tab w:val="num" w:pos="1429"/>
        </w:tabs>
        <w:ind w:left="1429" w:hanging="360"/>
      </w:pPr>
      <w:rPr>
        <w:rFonts w:ascii="Times New Roman" w:eastAsia="Times New Roman" w:hAnsi="Times New Roman" w:hint="default"/>
        <w:color w:val="auto"/>
      </w:rPr>
    </w:lvl>
    <w:lvl w:ilvl="1" w:tplc="04020003">
      <w:start w:val="1"/>
      <w:numFmt w:val="bullet"/>
      <w:lvlText w:val="o"/>
      <w:lvlJc w:val="left"/>
      <w:pPr>
        <w:tabs>
          <w:tab w:val="num" w:pos="2149"/>
        </w:tabs>
        <w:ind w:left="2149" w:hanging="360"/>
      </w:pPr>
      <w:rPr>
        <w:rFonts w:ascii="Courier New" w:hAnsi="Courier New" w:hint="default"/>
      </w:rPr>
    </w:lvl>
    <w:lvl w:ilvl="2" w:tplc="04020005" w:tentative="1">
      <w:start w:val="1"/>
      <w:numFmt w:val="bullet"/>
      <w:lvlText w:val=""/>
      <w:lvlJc w:val="left"/>
      <w:pPr>
        <w:tabs>
          <w:tab w:val="num" w:pos="2869"/>
        </w:tabs>
        <w:ind w:left="2869" w:hanging="360"/>
      </w:pPr>
      <w:rPr>
        <w:rFonts w:ascii="Wingdings" w:hAnsi="Wingdings" w:hint="default"/>
      </w:rPr>
    </w:lvl>
    <w:lvl w:ilvl="3" w:tplc="04020001" w:tentative="1">
      <w:start w:val="1"/>
      <w:numFmt w:val="bullet"/>
      <w:lvlText w:val=""/>
      <w:lvlJc w:val="left"/>
      <w:pPr>
        <w:tabs>
          <w:tab w:val="num" w:pos="3589"/>
        </w:tabs>
        <w:ind w:left="3589" w:hanging="360"/>
      </w:pPr>
      <w:rPr>
        <w:rFonts w:ascii="Symbol" w:hAnsi="Symbol" w:hint="default"/>
      </w:rPr>
    </w:lvl>
    <w:lvl w:ilvl="4" w:tplc="04020003" w:tentative="1">
      <w:start w:val="1"/>
      <w:numFmt w:val="bullet"/>
      <w:lvlText w:val="o"/>
      <w:lvlJc w:val="left"/>
      <w:pPr>
        <w:tabs>
          <w:tab w:val="num" w:pos="4309"/>
        </w:tabs>
        <w:ind w:left="4309" w:hanging="360"/>
      </w:pPr>
      <w:rPr>
        <w:rFonts w:ascii="Courier New" w:hAnsi="Courier New" w:hint="default"/>
      </w:rPr>
    </w:lvl>
    <w:lvl w:ilvl="5" w:tplc="04020005" w:tentative="1">
      <w:start w:val="1"/>
      <w:numFmt w:val="bullet"/>
      <w:lvlText w:val=""/>
      <w:lvlJc w:val="left"/>
      <w:pPr>
        <w:tabs>
          <w:tab w:val="num" w:pos="5029"/>
        </w:tabs>
        <w:ind w:left="5029" w:hanging="360"/>
      </w:pPr>
      <w:rPr>
        <w:rFonts w:ascii="Wingdings" w:hAnsi="Wingdings" w:hint="default"/>
      </w:rPr>
    </w:lvl>
    <w:lvl w:ilvl="6" w:tplc="04020001" w:tentative="1">
      <w:start w:val="1"/>
      <w:numFmt w:val="bullet"/>
      <w:lvlText w:val=""/>
      <w:lvlJc w:val="left"/>
      <w:pPr>
        <w:tabs>
          <w:tab w:val="num" w:pos="5749"/>
        </w:tabs>
        <w:ind w:left="5749" w:hanging="360"/>
      </w:pPr>
      <w:rPr>
        <w:rFonts w:ascii="Symbol" w:hAnsi="Symbol" w:hint="default"/>
      </w:rPr>
    </w:lvl>
    <w:lvl w:ilvl="7" w:tplc="04020003" w:tentative="1">
      <w:start w:val="1"/>
      <w:numFmt w:val="bullet"/>
      <w:lvlText w:val="o"/>
      <w:lvlJc w:val="left"/>
      <w:pPr>
        <w:tabs>
          <w:tab w:val="num" w:pos="6469"/>
        </w:tabs>
        <w:ind w:left="6469" w:hanging="360"/>
      </w:pPr>
      <w:rPr>
        <w:rFonts w:ascii="Courier New" w:hAnsi="Courier New" w:hint="default"/>
      </w:rPr>
    </w:lvl>
    <w:lvl w:ilvl="8" w:tplc="04020005" w:tentative="1">
      <w:start w:val="1"/>
      <w:numFmt w:val="bullet"/>
      <w:lvlText w:val=""/>
      <w:lvlJc w:val="left"/>
      <w:pPr>
        <w:tabs>
          <w:tab w:val="num" w:pos="7189"/>
        </w:tabs>
        <w:ind w:left="7189" w:hanging="360"/>
      </w:pPr>
      <w:rPr>
        <w:rFonts w:ascii="Wingdings" w:hAnsi="Wingdings" w:hint="default"/>
      </w:rPr>
    </w:lvl>
  </w:abstractNum>
  <w:abstractNum w:abstractNumId="58">
    <w:nsid w:val="5CF6161A"/>
    <w:multiLevelType w:val="multilevel"/>
    <w:tmpl w:val="06483442"/>
    <w:lvl w:ilvl="0">
      <w:start w:val="1"/>
      <w:numFmt w:val="decimal"/>
      <w:lvlText w:val="%1."/>
      <w:lvlJc w:val="left"/>
      <w:pPr>
        <w:tabs>
          <w:tab w:val="num" w:pos="360"/>
        </w:tabs>
        <w:ind w:left="360" w:hanging="360"/>
      </w:pPr>
      <w:rPr>
        <w:rFonts w:cs="Times New Roman" w:hint="default"/>
      </w:rPr>
    </w:lvl>
    <w:lvl w:ilvl="1">
      <w:start w:val="1"/>
      <w:numFmt w:val="none"/>
      <w:lvlText w:val="1.2"/>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59">
    <w:nsid w:val="5ED315A2"/>
    <w:multiLevelType w:val="hybridMultilevel"/>
    <w:tmpl w:val="158055A4"/>
    <w:lvl w:ilvl="0" w:tplc="04266EAE">
      <w:start w:val="1"/>
      <w:numFmt w:val="bullet"/>
      <w:lvlText w:val="♦"/>
      <w:lvlJc w:val="left"/>
      <w:pPr>
        <w:ind w:left="1260" w:hanging="360"/>
      </w:pPr>
      <w:rPr>
        <w:rFonts w:ascii="Courier New" w:hAnsi="Courier New" w:hint="default"/>
        <w:color w:val="000000"/>
        <w:sz w:val="28"/>
      </w:rPr>
    </w:lvl>
    <w:lvl w:ilvl="1" w:tplc="04090003" w:tentative="1">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60">
    <w:nsid w:val="602D787C"/>
    <w:multiLevelType w:val="hybridMultilevel"/>
    <w:tmpl w:val="EC609EFE"/>
    <w:lvl w:ilvl="0" w:tplc="7A90629A">
      <w:start w:val="1"/>
      <w:numFmt w:val="bullet"/>
      <w:lvlText w:val=""/>
      <w:lvlJc w:val="left"/>
      <w:pPr>
        <w:tabs>
          <w:tab w:val="num" w:pos="1766"/>
        </w:tabs>
        <w:ind w:left="1404" w:firstLine="96"/>
      </w:pPr>
      <w:rPr>
        <w:rFonts w:ascii="Symbol" w:hAnsi="Symbol" w:hint="default"/>
      </w:rPr>
    </w:lvl>
    <w:lvl w:ilvl="1" w:tplc="04020003">
      <w:start w:val="1"/>
      <w:numFmt w:val="bullet"/>
      <w:lvlText w:val="o"/>
      <w:lvlJc w:val="left"/>
      <w:pPr>
        <w:tabs>
          <w:tab w:val="num" w:pos="1860"/>
        </w:tabs>
        <w:ind w:left="1860" w:hanging="360"/>
      </w:pPr>
      <w:rPr>
        <w:rFonts w:ascii="Courier New" w:hAnsi="Courier New" w:hint="default"/>
      </w:rPr>
    </w:lvl>
    <w:lvl w:ilvl="2" w:tplc="04020005" w:tentative="1">
      <w:start w:val="1"/>
      <w:numFmt w:val="bullet"/>
      <w:lvlText w:val=""/>
      <w:lvlJc w:val="left"/>
      <w:pPr>
        <w:tabs>
          <w:tab w:val="num" w:pos="2580"/>
        </w:tabs>
        <w:ind w:left="2580" w:hanging="360"/>
      </w:pPr>
      <w:rPr>
        <w:rFonts w:ascii="Wingdings" w:hAnsi="Wingdings" w:hint="default"/>
      </w:rPr>
    </w:lvl>
    <w:lvl w:ilvl="3" w:tplc="04020001" w:tentative="1">
      <w:start w:val="1"/>
      <w:numFmt w:val="bullet"/>
      <w:lvlText w:val=""/>
      <w:lvlJc w:val="left"/>
      <w:pPr>
        <w:tabs>
          <w:tab w:val="num" w:pos="3300"/>
        </w:tabs>
        <w:ind w:left="3300" w:hanging="360"/>
      </w:pPr>
      <w:rPr>
        <w:rFonts w:ascii="Symbol" w:hAnsi="Symbol" w:hint="default"/>
      </w:rPr>
    </w:lvl>
    <w:lvl w:ilvl="4" w:tplc="04020003" w:tentative="1">
      <w:start w:val="1"/>
      <w:numFmt w:val="bullet"/>
      <w:lvlText w:val="o"/>
      <w:lvlJc w:val="left"/>
      <w:pPr>
        <w:tabs>
          <w:tab w:val="num" w:pos="4020"/>
        </w:tabs>
        <w:ind w:left="4020" w:hanging="360"/>
      </w:pPr>
      <w:rPr>
        <w:rFonts w:ascii="Courier New" w:hAnsi="Courier New" w:hint="default"/>
      </w:rPr>
    </w:lvl>
    <w:lvl w:ilvl="5" w:tplc="04020005" w:tentative="1">
      <w:start w:val="1"/>
      <w:numFmt w:val="bullet"/>
      <w:lvlText w:val=""/>
      <w:lvlJc w:val="left"/>
      <w:pPr>
        <w:tabs>
          <w:tab w:val="num" w:pos="4740"/>
        </w:tabs>
        <w:ind w:left="4740" w:hanging="360"/>
      </w:pPr>
      <w:rPr>
        <w:rFonts w:ascii="Wingdings" w:hAnsi="Wingdings" w:hint="default"/>
      </w:rPr>
    </w:lvl>
    <w:lvl w:ilvl="6" w:tplc="04020001" w:tentative="1">
      <w:start w:val="1"/>
      <w:numFmt w:val="bullet"/>
      <w:lvlText w:val=""/>
      <w:lvlJc w:val="left"/>
      <w:pPr>
        <w:tabs>
          <w:tab w:val="num" w:pos="5460"/>
        </w:tabs>
        <w:ind w:left="5460" w:hanging="360"/>
      </w:pPr>
      <w:rPr>
        <w:rFonts w:ascii="Symbol" w:hAnsi="Symbol" w:hint="default"/>
      </w:rPr>
    </w:lvl>
    <w:lvl w:ilvl="7" w:tplc="04020003" w:tentative="1">
      <w:start w:val="1"/>
      <w:numFmt w:val="bullet"/>
      <w:lvlText w:val="o"/>
      <w:lvlJc w:val="left"/>
      <w:pPr>
        <w:tabs>
          <w:tab w:val="num" w:pos="6180"/>
        </w:tabs>
        <w:ind w:left="6180" w:hanging="360"/>
      </w:pPr>
      <w:rPr>
        <w:rFonts w:ascii="Courier New" w:hAnsi="Courier New" w:hint="default"/>
      </w:rPr>
    </w:lvl>
    <w:lvl w:ilvl="8" w:tplc="04020005" w:tentative="1">
      <w:start w:val="1"/>
      <w:numFmt w:val="bullet"/>
      <w:lvlText w:val=""/>
      <w:lvlJc w:val="left"/>
      <w:pPr>
        <w:tabs>
          <w:tab w:val="num" w:pos="6900"/>
        </w:tabs>
        <w:ind w:left="6900" w:hanging="360"/>
      </w:pPr>
      <w:rPr>
        <w:rFonts w:ascii="Wingdings" w:hAnsi="Wingdings" w:hint="default"/>
      </w:rPr>
    </w:lvl>
  </w:abstractNum>
  <w:abstractNum w:abstractNumId="61">
    <w:nsid w:val="60BE278E"/>
    <w:multiLevelType w:val="hybridMultilevel"/>
    <w:tmpl w:val="8392009C"/>
    <w:lvl w:ilvl="0" w:tplc="0F7C68D6">
      <w:start w:val="1"/>
      <w:numFmt w:val="bullet"/>
      <w:lvlText w:val=""/>
      <w:lvlJc w:val="left"/>
      <w:pPr>
        <w:tabs>
          <w:tab w:val="num" w:pos="1080"/>
        </w:tabs>
        <w:ind w:left="1080" w:hanging="360"/>
      </w:pPr>
      <w:rPr>
        <w:rFonts w:ascii="Symbol" w:hAnsi="Symbol" w:hint="default"/>
        <w:color w:val="auto"/>
      </w:rPr>
    </w:lvl>
    <w:lvl w:ilvl="1" w:tplc="04020003" w:tentative="1">
      <w:start w:val="1"/>
      <w:numFmt w:val="bullet"/>
      <w:lvlText w:val="o"/>
      <w:lvlJc w:val="left"/>
      <w:pPr>
        <w:tabs>
          <w:tab w:val="num" w:pos="1620"/>
        </w:tabs>
        <w:ind w:left="1620" w:hanging="360"/>
      </w:pPr>
      <w:rPr>
        <w:rFonts w:ascii="Courier New" w:hAnsi="Courier New" w:hint="default"/>
      </w:rPr>
    </w:lvl>
    <w:lvl w:ilvl="2" w:tplc="04020005" w:tentative="1">
      <w:start w:val="1"/>
      <w:numFmt w:val="bullet"/>
      <w:lvlText w:val=""/>
      <w:lvlJc w:val="left"/>
      <w:pPr>
        <w:tabs>
          <w:tab w:val="num" w:pos="2340"/>
        </w:tabs>
        <w:ind w:left="2340" w:hanging="360"/>
      </w:pPr>
      <w:rPr>
        <w:rFonts w:ascii="Wingdings" w:hAnsi="Wingdings" w:hint="default"/>
      </w:rPr>
    </w:lvl>
    <w:lvl w:ilvl="3" w:tplc="04020001" w:tentative="1">
      <w:start w:val="1"/>
      <w:numFmt w:val="bullet"/>
      <w:lvlText w:val=""/>
      <w:lvlJc w:val="left"/>
      <w:pPr>
        <w:tabs>
          <w:tab w:val="num" w:pos="3060"/>
        </w:tabs>
        <w:ind w:left="3060" w:hanging="360"/>
      </w:pPr>
      <w:rPr>
        <w:rFonts w:ascii="Symbol" w:hAnsi="Symbol" w:hint="default"/>
      </w:rPr>
    </w:lvl>
    <w:lvl w:ilvl="4" w:tplc="04020003" w:tentative="1">
      <w:start w:val="1"/>
      <w:numFmt w:val="bullet"/>
      <w:lvlText w:val="o"/>
      <w:lvlJc w:val="left"/>
      <w:pPr>
        <w:tabs>
          <w:tab w:val="num" w:pos="3780"/>
        </w:tabs>
        <w:ind w:left="3780" w:hanging="360"/>
      </w:pPr>
      <w:rPr>
        <w:rFonts w:ascii="Courier New" w:hAnsi="Courier New" w:hint="default"/>
      </w:rPr>
    </w:lvl>
    <w:lvl w:ilvl="5" w:tplc="04020005" w:tentative="1">
      <w:start w:val="1"/>
      <w:numFmt w:val="bullet"/>
      <w:lvlText w:val=""/>
      <w:lvlJc w:val="left"/>
      <w:pPr>
        <w:tabs>
          <w:tab w:val="num" w:pos="4500"/>
        </w:tabs>
        <w:ind w:left="4500" w:hanging="360"/>
      </w:pPr>
      <w:rPr>
        <w:rFonts w:ascii="Wingdings" w:hAnsi="Wingdings" w:hint="default"/>
      </w:rPr>
    </w:lvl>
    <w:lvl w:ilvl="6" w:tplc="04020001" w:tentative="1">
      <w:start w:val="1"/>
      <w:numFmt w:val="bullet"/>
      <w:lvlText w:val=""/>
      <w:lvlJc w:val="left"/>
      <w:pPr>
        <w:tabs>
          <w:tab w:val="num" w:pos="5220"/>
        </w:tabs>
        <w:ind w:left="5220" w:hanging="360"/>
      </w:pPr>
      <w:rPr>
        <w:rFonts w:ascii="Symbol" w:hAnsi="Symbol" w:hint="default"/>
      </w:rPr>
    </w:lvl>
    <w:lvl w:ilvl="7" w:tplc="04020003" w:tentative="1">
      <w:start w:val="1"/>
      <w:numFmt w:val="bullet"/>
      <w:lvlText w:val="o"/>
      <w:lvlJc w:val="left"/>
      <w:pPr>
        <w:tabs>
          <w:tab w:val="num" w:pos="5940"/>
        </w:tabs>
        <w:ind w:left="5940" w:hanging="360"/>
      </w:pPr>
      <w:rPr>
        <w:rFonts w:ascii="Courier New" w:hAnsi="Courier New" w:hint="default"/>
      </w:rPr>
    </w:lvl>
    <w:lvl w:ilvl="8" w:tplc="04020005" w:tentative="1">
      <w:start w:val="1"/>
      <w:numFmt w:val="bullet"/>
      <w:lvlText w:val=""/>
      <w:lvlJc w:val="left"/>
      <w:pPr>
        <w:tabs>
          <w:tab w:val="num" w:pos="6660"/>
        </w:tabs>
        <w:ind w:left="6660" w:hanging="360"/>
      </w:pPr>
      <w:rPr>
        <w:rFonts w:ascii="Wingdings" w:hAnsi="Wingdings" w:hint="default"/>
      </w:rPr>
    </w:lvl>
  </w:abstractNum>
  <w:abstractNum w:abstractNumId="62">
    <w:nsid w:val="61930503"/>
    <w:multiLevelType w:val="hybridMultilevel"/>
    <w:tmpl w:val="060EBACE"/>
    <w:lvl w:ilvl="0" w:tplc="54C466F6">
      <w:start w:val="1"/>
      <w:numFmt w:val="bullet"/>
      <w:lvlText w:val=""/>
      <w:lvlJc w:val="left"/>
      <w:pPr>
        <w:tabs>
          <w:tab w:val="num" w:pos="1287"/>
        </w:tabs>
        <w:ind w:left="1287" w:hanging="360"/>
      </w:pPr>
      <w:rPr>
        <w:rFonts w:ascii="Symbol" w:hAnsi="Symbol" w:hint="default"/>
      </w:rPr>
    </w:lvl>
    <w:lvl w:ilvl="1" w:tplc="04020003" w:tentative="1">
      <w:start w:val="1"/>
      <w:numFmt w:val="bullet"/>
      <w:lvlText w:val="o"/>
      <w:lvlJc w:val="left"/>
      <w:pPr>
        <w:tabs>
          <w:tab w:val="num" w:pos="2007"/>
        </w:tabs>
        <w:ind w:left="2007" w:hanging="360"/>
      </w:pPr>
      <w:rPr>
        <w:rFonts w:ascii="Courier New" w:hAnsi="Courier New" w:hint="default"/>
      </w:rPr>
    </w:lvl>
    <w:lvl w:ilvl="2" w:tplc="04020005" w:tentative="1">
      <w:start w:val="1"/>
      <w:numFmt w:val="bullet"/>
      <w:lvlText w:val=""/>
      <w:lvlJc w:val="left"/>
      <w:pPr>
        <w:tabs>
          <w:tab w:val="num" w:pos="2727"/>
        </w:tabs>
        <w:ind w:left="2727" w:hanging="360"/>
      </w:pPr>
      <w:rPr>
        <w:rFonts w:ascii="Wingdings" w:hAnsi="Wingdings" w:hint="default"/>
      </w:rPr>
    </w:lvl>
    <w:lvl w:ilvl="3" w:tplc="04020001" w:tentative="1">
      <w:start w:val="1"/>
      <w:numFmt w:val="bullet"/>
      <w:lvlText w:val=""/>
      <w:lvlJc w:val="left"/>
      <w:pPr>
        <w:tabs>
          <w:tab w:val="num" w:pos="3447"/>
        </w:tabs>
        <w:ind w:left="3447" w:hanging="360"/>
      </w:pPr>
      <w:rPr>
        <w:rFonts w:ascii="Symbol" w:hAnsi="Symbol" w:hint="default"/>
      </w:rPr>
    </w:lvl>
    <w:lvl w:ilvl="4" w:tplc="04020003" w:tentative="1">
      <w:start w:val="1"/>
      <w:numFmt w:val="bullet"/>
      <w:lvlText w:val="o"/>
      <w:lvlJc w:val="left"/>
      <w:pPr>
        <w:tabs>
          <w:tab w:val="num" w:pos="4167"/>
        </w:tabs>
        <w:ind w:left="4167" w:hanging="360"/>
      </w:pPr>
      <w:rPr>
        <w:rFonts w:ascii="Courier New" w:hAnsi="Courier New" w:hint="default"/>
      </w:rPr>
    </w:lvl>
    <w:lvl w:ilvl="5" w:tplc="04020005" w:tentative="1">
      <w:start w:val="1"/>
      <w:numFmt w:val="bullet"/>
      <w:lvlText w:val=""/>
      <w:lvlJc w:val="left"/>
      <w:pPr>
        <w:tabs>
          <w:tab w:val="num" w:pos="4887"/>
        </w:tabs>
        <w:ind w:left="4887" w:hanging="360"/>
      </w:pPr>
      <w:rPr>
        <w:rFonts w:ascii="Wingdings" w:hAnsi="Wingdings" w:hint="default"/>
      </w:rPr>
    </w:lvl>
    <w:lvl w:ilvl="6" w:tplc="04020001" w:tentative="1">
      <w:start w:val="1"/>
      <w:numFmt w:val="bullet"/>
      <w:lvlText w:val=""/>
      <w:lvlJc w:val="left"/>
      <w:pPr>
        <w:tabs>
          <w:tab w:val="num" w:pos="5607"/>
        </w:tabs>
        <w:ind w:left="5607" w:hanging="360"/>
      </w:pPr>
      <w:rPr>
        <w:rFonts w:ascii="Symbol" w:hAnsi="Symbol" w:hint="default"/>
      </w:rPr>
    </w:lvl>
    <w:lvl w:ilvl="7" w:tplc="04020003" w:tentative="1">
      <w:start w:val="1"/>
      <w:numFmt w:val="bullet"/>
      <w:lvlText w:val="o"/>
      <w:lvlJc w:val="left"/>
      <w:pPr>
        <w:tabs>
          <w:tab w:val="num" w:pos="6327"/>
        </w:tabs>
        <w:ind w:left="6327" w:hanging="360"/>
      </w:pPr>
      <w:rPr>
        <w:rFonts w:ascii="Courier New" w:hAnsi="Courier New" w:hint="default"/>
      </w:rPr>
    </w:lvl>
    <w:lvl w:ilvl="8" w:tplc="04020005" w:tentative="1">
      <w:start w:val="1"/>
      <w:numFmt w:val="bullet"/>
      <w:lvlText w:val=""/>
      <w:lvlJc w:val="left"/>
      <w:pPr>
        <w:tabs>
          <w:tab w:val="num" w:pos="7047"/>
        </w:tabs>
        <w:ind w:left="7047" w:hanging="360"/>
      </w:pPr>
      <w:rPr>
        <w:rFonts w:ascii="Wingdings" w:hAnsi="Wingdings" w:hint="default"/>
      </w:rPr>
    </w:lvl>
  </w:abstractNum>
  <w:abstractNum w:abstractNumId="63">
    <w:nsid w:val="623D796E"/>
    <w:multiLevelType w:val="multilevel"/>
    <w:tmpl w:val="EFECE270"/>
    <w:lvl w:ilvl="0">
      <w:start w:val="1"/>
      <w:numFmt w:val="none"/>
      <w:lvlText w:val="3.4"/>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64">
    <w:nsid w:val="64CF1C24"/>
    <w:multiLevelType w:val="hybridMultilevel"/>
    <w:tmpl w:val="17AED728"/>
    <w:lvl w:ilvl="0" w:tplc="04020001">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65">
    <w:nsid w:val="65146CA3"/>
    <w:multiLevelType w:val="hybridMultilevel"/>
    <w:tmpl w:val="09B4C036"/>
    <w:lvl w:ilvl="0" w:tplc="B8089F6A">
      <w:start w:val="1"/>
      <w:numFmt w:val="bullet"/>
      <w:lvlText w:val=""/>
      <w:lvlJc w:val="left"/>
      <w:pPr>
        <w:ind w:left="1440" w:hanging="360"/>
      </w:pPr>
      <w:rPr>
        <w:rFonts w:ascii="Wingdings" w:hAnsi="Wingdings" w:hint="default"/>
        <w:color w:val="auto"/>
        <w:sz w:val="24"/>
        <w:u w:color="FFFFFF"/>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6">
    <w:nsid w:val="65B17A98"/>
    <w:multiLevelType w:val="hybridMultilevel"/>
    <w:tmpl w:val="BB30D704"/>
    <w:lvl w:ilvl="0" w:tplc="CC72A724">
      <w:start w:val="1"/>
      <w:numFmt w:val="bullet"/>
      <w:lvlText w:val=""/>
      <w:lvlJc w:val="left"/>
      <w:pPr>
        <w:tabs>
          <w:tab w:val="num" w:pos="360"/>
        </w:tabs>
        <w:ind w:left="360" w:hanging="360"/>
      </w:pPr>
      <w:rPr>
        <w:rFonts w:ascii="Wingdings" w:hAnsi="Wingdings" w:hint="default"/>
      </w:rPr>
    </w:lvl>
    <w:lvl w:ilvl="1" w:tplc="04020005" w:tentative="1">
      <w:start w:val="1"/>
      <w:numFmt w:val="bullet"/>
      <w:lvlText w:val="o"/>
      <w:lvlJc w:val="left"/>
      <w:pPr>
        <w:tabs>
          <w:tab w:val="num" w:pos="300"/>
        </w:tabs>
        <w:ind w:left="300" w:hanging="360"/>
      </w:pPr>
      <w:rPr>
        <w:rFonts w:ascii="Courier New" w:hAnsi="Courier New" w:hint="default"/>
      </w:rPr>
    </w:lvl>
    <w:lvl w:ilvl="2" w:tplc="04020005" w:tentative="1">
      <w:start w:val="1"/>
      <w:numFmt w:val="bullet"/>
      <w:lvlText w:val=""/>
      <w:lvlJc w:val="left"/>
      <w:pPr>
        <w:tabs>
          <w:tab w:val="num" w:pos="1020"/>
        </w:tabs>
        <w:ind w:left="1020" w:hanging="360"/>
      </w:pPr>
      <w:rPr>
        <w:rFonts w:ascii="Wingdings" w:hAnsi="Wingdings" w:hint="default"/>
      </w:rPr>
    </w:lvl>
    <w:lvl w:ilvl="3" w:tplc="04020001" w:tentative="1">
      <w:start w:val="1"/>
      <w:numFmt w:val="bullet"/>
      <w:lvlText w:val=""/>
      <w:lvlJc w:val="left"/>
      <w:pPr>
        <w:tabs>
          <w:tab w:val="num" w:pos="1740"/>
        </w:tabs>
        <w:ind w:left="1740" w:hanging="360"/>
      </w:pPr>
      <w:rPr>
        <w:rFonts w:ascii="Symbol" w:hAnsi="Symbol" w:hint="default"/>
      </w:rPr>
    </w:lvl>
    <w:lvl w:ilvl="4" w:tplc="04020003" w:tentative="1">
      <w:start w:val="1"/>
      <w:numFmt w:val="bullet"/>
      <w:lvlText w:val="o"/>
      <w:lvlJc w:val="left"/>
      <w:pPr>
        <w:tabs>
          <w:tab w:val="num" w:pos="2460"/>
        </w:tabs>
        <w:ind w:left="2460" w:hanging="360"/>
      </w:pPr>
      <w:rPr>
        <w:rFonts w:ascii="Courier New" w:hAnsi="Courier New" w:hint="default"/>
      </w:rPr>
    </w:lvl>
    <w:lvl w:ilvl="5" w:tplc="04020005" w:tentative="1">
      <w:start w:val="1"/>
      <w:numFmt w:val="bullet"/>
      <w:lvlText w:val=""/>
      <w:lvlJc w:val="left"/>
      <w:pPr>
        <w:tabs>
          <w:tab w:val="num" w:pos="3180"/>
        </w:tabs>
        <w:ind w:left="3180" w:hanging="360"/>
      </w:pPr>
      <w:rPr>
        <w:rFonts w:ascii="Wingdings" w:hAnsi="Wingdings" w:hint="default"/>
      </w:rPr>
    </w:lvl>
    <w:lvl w:ilvl="6" w:tplc="04020001" w:tentative="1">
      <w:start w:val="1"/>
      <w:numFmt w:val="bullet"/>
      <w:lvlText w:val=""/>
      <w:lvlJc w:val="left"/>
      <w:pPr>
        <w:tabs>
          <w:tab w:val="num" w:pos="3900"/>
        </w:tabs>
        <w:ind w:left="3900" w:hanging="360"/>
      </w:pPr>
      <w:rPr>
        <w:rFonts w:ascii="Symbol" w:hAnsi="Symbol" w:hint="default"/>
      </w:rPr>
    </w:lvl>
    <w:lvl w:ilvl="7" w:tplc="04020003" w:tentative="1">
      <w:start w:val="1"/>
      <w:numFmt w:val="bullet"/>
      <w:lvlText w:val="o"/>
      <w:lvlJc w:val="left"/>
      <w:pPr>
        <w:tabs>
          <w:tab w:val="num" w:pos="4620"/>
        </w:tabs>
        <w:ind w:left="4620" w:hanging="360"/>
      </w:pPr>
      <w:rPr>
        <w:rFonts w:ascii="Courier New" w:hAnsi="Courier New" w:hint="default"/>
      </w:rPr>
    </w:lvl>
    <w:lvl w:ilvl="8" w:tplc="04020005" w:tentative="1">
      <w:start w:val="1"/>
      <w:numFmt w:val="bullet"/>
      <w:lvlText w:val=""/>
      <w:lvlJc w:val="left"/>
      <w:pPr>
        <w:tabs>
          <w:tab w:val="num" w:pos="5340"/>
        </w:tabs>
        <w:ind w:left="5340" w:hanging="360"/>
      </w:pPr>
      <w:rPr>
        <w:rFonts w:ascii="Wingdings" w:hAnsi="Wingdings" w:hint="default"/>
      </w:rPr>
    </w:lvl>
  </w:abstractNum>
  <w:abstractNum w:abstractNumId="67">
    <w:nsid w:val="66C551F8"/>
    <w:multiLevelType w:val="hybridMultilevel"/>
    <w:tmpl w:val="A5C06A18"/>
    <w:lvl w:ilvl="0" w:tplc="C70A4C3A">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8">
    <w:nsid w:val="67061AC1"/>
    <w:multiLevelType w:val="hybridMultilevel"/>
    <w:tmpl w:val="270A2972"/>
    <w:lvl w:ilvl="0" w:tplc="0F7C68D6">
      <w:start w:val="1"/>
      <w:numFmt w:val="bullet"/>
      <w:lvlText w:val=""/>
      <w:lvlJc w:val="left"/>
      <w:pPr>
        <w:tabs>
          <w:tab w:val="num" w:pos="1440"/>
        </w:tabs>
        <w:ind w:left="1440" w:hanging="360"/>
      </w:pPr>
      <w:rPr>
        <w:rFonts w:ascii="Wingdings" w:hAnsi="Wingdings" w:hint="default"/>
        <w:b/>
        <w:i w:val="0"/>
        <w:sz w:val="24"/>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9">
    <w:nsid w:val="6741005D"/>
    <w:multiLevelType w:val="multilevel"/>
    <w:tmpl w:val="1736F282"/>
    <w:lvl w:ilvl="0">
      <w:start w:val="3"/>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840"/>
        </w:tabs>
        <w:ind w:left="840" w:hanging="48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70">
    <w:nsid w:val="68345CAB"/>
    <w:multiLevelType w:val="hybridMultilevel"/>
    <w:tmpl w:val="A0A20D98"/>
    <w:lvl w:ilvl="0" w:tplc="04020001">
      <w:start w:val="1"/>
      <w:numFmt w:val="bullet"/>
      <w:lvlText w:val=""/>
      <w:lvlJc w:val="left"/>
      <w:pPr>
        <w:ind w:left="1320" w:hanging="360"/>
      </w:pPr>
      <w:rPr>
        <w:rFonts w:ascii="Symbol" w:hAnsi="Symbol" w:hint="default"/>
      </w:rPr>
    </w:lvl>
    <w:lvl w:ilvl="1" w:tplc="04020003" w:tentative="1">
      <w:start w:val="1"/>
      <w:numFmt w:val="bullet"/>
      <w:lvlText w:val="o"/>
      <w:lvlJc w:val="left"/>
      <w:pPr>
        <w:ind w:left="2040" w:hanging="360"/>
      </w:pPr>
      <w:rPr>
        <w:rFonts w:ascii="Courier New" w:hAnsi="Courier New" w:hint="default"/>
      </w:rPr>
    </w:lvl>
    <w:lvl w:ilvl="2" w:tplc="04020005" w:tentative="1">
      <w:start w:val="1"/>
      <w:numFmt w:val="bullet"/>
      <w:lvlText w:val=""/>
      <w:lvlJc w:val="left"/>
      <w:pPr>
        <w:ind w:left="2760" w:hanging="360"/>
      </w:pPr>
      <w:rPr>
        <w:rFonts w:ascii="Wingdings" w:hAnsi="Wingdings" w:hint="default"/>
      </w:rPr>
    </w:lvl>
    <w:lvl w:ilvl="3" w:tplc="04020001" w:tentative="1">
      <w:start w:val="1"/>
      <w:numFmt w:val="bullet"/>
      <w:lvlText w:val=""/>
      <w:lvlJc w:val="left"/>
      <w:pPr>
        <w:ind w:left="3480" w:hanging="360"/>
      </w:pPr>
      <w:rPr>
        <w:rFonts w:ascii="Symbol" w:hAnsi="Symbol" w:hint="default"/>
      </w:rPr>
    </w:lvl>
    <w:lvl w:ilvl="4" w:tplc="04020003" w:tentative="1">
      <w:start w:val="1"/>
      <w:numFmt w:val="bullet"/>
      <w:lvlText w:val="o"/>
      <w:lvlJc w:val="left"/>
      <w:pPr>
        <w:ind w:left="4200" w:hanging="360"/>
      </w:pPr>
      <w:rPr>
        <w:rFonts w:ascii="Courier New" w:hAnsi="Courier New" w:hint="default"/>
      </w:rPr>
    </w:lvl>
    <w:lvl w:ilvl="5" w:tplc="04020005" w:tentative="1">
      <w:start w:val="1"/>
      <w:numFmt w:val="bullet"/>
      <w:lvlText w:val=""/>
      <w:lvlJc w:val="left"/>
      <w:pPr>
        <w:ind w:left="4920" w:hanging="360"/>
      </w:pPr>
      <w:rPr>
        <w:rFonts w:ascii="Wingdings" w:hAnsi="Wingdings" w:hint="default"/>
      </w:rPr>
    </w:lvl>
    <w:lvl w:ilvl="6" w:tplc="04020001" w:tentative="1">
      <w:start w:val="1"/>
      <w:numFmt w:val="bullet"/>
      <w:lvlText w:val=""/>
      <w:lvlJc w:val="left"/>
      <w:pPr>
        <w:ind w:left="5640" w:hanging="360"/>
      </w:pPr>
      <w:rPr>
        <w:rFonts w:ascii="Symbol" w:hAnsi="Symbol" w:hint="default"/>
      </w:rPr>
    </w:lvl>
    <w:lvl w:ilvl="7" w:tplc="04020003" w:tentative="1">
      <w:start w:val="1"/>
      <w:numFmt w:val="bullet"/>
      <w:lvlText w:val="o"/>
      <w:lvlJc w:val="left"/>
      <w:pPr>
        <w:ind w:left="6360" w:hanging="360"/>
      </w:pPr>
      <w:rPr>
        <w:rFonts w:ascii="Courier New" w:hAnsi="Courier New" w:hint="default"/>
      </w:rPr>
    </w:lvl>
    <w:lvl w:ilvl="8" w:tplc="04020005" w:tentative="1">
      <w:start w:val="1"/>
      <w:numFmt w:val="bullet"/>
      <w:lvlText w:val=""/>
      <w:lvlJc w:val="left"/>
      <w:pPr>
        <w:ind w:left="7080" w:hanging="360"/>
      </w:pPr>
      <w:rPr>
        <w:rFonts w:ascii="Wingdings" w:hAnsi="Wingdings" w:hint="default"/>
      </w:rPr>
    </w:lvl>
  </w:abstractNum>
  <w:abstractNum w:abstractNumId="71">
    <w:nsid w:val="68B23CC6"/>
    <w:multiLevelType w:val="hybridMultilevel"/>
    <w:tmpl w:val="DC4CED2A"/>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72">
    <w:nsid w:val="6D1F0C70"/>
    <w:multiLevelType w:val="hybridMultilevel"/>
    <w:tmpl w:val="E724F014"/>
    <w:lvl w:ilvl="0" w:tplc="B8089F6A">
      <w:start w:val="1"/>
      <w:numFmt w:val="bullet"/>
      <w:lvlText w:val=""/>
      <w:lvlJc w:val="left"/>
      <w:pPr>
        <w:ind w:left="1440" w:hanging="360"/>
      </w:pPr>
      <w:rPr>
        <w:rFonts w:ascii="Wingdings" w:hAnsi="Wingdings" w:hint="default"/>
        <w:color w:val="auto"/>
        <w:sz w:val="28"/>
        <w:u w:color="FFFFFF"/>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3">
    <w:nsid w:val="6ED707B6"/>
    <w:multiLevelType w:val="hybridMultilevel"/>
    <w:tmpl w:val="FDCC498E"/>
    <w:lvl w:ilvl="0" w:tplc="0402000D">
      <w:start w:val="1"/>
      <w:numFmt w:val="bullet"/>
      <w:lvlText w:val=""/>
      <w:lvlJc w:val="left"/>
      <w:pPr>
        <w:tabs>
          <w:tab w:val="num" w:pos="1485"/>
        </w:tabs>
        <w:ind w:left="1485" w:hanging="360"/>
      </w:pPr>
      <w:rPr>
        <w:rFonts w:ascii="Wingdings" w:hAnsi="Wingdings" w:hint="default"/>
      </w:rPr>
    </w:lvl>
    <w:lvl w:ilvl="1" w:tplc="04020003" w:tentative="1">
      <w:start w:val="1"/>
      <w:numFmt w:val="bullet"/>
      <w:lvlText w:val="o"/>
      <w:lvlJc w:val="left"/>
      <w:pPr>
        <w:tabs>
          <w:tab w:val="num" w:pos="2205"/>
        </w:tabs>
        <w:ind w:left="2205" w:hanging="360"/>
      </w:pPr>
      <w:rPr>
        <w:rFonts w:ascii="Courier New" w:hAnsi="Courier New" w:hint="default"/>
      </w:rPr>
    </w:lvl>
    <w:lvl w:ilvl="2" w:tplc="04020005" w:tentative="1">
      <w:start w:val="1"/>
      <w:numFmt w:val="bullet"/>
      <w:lvlText w:val=""/>
      <w:lvlJc w:val="left"/>
      <w:pPr>
        <w:tabs>
          <w:tab w:val="num" w:pos="2925"/>
        </w:tabs>
        <w:ind w:left="2925" w:hanging="360"/>
      </w:pPr>
      <w:rPr>
        <w:rFonts w:ascii="Wingdings" w:hAnsi="Wingdings" w:hint="default"/>
      </w:rPr>
    </w:lvl>
    <w:lvl w:ilvl="3" w:tplc="04020001" w:tentative="1">
      <w:start w:val="1"/>
      <w:numFmt w:val="bullet"/>
      <w:lvlText w:val=""/>
      <w:lvlJc w:val="left"/>
      <w:pPr>
        <w:tabs>
          <w:tab w:val="num" w:pos="3645"/>
        </w:tabs>
        <w:ind w:left="3645" w:hanging="360"/>
      </w:pPr>
      <w:rPr>
        <w:rFonts w:ascii="Symbol" w:hAnsi="Symbol" w:hint="default"/>
      </w:rPr>
    </w:lvl>
    <w:lvl w:ilvl="4" w:tplc="04020003" w:tentative="1">
      <w:start w:val="1"/>
      <w:numFmt w:val="bullet"/>
      <w:lvlText w:val="o"/>
      <w:lvlJc w:val="left"/>
      <w:pPr>
        <w:tabs>
          <w:tab w:val="num" w:pos="4365"/>
        </w:tabs>
        <w:ind w:left="4365" w:hanging="360"/>
      </w:pPr>
      <w:rPr>
        <w:rFonts w:ascii="Courier New" w:hAnsi="Courier New" w:hint="default"/>
      </w:rPr>
    </w:lvl>
    <w:lvl w:ilvl="5" w:tplc="04020005" w:tentative="1">
      <w:start w:val="1"/>
      <w:numFmt w:val="bullet"/>
      <w:lvlText w:val=""/>
      <w:lvlJc w:val="left"/>
      <w:pPr>
        <w:tabs>
          <w:tab w:val="num" w:pos="5085"/>
        </w:tabs>
        <w:ind w:left="5085" w:hanging="360"/>
      </w:pPr>
      <w:rPr>
        <w:rFonts w:ascii="Wingdings" w:hAnsi="Wingdings" w:hint="default"/>
      </w:rPr>
    </w:lvl>
    <w:lvl w:ilvl="6" w:tplc="04020001" w:tentative="1">
      <w:start w:val="1"/>
      <w:numFmt w:val="bullet"/>
      <w:lvlText w:val=""/>
      <w:lvlJc w:val="left"/>
      <w:pPr>
        <w:tabs>
          <w:tab w:val="num" w:pos="5805"/>
        </w:tabs>
        <w:ind w:left="5805" w:hanging="360"/>
      </w:pPr>
      <w:rPr>
        <w:rFonts w:ascii="Symbol" w:hAnsi="Symbol" w:hint="default"/>
      </w:rPr>
    </w:lvl>
    <w:lvl w:ilvl="7" w:tplc="04020003" w:tentative="1">
      <w:start w:val="1"/>
      <w:numFmt w:val="bullet"/>
      <w:lvlText w:val="o"/>
      <w:lvlJc w:val="left"/>
      <w:pPr>
        <w:tabs>
          <w:tab w:val="num" w:pos="6525"/>
        </w:tabs>
        <w:ind w:left="6525" w:hanging="360"/>
      </w:pPr>
      <w:rPr>
        <w:rFonts w:ascii="Courier New" w:hAnsi="Courier New" w:hint="default"/>
      </w:rPr>
    </w:lvl>
    <w:lvl w:ilvl="8" w:tplc="04020005" w:tentative="1">
      <w:start w:val="1"/>
      <w:numFmt w:val="bullet"/>
      <w:lvlText w:val=""/>
      <w:lvlJc w:val="left"/>
      <w:pPr>
        <w:tabs>
          <w:tab w:val="num" w:pos="7245"/>
        </w:tabs>
        <w:ind w:left="7245" w:hanging="360"/>
      </w:pPr>
      <w:rPr>
        <w:rFonts w:ascii="Wingdings" w:hAnsi="Wingdings" w:hint="default"/>
      </w:rPr>
    </w:lvl>
  </w:abstractNum>
  <w:abstractNum w:abstractNumId="74">
    <w:nsid w:val="7013655D"/>
    <w:multiLevelType w:val="hybridMultilevel"/>
    <w:tmpl w:val="E076D20A"/>
    <w:lvl w:ilvl="0" w:tplc="B8089F6A">
      <w:start w:val="1"/>
      <w:numFmt w:val="bullet"/>
      <w:lvlText w:val=""/>
      <w:lvlJc w:val="left"/>
      <w:pPr>
        <w:tabs>
          <w:tab w:val="num" w:pos="2157"/>
        </w:tabs>
        <w:ind w:left="2157" w:hanging="357"/>
      </w:pPr>
      <w:rPr>
        <w:rFonts w:ascii="Wingdings" w:hAnsi="Wingdings" w:hint="default"/>
        <w:color w:val="auto"/>
        <w:sz w:val="28"/>
        <w:u w:color="FFFFFF"/>
      </w:rPr>
    </w:lvl>
    <w:lvl w:ilvl="1" w:tplc="04020019" w:tentative="1">
      <w:start w:val="1"/>
      <w:numFmt w:val="lowerLetter"/>
      <w:lvlText w:val="%2."/>
      <w:lvlJc w:val="left"/>
      <w:pPr>
        <w:tabs>
          <w:tab w:val="num" w:pos="1080"/>
        </w:tabs>
        <w:ind w:left="1080" w:hanging="360"/>
      </w:pPr>
      <w:rPr>
        <w:rFonts w:cs="Times New Roman"/>
      </w:rPr>
    </w:lvl>
    <w:lvl w:ilvl="2" w:tplc="0402001B" w:tentative="1">
      <w:start w:val="1"/>
      <w:numFmt w:val="lowerRoman"/>
      <w:lvlText w:val="%3."/>
      <w:lvlJc w:val="right"/>
      <w:pPr>
        <w:tabs>
          <w:tab w:val="num" w:pos="1800"/>
        </w:tabs>
        <w:ind w:left="1800" w:hanging="180"/>
      </w:pPr>
      <w:rPr>
        <w:rFonts w:cs="Times New Roman"/>
      </w:rPr>
    </w:lvl>
    <w:lvl w:ilvl="3" w:tplc="0402000F" w:tentative="1">
      <w:start w:val="1"/>
      <w:numFmt w:val="decimal"/>
      <w:lvlText w:val="%4."/>
      <w:lvlJc w:val="left"/>
      <w:pPr>
        <w:tabs>
          <w:tab w:val="num" w:pos="2520"/>
        </w:tabs>
        <w:ind w:left="2520" w:hanging="360"/>
      </w:pPr>
      <w:rPr>
        <w:rFonts w:cs="Times New Roman"/>
      </w:rPr>
    </w:lvl>
    <w:lvl w:ilvl="4" w:tplc="04020019" w:tentative="1">
      <w:start w:val="1"/>
      <w:numFmt w:val="lowerLetter"/>
      <w:lvlText w:val="%5."/>
      <w:lvlJc w:val="left"/>
      <w:pPr>
        <w:tabs>
          <w:tab w:val="num" w:pos="3240"/>
        </w:tabs>
        <w:ind w:left="3240" w:hanging="360"/>
      </w:pPr>
      <w:rPr>
        <w:rFonts w:cs="Times New Roman"/>
      </w:rPr>
    </w:lvl>
    <w:lvl w:ilvl="5" w:tplc="0402001B" w:tentative="1">
      <w:start w:val="1"/>
      <w:numFmt w:val="lowerRoman"/>
      <w:lvlText w:val="%6."/>
      <w:lvlJc w:val="right"/>
      <w:pPr>
        <w:tabs>
          <w:tab w:val="num" w:pos="3960"/>
        </w:tabs>
        <w:ind w:left="3960" w:hanging="180"/>
      </w:pPr>
      <w:rPr>
        <w:rFonts w:cs="Times New Roman"/>
      </w:rPr>
    </w:lvl>
    <w:lvl w:ilvl="6" w:tplc="0402000F" w:tentative="1">
      <w:start w:val="1"/>
      <w:numFmt w:val="decimal"/>
      <w:lvlText w:val="%7."/>
      <w:lvlJc w:val="left"/>
      <w:pPr>
        <w:tabs>
          <w:tab w:val="num" w:pos="4680"/>
        </w:tabs>
        <w:ind w:left="4680" w:hanging="360"/>
      </w:pPr>
      <w:rPr>
        <w:rFonts w:cs="Times New Roman"/>
      </w:rPr>
    </w:lvl>
    <w:lvl w:ilvl="7" w:tplc="04020019" w:tentative="1">
      <w:start w:val="1"/>
      <w:numFmt w:val="lowerLetter"/>
      <w:lvlText w:val="%8."/>
      <w:lvlJc w:val="left"/>
      <w:pPr>
        <w:tabs>
          <w:tab w:val="num" w:pos="5400"/>
        </w:tabs>
        <w:ind w:left="5400" w:hanging="360"/>
      </w:pPr>
      <w:rPr>
        <w:rFonts w:cs="Times New Roman"/>
      </w:rPr>
    </w:lvl>
    <w:lvl w:ilvl="8" w:tplc="0402001B" w:tentative="1">
      <w:start w:val="1"/>
      <w:numFmt w:val="lowerRoman"/>
      <w:lvlText w:val="%9."/>
      <w:lvlJc w:val="right"/>
      <w:pPr>
        <w:tabs>
          <w:tab w:val="num" w:pos="6120"/>
        </w:tabs>
        <w:ind w:left="6120" w:hanging="180"/>
      </w:pPr>
      <w:rPr>
        <w:rFonts w:cs="Times New Roman"/>
      </w:rPr>
    </w:lvl>
  </w:abstractNum>
  <w:abstractNum w:abstractNumId="75">
    <w:nsid w:val="701A6B1F"/>
    <w:multiLevelType w:val="hybridMultilevel"/>
    <w:tmpl w:val="BE02D64C"/>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76">
    <w:nsid w:val="721B35E2"/>
    <w:multiLevelType w:val="hybridMultilevel"/>
    <w:tmpl w:val="BAD2B6C6"/>
    <w:lvl w:ilvl="0" w:tplc="04020001">
      <w:start w:val="1"/>
      <w:numFmt w:val="bullet"/>
      <w:lvlText w:val=""/>
      <w:lvlJc w:val="left"/>
      <w:pPr>
        <w:tabs>
          <w:tab w:val="num" w:pos="720"/>
        </w:tabs>
        <w:ind w:left="720" w:hanging="360"/>
      </w:pPr>
      <w:rPr>
        <w:rFonts w:ascii="Symbol" w:hAnsi="Symbol" w:hint="default"/>
        <w:color w:val="auto"/>
        <w:sz w:val="28"/>
        <w:u w:color="FFFFFF"/>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77">
    <w:nsid w:val="72EF0512"/>
    <w:multiLevelType w:val="multilevel"/>
    <w:tmpl w:val="2368B1AA"/>
    <w:lvl w:ilvl="0">
      <w:start w:val="1"/>
      <w:numFmt w:val="none"/>
      <w:lvlText w:val="3.1"/>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78">
    <w:nsid w:val="75B43BAA"/>
    <w:multiLevelType w:val="hybridMultilevel"/>
    <w:tmpl w:val="F7F06DEA"/>
    <w:lvl w:ilvl="0" w:tplc="0F7C68D6">
      <w:start w:val="1"/>
      <w:numFmt w:val="bullet"/>
      <w:lvlText w:val=""/>
      <w:lvlJc w:val="left"/>
      <w:pPr>
        <w:tabs>
          <w:tab w:val="num" w:pos="1068"/>
        </w:tabs>
        <w:ind w:left="1068" w:hanging="360"/>
      </w:pPr>
      <w:rPr>
        <w:rFonts w:ascii="Wingdings" w:hAnsi="Wingdings" w:hint="default"/>
        <w:color w:val="000000"/>
      </w:rPr>
    </w:lvl>
    <w:lvl w:ilvl="1" w:tplc="04020003">
      <w:start w:val="1"/>
      <w:numFmt w:val="bullet"/>
      <w:lvlText w:val=""/>
      <w:lvlJc w:val="left"/>
      <w:pPr>
        <w:tabs>
          <w:tab w:val="num" w:pos="1788"/>
        </w:tabs>
        <w:ind w:left="1788" w:hanging="360"/>
      </w:pPr>
      <w:rPr>
        <w:rFonts w:ascii="Symbol" w:hAnsi="Symbol" w:hint="default"/>
        <w:color w:val="000000"/>
        <w:sz w:val="18"/>
      </w:rPr>
    </w:lvl>
    <w:lvl w:ilvl="2" w:tplc="04020005">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79">
    <w:nsid w:val="76F204FD"/>
    <w:multiLevelType w:val="hybridMultilevel"/>
    <w:tmpl w:val="FEAEDFD6"/>
    <w:lvl w:ilvl="0" w:tplc="B8089F6A">
      <w:start w:val="1"/>
      <w:numFmt w:val="bullet"/>
      <w:lvlText w:val=""/>
      <w:lvlJc w:val="left"/>
      <w:pPr>
        <w:tabs>
          <w:tab w:val="num" w:pos="1425"/>
        </w:tabs>
        <w:ind w:left="1425" w:hanging="357"/>
      </w:pPr>
      <w:rPr>
        <w:rFonts w:ascii="Wingdings" w:hAnsi="Wingdings" w:hint="default"/>
        <w:color w:val="auto"/>
        <w:sz w:val="28"/>
        <w:u w:color="FFFFFF"/>
      </w:rPr>
    </w:lvl>
    <w:lvl w:ilvl="1" w:tplc="04020003" w:tentative="1">
      <w:start w:val="1"/>
      <w:numFmt w:val="bullet"/>
      <w:lvlText w:val="o"/>
      <w:lvlJc w:val="left"/>
      <w:pPr>
        <w:tabs>
          <w:tab w:val="num" w:pos="2148"/>
        </w:tabs>
        <w:ind w:left="2148" w:hanging="360"/>
      </w:pPr>
      <w:rPr>
        <w:rFonts w:ascii="Courier New" w:hAnsi="Courier New" w:hint="default"/>
      </w:rPr>
    </w:lvl>
    <w:lvl w:ilvl="2" w:tplc="04020005" w:tentative="1">
      <w:start w:val="1"/>
      <w:numFmt w:val="bullet"/>
      <w:lvlText w:val=""/>
      <w:lvlJc w:val="left"/>
      <w:pPr>
        <w:tabs>
          <w:tab w:val="num" w:pos="2868"/>
        </w:tabs>
        <w:ind w:left="2868" w:hanging="360"/>
      </w:pPr>
      <w:rPr>
        <w:rFonts w:ascii="Wingdings" w:hAnsi="Wingdings" w:hint="default"/>
      </w:rPr>
    </w:lvl>
    <w:lvl w:ilvl="3" w:tplc="04020001" w:tentative="1">
      <w:start w:val="1"/>
      <w:numFmt w:val="bullet"/>
      <w:lvlText w:val=""/>
      <w:lvlJc w:val="left"/>
      <w:pPr>
        <w:tabs>
          <w:tab w:val="num" w:pos="3588"/>
        </w:tabs>
        <w:ind w:left="3588" w:hanging="360"/>
      </w:pPr>
      <w:rPr>
        <w:rFonts w:ascii="Symbol" w:hAnsi="Symbol" w:hint="default"/>
      </w:rPr>
    </w:lvl>
    <w:lvl w:ilvl="4" w:tplc="04020003" w:tentative="1">
      <w:start w:val="1"/>
      <w:numFmt w:val="bullet"/>
      <w:lvlText w:val="o"/>
      <w:lvlJc w:val="left"/>
      <w:pPr>
        <w:tabs>
          <w:tab w:val="num" w:pos="4308"/>
        </w:tabs>
        <w:ind w:left="4308" w:hanging="360"/>
      </w:pPr>
      <w:rPr>
        <w:rFonts w:ascii="Courier New" w:hAnsi="Courier New" w:hint="default"/>
      </w:rPr>
    </w:lvl>
    <w:lvl w:ilvl="5" w:tplc="04020005" w:tentative="1">
      <w:start w:val="1"/>
      <w:numFmt w:val="bullet"/>
      <w:lvlText w:val=""/>
      <w:lvlJc w:val="left"/>
      <w:pPr>
        <w:tabs>
          <w:tab w:val="num" w:pos="5028"/>
        </w:tabs>
        <w:ind w:left="5028" w:hanging="360"/>
      </w:pPr>
      <w:rPr>
        <w:rFonts w:ascii="Wingdings" w:hAnsi="Wingdings" w:hint="default"/>
      </w:rPr>
    </w:lvl>
    <w:lvl w:ilvl="6" w:tplc="04020001" w:tentative="1">
      <w:start w:val="1"/>
      <w:numFmt w:val="bullet"/>
      <w:lvlText w:val=""/>
      <w:lvlJc w:val="left"/>
      <w:pPr>
        <w:tabs>
          <w:tab w:val="num" w:pos="5748"/>
        </w:tabs>
        <w:ind w:left="5748" w:hanging="360"/>
      </w:pPr>
      <w:rPr>
        <w:rFonts w:ascii="Symbol" w:hAnsi="Symbol" w:hint="default"/>
      </w:rPr>
    </w:lvl>
    <w:lvl w:ilvl="7" w:tplc="04020003" w:tentative="1">
      <w:start w:val="1"/>
      <w:numFmt w:val="bullet"/>
      <w:lvlText w:val="o"/>
      <w:lvlJc w:val="left"/>
      <w:pPr>
        <w:tabs>
          <w:tab w:val="num" w:pos="6468"/>
        </w:tabs>
        <w:ind w:left="6468" w:hanging="360"/>
      </w:pPr>
      <w:rPr>
        <w:rFonts w:ascii="Courier New" w:hAnsi="Courier New" w:hint="default"/>
      </w:rPr>
    </w:lvl>
    <w:lvl w:ilvl="8" w:tplc="04020005" w:tentative="1">
      <w:start w:val="1"/>
      <w:numFmt w:val="bullet"/>
      <w:lvlText w:val=""/>
      <w:lvlJc w:val="left"/>
      <w:pPr>
        <w:tabs>
          <w:tab w:val="num" w:pos="7188"/>
        </w:tabs>
        <w:ind w:left="7188" w:hanging="360"/>
      </w:pPr>
      <w:rPr>
        <w:rFonts w:ascii="Wingdings" w:hAnsi="Wingdings" w:hint="default"/>
      </w:rPr>
    </w:lvl>
  </w:abstractNum>
  <w:abstractNum w:abstractNumId="80">
    <w:nsid w:val="77AF54B2"/>
    <w:multiLevelType w:val="hybridMultilevel"/>
    <w:tmpl w:val="8EF0F54E"/>
    <w:lvl w:ilvl="0" w:tplc="54C466F6">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
      <w:lvlJc w:val="left"/>
      <w:pPr>
        <w:tabs>
          <w:tab w:val="num" w:pos="1440"/>
        </w:tabs>
        <w:ind w:left="740" w:firstLine="340"/>
      </w:pPr>
      <w:rPr>
        <w:rFonts w:ascii="Wingdings" w:hAnsi="Wingdings" w:hint="default"/>
        <w:color w:val="auto"/>
      </w:rPr>
    </w:lvl>
    <w:lvl w:ilvl="2" w:tplc="04020005">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1">
    <w:nsid w:val="7B1B0738"/>
    <w:multiLevelType w:val="hybridMultilevel"/>
    <w:tmpl w:val="5DF62C46"/>
    <w:lvl w:ilvl="0" w:tplc="04020001">
      <w:start w:val="1"/>
      <w:numFmt w:val="bullet"/>
      <w:lvlText w:val=""/>
      <w:lvlJc w:val="left"/>
      <w:pPr>
        <w:ind w:left="1260" w:hanging="360"/>
      </w:pPr>
      <w:rPr>
        <w:rFonts w:ascii="Symbol" w:hAnsi="Symbol" w:hint="default"/>
      </w:rPr>
    </w:lvl>
    <w:lvl w:ilvl="1" w:tplc="04020003">
      <w:start w:val="1"/>
      <w:numFmt w:val="bullet"/>
      <w:lvlText w:val="o"/>
      <w:lvlJc w:val="left"/>
      <w:pPr>
        <w:ind w:left="1980" w:hanging="360"/>
      </w:pPr>
      <w:rPr>
        <w:rFonts w:ascii="Courier New" w:hAnsi="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82">
    <w:nsid w:val="7BBC1F9A"/>
    <w:multiLevelType w:val="hybridMultilevel"/>
    <w:tmpl w:val="3C7A8216"/>
    <w:lvl w:ilvl="0" w:tplc="0402000B">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3">
    <w:nsid w:val="7DAF6F1E"/>
    <w:multiLevelType w:val="hybridMultilevel"/>
    <w:tmpl w:val="25A0CECA"/>
    <w:lvl w:ilvl="0" w:tplc="FFFFFFF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4">
    <w:nsid w:val="7FAD60A5"/>
    <w:multiLevelType w:val="multilevel"/>
    <w:tmpl w:val="9DB0DE8C"/>
    <w:lvl w:ilvl="0">
      <w:start w:val="1"/>
      <w:numFmt w:val="none"/>
      <w:lvlText w:val="3.3"/>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85">
    <w:nsid w:val="7FAE178A"/>
    <w:multiLevelType w:val="hybridMultilevel"/>
    <w:tmpl w:val="9E68A878"/>
    <w:lvl w:ilvl="0" w:tplc="FFFFFFF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8"/>
  </w:num>
  <w:num w:numId="2">
    <w:abstractNumId w:val="53"/>
  </w:num>
  <w:num w:numId="3">
    <w:abstractNumId w:val="77"/>
  </w:num>
  <w:num w:numId="4">
    <w:abstractNumId w:val="54"/>
  </w:num>
  <w:num w:numId="5">
    <w:abstractNumId w:val="84"/>
  </w:num>
  <w:num w:numId="6">
    <w:abstractNumId w:val="63"/>
  </w:num>
  <w:num w:numId="7">
    <w:abstractNumId w:val="41"/>
  </w:num>
  <w:num w:numId="8">
    <w:abstractNumId w:val="42"/>
  </w:num>
  <w:num w:numId="9">
    <w:abstractNumId w:val="58"/>
  </w:num>
  <w:num w:numId="10">
    <w:abstractNumId w:val="83"/>
  </w:num>
  <w:num w:numId="11">
    <w:abstractNumId w:val="37"/>
  </w:num>
  <w:num w:numId="12">
    <w:abstractNumId w:val="85"/>
  </w:num>
  <w:num w:numId="13">
    <w:abstractNumId w:val="8"/>
  </w:num>
  <w:num w:numId="14">
    <w:abstractNumId w:val="80"/>
  </w:num>
  <w:num w:numId="15">
    <w:abstractNumId w:val="67"/>
  </w:num>
  <w:num w:numId="16">
    <w:abstractNumId w:val="23"/>
  </w:num>
  <w:num w:numId="17">
    <w:abstractNumId w:val="71"/>
  </w:num>
  <w:num w:numId="18">
    <w:abstractNumId w:val="2"/>
  </w:num>
  <w:num w:numId="19">
    <w:abstractNumId w:val="68"/>
  </w:num>
  <w:num w:numId="20">
    <w:abstractNumId w:val="57"/>
  </w:num>
  <w:num w:numId="21">
    <w:abstractNumId w:val="45"/>
  </w:num>
  <w:num w:numId="22">
    <w:abstractNumId w:val="35"/>
  </w:num>
  <w:num w:numId="23">
    <w:abstractNumId w:val="28"/>
  </w:num>
  <w:num w:numId="24">
    <w:abstractNumId w:val="24"/>
  </w:num>
  <w:num w:numId="25">
    <w:abstractNumId w:val="31"/>
  </w:num>
  <w:num w:numId="26">
    <w:abstractNumId w:val="40"/>
  </w:num>
  <w:num w:numId="27">
    <w:abstractNumId w:val="17"/>
  </w:num>
  <w:num w:numId="28">
    <w:abstractNumId w:val="69"/>
  </w:num>
  <w:num w:numId="29">
    <w:abstractNumId w:val="47"/>
  </w:num>
  <w:num w:numId="30">
    <w:abstractNumId w:val="0"/>
  </w:num>
  <w:num w:numId="31">
    <w:abstractNumId w:val="39"/>
  </w:num>
  <w:num w:numId="32">
    <w:abstractNumId w:val="15"/>
  </w:num>
  <w:num w:numId="33">
    <w:abstractNumId w:val="16"/>
  </w:num>
  <w:num w:numId="34">
    <w:abstractNumId w:val="33"/>
  </w:num>
  <w:num w:numId="35">
    <w:abstractNumId w:val="64"/>
  </w:num>
  <w:num w:numId="36">
    <w:abstractNumId w:val="11"/>
  </w:num>
  <w:num w:numId="37">
    <w:abstractNumId w:val="34"/>
  </w:num>
  <w:num w:numId="38">
    <w:abstractNumId w:val="62"/>
  </w:num>
  <w:num w:numId="39">
    <w:abstractNumId w:val="9"/>
  </w:num>
  <w:num w:numId="40">
    <w:abstractNumId w:val="4"/>
  </w:num>
  <w:num w:numId="41">
    <w:abstractNumId w:val="76"/>
  </w:num>
  <w:num w:numId="42">
    <w:abstractNumId w:val="48"/>
  </w:num>
  <w:num w:numId="43">
    <w:abstractNumId w:val="19"/>
  </w:num>
  <w:num w:numId="44">
    <w:abstractNumId w:val="18"/>
  </w:num>
  <w:num w:numId="45">
    <w:abstractNumId w:val="46"/>
  </w:num>
  <w:num w:numId="46">
    <w:abstractNumId w:val="7"/>
  </w:num>
  <w:num w:numId="47">
    <w:abstractNumId w:val="52"/>
  </w:num>
  <w:num w:numId="48">
    <w:abstractNumId w:val="66"/>
  </w:num>
  <w:num w:numId="49">
    <w:abstractNumId w:val="75"/>
  </w:num>
  <w:num w:numId="50">
    <w:abstractNumId w:val="73"/>
  </w:num>
  <w:num w:numId="51">
    <w:abstractNumId w:val="36"/>
  </w:num>
  <w:num w:numId="52">
    <w:abstractNumId w:val="43"/>
  </w:num>
  <w:num w:numId="53">
    <w:abstractNumId w:val="79"/>
  </w:num>
  <w:num w:numId="54">
    <w:abstractNumId w:val="51"/>
  </w:num>
  <w:num w:numId="55">
    <w:abstractNumId w:val="60"/>
  </w:num>
  <w:num w:numId="56">
    <w:abstractNumId w:val="27"/>
  </w:num>
  <w:num w:numId="57">
    <w:abstractNumId w:val="55"/>
  </w:num>
  <w:num w:numId="58">
    <w:abstractNumId w:val="32"/>
  </w:num>
  <w:num w:numId="59">
    <w:abstractNumId w:val="5"/>
  </w:num>
  <w:num w:numId="60">
    <w:abstractNumId w:val="14"/>
  </w:num>
  <w:num w:numId="61">
    <w:abstractNumId w:val="49"/>
  </w:num>
  <w:num w:numId="62">
    <w:abstractNumId w:val="65"/>
  </w:num>
  <w:num w:numId="63">
    <w:abstractNumId w:val="72"/>
  </w:num>
  <w:num w:numId="64">
    <w:abstractNumId w:val="44"/>
  </w:num>
  <w:num w:numId="65">
    <w:abstractNumId w:val="56"/>
  </w:num>
  <w:num w:numId="66">
    <w:abstractNumId w:val="13"/>
  </w:num>
  <w:num w:numId="67">
    <w:abstractNumId w:val="6"/>
  </w:num>
  <w:num w:numId="68">
    <w:abstractNumId w:val="70"/>
  </w:num>
  <w:num w:numId="69">
    <w:abstractNumId w:val="81"/>
  </w:num>
  <w:num w:numId="70">
    <w:abstractNumId w:val="3"/>
  </w:num>
  <w:num w:numId="71">
    <w:abstractNumId w:val="61"/>
  </w:num>
  <w:num w:numId="72">
    <w:abstractNumId w:val="12"/>
  </w:num>
  <w:num w:numId="73">
    <w:abstractNumId w:val="21"/>
  </w:num>
  <w:num w:numId="74">
    <w:abstractNumId w:val="59"/>
  </w:num>
  <w:num w:numId="75">
    <w:abstractNumId w:val="1"/>
  </w:num>
  <w:num w:numId="76">
    <w:abstractNumId w:val="26"/>
  </w:num>
  <w:num w:numId="77">
    <w:abstractNumId w:val="25"/>
  </w:num>
  <w:num w:numId="78">
    <w:abstractNumId w:val="82"/>
  </w:num>
  <w:num w:numId="79">
    <w:abstractNumId w:val="22"/>
  </w:num>
  <w:num w:numId="80">
    <w:abstractNumId w:val="38"/>
  </w:num>
  <w:num w:numId="81">
    <w:abstractNumId w:val="20"/>
  </w:num>
  <w:num w:numId="82">
    <w:abstractNumId w:val="50"/>
  </w:num>
  <w:num w:numId="83">
    <w:abstractNumId w:val="30"/>
  </w:num>
  <w:num w:numId="84">
    <w:abstractNumId w:val="29"/>
  </w:num>
  <w:num w:numId="85">
    <w:abstractNumId w:val="10"/>
  </w:num>
  <w:num w:numId="86">
    <w:abstractNumId w:val="74"/>
  </w:num>
  <w:numIdMacAtCleanup w:val="8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ocumentProtection w:edit="trackedChanges" w:enforcement="0"/>
  <w:defaultTabStop w:val="709"/>
  <w:hyphenationZone w:val="425"/>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122D2"/>
    <w:rsid w:val="00000109"/>
    <w:rsid w:val="000002DF"/>
    <w:rsid w:val="000007D3"/>
    <w:rsid w:val="00000B94"/>
    <w:rsid w:val="00000CD8"/>
    <w:rsid w:val="00000DC7"/>
    <w:rsid w:val="00000EF5"/>
    <w:rsid w:val="0000124A"/>
    <w:rsid w:val="000015B9"/>
    <w:rsid w:val="00001A5D"/>
    <w:rsid w:val="00001DAA"/>
    <w:rsid w:val="00001E35"/>
    <w:rsid w:val="000023D4"/>
    <w:rsid w:val="00002600"/>
    <w:rsid w:val="0000275E"/>
    <w:rsid w:val="000028A0"/>
    <w:rsid w:val="00002A31"/>
    <w:rsid w:val="00002F23"/>
    <w:rsid w:val="00003112"/>
    <w:rsid w:val="0000396A"/>
    <w:rsid w:val="00003986"/>
    <w:rsid w:val="00003A1A"/>
    <w:rsid w:val="00003AFC"/>
    <w:rsid w:val="00003C1F"/>
    <w:rsid w:val="00003E8F"/>
    <w:rsid w:val="000042D2"/>
    <w:rsid w:val="0000467E"/>
    <w:rsid w:val="00004DD8"/>
    <w:rsid w:val="00004F98"/>
    <w:rsid w:val="00004FC1"/>
    <w:rsid w:val="000053B4"/>
    <w:rsid w:val="00005B04"/>
    <w:rsid w:val="00005CC9"/>
    <w:rsid w:val="0000679F"/>
    <w:rsid w:val="000069DF"/>
    <w:rsid w:val="000073B0"/>
    <w:rsid w:val="00007616"/>
    <w:rsid w:val="00007702"/>
    <w:rsid w:val="00007B88"/>
    <w:rsid w:val="00007BF8"/>
    <w:rsid w:val="00007E5D"/>
    <w:rsid w:val="00007EDF"/>
    <w:rsid w:val="00007EEE"/>
    <w:rsid w:val="000109C0"/>
    <w:rsid w:val="00010A3F"/>
    <w:rsid w:val="00010A49"/>
    <w:rsid w:val="0001172C"/>
    <w:rsid w:val="00011A95"/>
    <w:rsid w:val="00011B5F"/>
    <w:rsid w:val="00012117"/>
    <w:rsid w:val="000123A0"/>
    <w:rsid w:val="000123A4"/>
    <w:rsid w:val="00012B36"/>
    <w:rsid w:val="00012B74"/>
    <w:rsid w:val="00012DD7"/>
    <w:rsid w:val="00012E16"/>
    <w:rsid w:val="00012E47"/>
    <w:rsid w:val="00012FA9"/>
    <w:rsid w:val="00013314"/>
    <w:rsid w:val="000136A3"/>
    <w:rsid w:val="00013760"/>
    <w:rsid w:val="00013927"/>
    <w:rsid w:val="000139E1"/>
    <w:rsid w:val="00013A78"/>
    <w:rsid w:val="00013A79"/>
    <w:rsid w:val="00013AF2"/>
    <w:rsid w:val="00013B97"/>
    <w:rsid w:val="00013BE4"/>
    <w:rsid w:val="00013FF1"/>
    <w:rsid w:val="00014084"/>
    <w:rsid w:val="00014495"/>
    <w:rsid w:val="000148A0"/>
    <w:rsid w:val="000149A8"/>
    <w:rsid w:val="00014C9F"/>
    <w:rsid w:val="00014CC7"/>
    <w:rsid w:val="0001541C"/>
    <w:rsid w:val="0001587A"/>
    <w:rsid w:val="00015A27"/>
    <w:rsid w:val="00015B08"/>
    <w:rsid w:val="00015C2D"/>
    <w:rsid w:val="00015FEE"/>
    <w:rsid w:val="00016019"/>
    <w:rsid w:val="0001609A"/>
    <w:rsid w:val="0001656E"/>
    <w:rsid w:val="000166E7"/>
    <w:rsid w:val="00017382"/>
    <w:rsid w:val="00017423"/>
    <w:rsid w:val="00017606"/>
    <w:rsid w:val="00017EA2"/>
    <w:rsid w:val="00017EB1"/>
    <w:rsid w:val="00017F49"/>
    <w:rsid w:val="0002089A"/>
    <w:rsid w:val="00020A0B"/>
    <w:rsid w:val="00020B3F"/>
    <w:rsid w:val="00020C6A"/>
    <w:rsid w:val="00020E8E"/>
    <w:rsid w:val="000214B4"/>
    <w:rsid w:val="0002173F"/>
    <w:rsid w:val="00021A84"/>
    <w:rsid w:val="00021DAE"/>
    <w:rsid w:val="00021FFB"/>
    <w:rsid w:val="00022126"/>
    <w:rsid w:val="00022158"/>
    <w:rsid w:val="0002279E"/>
    <w:rsid w:val="00023600"/>
    <w:rsid w:val="0002363C"/>
    <w:rsid w:val="00023662"/>
    <w:rsid w:val="000237A4"/>
    <w:rsid w:val="000238EB"/>
    <w:rsid w:val="00023B4F"/>
    <w:rsid w:val="00023EFD"/>
    <w:rsid w:val="00023F5A"/>
    <w:rsid w:val="00024301"/>
    <w:rsid w:val="00025294"/>
    <w:rsid w:val="0002546E"/>
    <w:rsid w:val="00025844"/>
    <w:rsid w:val="00025874"/>
    <w:rsid w:val="000265F1"/>
    <w:rsid w:val="0002665B"/>
    <w:rsid w:val="000267CA"/>
    <w:rsid w:val="00026838"/>
    <w:rsid w:val="00026C00"/>
    <w:rsid w:val="00026F98"/>
    <w:rsid w:val="000271CF"/>
    <w:rsid w:val="0002770E"/>
    <w:rsid w:val="0002774B"/>
    <w:rsid w:val="0003015F"/>
    <w:rsid w:val="00030AA5"/>
    <w:rsid w:val="00030B1D"/>
    <w:rsid w:val="00030C41"/>
    <w:rsid w:val="00030D83"/>
    <w:rsid w:val="00030E6B"/>
    <w:rsid w:val="00030FA0"/>
    <w:rsid w:val="00031098"/>
    <w:rsid w:val="0003166B"/>
    <w:rsid w:val="00031832"/>
    <w:rsid w:val="0003188B"/>
    <w:rsid w:val="0003191F"/>
    <w:rsid w:val="00031A95"/>
    <w:rsid w:val="00031C04"/>
    <w:rsid w:val="00032005"/>
    <w:rsid w:val="000322EE"/>
    <w:rsid w:val="00032357"/>
    <w:rsid w:val="000326D2"/>
    <w:rsid w:val="000327A1"/>
    <w:rsid w:val="00032847"/>
    <w:rsid w:val="000329B6"/>
    <w:rsid w:val="00032B0C"/>
    <w:rsid w:val="00032C68"/>
    <w:rsid w:val="00032D29"/>
    <w:rsid w:val="00032D56"/>
    <w:rsid w:val="00032E82"/>
    <w:rsid w:val="00032EC0"/>
    <w:rsid w:val="00033E0F"/>
    <w:rsid w:val="0003426A"/>
    <w:rsid w:val="00034501"/>
    <w:rsid w:val="0003456E"/>
    <w:rsid w:val="00034AD9"/>
    <w:rsid w:val="00034C3C"/>
    <w:rsid w:val="00034E75"/>
    <w:rsid w:val="00034FAC"/>
    <w:rsid w:val="00035006"/>
    <w:rsid w:val="00035031"/>
    <w:rsid w:val="00035337"/>
    <w:rsid w:val="00035581"/>
    <w:rsid w:val="00035A42"/>
    <w:rsid w:val="00035BC7"/>
    <w:rsid w:val="000366CE"/>
    <w:rsid w:val="000367A8"/>
    <w:rsid w:val="00036A22"/>
    <w:rsid w:val="00036B2A"/>
    <w:rsid w:val="00036B52"/>
    <w:rsid w:val="000370EC"/>
    <w:rsid w:val="00037104"/>
    <w:rsid w:val="00037775"/>
    <w:rsid w:val="00037837"/>
    <w:rsid w:val="0003793F"/>
    <w:rsid w:val="000379C7"/>
    <w:rsid w:val="00037A76"/>
    <w:rsid w:val="00037AFC"/>
    <w:rsid w:val="00037C8F"/>
    <w:rsid w:val="00037C97"/>
    <w:rsid w:val="00037F5A"/>
    <w:rsid w:val="0004013A"/>
    <w:rsid w:val="00040946"/>
    <w:rsid w:val="00040A46"/>
    <w:rsid w:val="00040B56"/>
    <w:rsid w:val="00040BF3"/>
    <w:rsid w:val="00040FC2"/>
    <w:rsid w:val="00040FE4"/>
    <w:rsid w:val="0004130C"/>
    <w:rsid w:val="00041363"/>
    <w:rsid w:val="0004144B"/>
    <w:rsid w:val="0004180A"/>
    <w:rsid w:val="000419F1"/>
    <w:rsid w:val="00041CFE"/>
    <w:rsid w:val="0004228E"/>
    <w:rsid w:val="0004235E"/>
    <w:rsid w:val="00042495"/>
    <w:rsid w:val="0004270E"/>
    <w:rsid w:val="00042B85"/>
    <w:rsid w:val="00042F46"/>
    <w:rsid w:val="00043004"/>
    <w:rsid w:val="00043478"/>
    <w:rsid w:val="00043F5F"/>
    <w:rsid w:val="00043FAF"/>
    <w:rsid w:val="00044069"/>
    <w:rsid w:val="00044126"/>
    <w:rsid w:val="00044186"/>
    <w:rsid w:val="0004419F"/>
    <w:rsid w:val="000443A1"/>
    <w:rsid w:val="000443FC"/>
    <w:rsid w:val="000448B9"/>
    <w:rsid w:val="00044BA0"/>
    <w:rsid w:val="00044E35"/>
    <w:rsid w:val="00045208"/>
    <w:rsid w:val="0004521C"/>
    <w:rsid w:val="000452F9"/>
    <w:rsid w:val="0004567B"/>
    <w:rsid w:val="000458F7"/>
    <w:rsid w:val="00045ACF"/>
    <w:rsid w:val="00045EB1"/>
    <w:rsid w:val="0004603A"/>
    <w:rsid w:val="00046086"/>
    <w:rsid w:val="0004615B"/>
    <w:rsid w:val="00046532"/>
    <w:rsid w:val="00046A98"/>
    <w:rsid w:val="00046B6D"/>
    <w:rsid w:val="00046BC5"/>
    <w:rsid w:val="00046D3D"/>
    <w:rsid w:val="00046E92"/>
    <w:rsid w:val="00047630"/>
    <w:rsid w:val="000478CA"/>
    <w:rsid w:val="00047A71"/>
    <w:rsid w:val="00047B77"/>
    <w:rsid w:val="00047F59"/>
    <w:rsid w:val="0005002C"/>
    <w:rsid w:val="0005050F"/>
    <w:rsid w:val="0005065E"/>
    <w:rsid w:val="000506AF"/>
    <w:rsid w:val="0005074C"/>
    <w:rsid w:val="00050F50"/>
    <w:rsid w:val="000512E0"/>
    <w:rsid w:val="00051321"/>
    <w:rsid w:val="00051A7F"/>
    <w:rsid w:val="00051E73"/>
    <w:rsid w:val="000529BA"/>
    <w:rsid w:val="00053545"/>
    <w:rsid w:val="00053583"/>
    <w:rsid w:val="00053669"/>
    <w:rsid w:val="00054149"/>
    <w:rsid w:val="000543A0"/>
    <w:rsid w:val="00054935"/>
    <w:rsid w:val="00054B7A"/>
    <w:rsid w:val="00054D8F"/>
    <w:rsid w:val="0005503D"/>
    <w:rsid w:val="0005548D"/>
    <w:rsid w:val="00055B5A"/>
    <w:rsid w:val="00055B70"/>
    <w:rsid w:val="0005609C"/>
    <w:rsid w:val="00056448"/>
    <w:rsid w:val="00056712"/>
    <w:rsid w:val="000567E1"/>
    <w:rsid w:val="00056D26"/>
    <w:rsid w:val="0005710A"/>
    <w:rsid w:val="00057392"/>
    <w:rsid w:val="00057593"/>
    <w:rsid w:val="00057BDE"/>
    <w:rsid w:val="00057CB8"/>
    <w:rsid w:val="00057E13"/>
    <w:rsid w:val="000604FB"/>
    <w:rsid w:val="000607C5"/>
    <w:rsid w:val="000609C4"/>
    <w:rsid w:val="000609C6"/>
    <w:rsid w:val="00060AB6"/>
    <w:rsid w:val="00060F40"/>
    <w:rsid w:val="00061311"/>
    <w:rsid w:val="00061DAC"/>
    <w:rsid w:val="00062135"/>
    <w:rsid w:val="000622C5"/>
    <w:rsid w:val="00062309"/>
    <w:rsid w:val="00062478"/>
    <w:rsid w:val="000624CA"/>
    <w:rsid w:val="000624F0"/>
    <w:rsid w:val="000625CC"/>
    <w:rsid w:val="00062B05"/>
    <w:rsid w:val="00062DE0"/>
    <w:rsid w:val="000630B6"/>
    <w:rsid w:val="0006326E"/>
    <w:rsid w:val="00063478"/>
    <w:rsid w:val="000639D4"/>
    <w:rsid w:val="00063BCA"/>
    <w:rsid w:val="000640A8"/>
    <w:rsid w:val="00064245"/>
    <w:rsid w:val="000647B1"/>
    <w:rsid w:val="00064E0B"/>
    <w:rsid w:val="00065931"/>
    <w:rsid w:val="00065A79"/>
    <w:rsid w:val="00065C66"/>
    <w:rsid w:val="0006602B"/>
    <w:rsid w:val="000665E3"/>
    <w:rsid w:val="000665EF"/>
    <w:rsid w:val="000667F1"/>
    <w:rsid w:val="000668D7"/>
    <w:rsid w:val="00066CDB"/>
    <w:rsid w:val="00066FF5"/>
    <w:rsid w:val="000671FF"/>
    <w:rsid w:val="000675BC"/>
    <w:rsid w:val="000675FB"/>
    <w:rsid w:val="0006783D"/>
    <w:rsid w:val="00067EDF"/>
    <w:rsid w:val="00067FEE"/>
    <w:rsid w:val="0007002B"/>
    <w:rsid w:val="0007035B"/>
    <w:rsid w:val="00070882"/>
    <w:rsid w:val="00070964"/>
    <w:rsid w:val="00070B67"/>
    <w:rsid w:val="00070BE5"/>
    <w:rsid w:val="000713E4"/>
    <w:rsid w:val="0007144E"/>
    <w:rsid w:val="000714D7"/>
    <w:rsid w:val="0007187B"/>
    <w:rsid w:val="00071A3C"/>
    <w:rsid w:val="00071B7E"/>
    <w:rsid w:val="00071B82"/>
    <w:rsid w:val="00072126"/>
    <w:rsid w:val="0007239E"/>
    <w:rsid w:val="0007260A"/>
    <w:rsid w:val="000726A3"/>
    <w:rsid w:val="0007295C"/>
    <w:rsid w:val="00072A95"/>
    <w:rsid w:val="00072C26"/>
    <w:rsid w:val="00073030"/>
    <w:rsid w:val="0007348B"/>
    <w:rsid w:val="00073574"/>
    <w:rsid w:val="00073760"/>
    <w:rsid w:val="00073801"/>
    <w:rsid w:val="00073806"/>
    <w:rsid w:val="00073A3D"/>
    <w:rsid w:val="00073A4D"/>
    <w:rsid w:val="0007401C"/>
    <w:rsid w:val="000745A0"/>
    <w:rsid w:val="000748C3"/>
    <w:rsid w:val="000748DC"/>
    <w:rsid w:val="0007495A"/>
    <w:rsid w:val="000749E9"/>
    <w:rsid w:val="00074BD0"/>
    <w:rsid w:val="00074C34"/>
    <w:rsid w:val="0007503D"/>
    <w:rsid w:val="0007548C"/>
    <w:rsid w:val="000756DB"/>
    <w:rsid w:val="00076272"/>
    <w:rsid w:val="0007632B"/>
    <w:rsid w:val="000766A5"/>
    <w:rsid w:val="0007697E"/>
    <w:rsid w:val="00076B95"/>
    <w:rsid w:val="00076BD3"/>
    <w:rsid w:val="000772C2"/>
    <w:rsid w:val="000775BF"/>
    <w:rsid w:val="000779AA"/>
    <w:rsid w:val="00077BE7"/>
    <w:rsid w:val="00077CAE"/>
    <w:rsid w:val="00077D31"/>
    <w:rsid w:val="000803EC"/>
    <w:rsid w:val="000804FD"/>
    <w:rsid w:val="000805F4"/>
    <w:rsid w:val="000807AF"/>
    <w:rsid w:val="00080B97"/>
    <w:rsid w:val="00080D3A"/>
    <w:rsid w:val="0008153B"/>
    <w:rsid w:val="00081870"/>
    <w:rsid w:val="00081CC1"/>
    <w:rsid w:val="00081FC5"/>
    <w:rsid w:val="000822B9"/>
    <w:rsid w:val="00082ADF"/>
    <w:rsid w:val="00082D52"/>
    <w:rsid w:val="00082DD3"/>
    <w:rsid w:val="00082E8B"/>
    <w:rsid w:val="00082FDC"/>
    <w:rsid w:val="000832B1"/>
    <w:rsid w:val="000836E3"/>
    <w:rsid w:val="000837B7"/>
    <w:rsid w:val="00083D1D"/>
    <w:rsid w:val="000840E4"/>
    <w:rsid w:val="00084863"/>
    <w:rsid w:val="00084ACD"/>
    <w:rsid w:val="00084BDA"/>
    <w:rsid w:val="00084D3E"/>
    <w:rsid w:val="00084F19"/>
    <w:rsid w:val="00085262"/>
    <w:rsid w:val="0008527A"/>
    <w:rsid w:val="000853C5"/>
    <w:rsid w:val="0008544B"/>
    <w:rsid w:val="00085A06"/>
    <w:rsid w:val="00085C51"/>
    <w:rsid w:val="00085D81"/>
    <w:rsid w:val="00085E36"/>
    <w:rsid w:val="00085FD0"/>
    <w:rsid w:val="00086223"/>
    <w:rsid w:val="0008661F"/>
    <w:rsid w:val="00086ADD"/>
    <w:rsid w:val="00087094"/>
    <w:rsid w:val="0008722A"/>
    <w:rsid w:val="000877F3"/>
    <w:rsid w:val="00087A27"/>
    <w:rsid w:val="00087B05"/>
    <w:rsid w:val="00087EB7"/>
    <w:rsid w:val="00090156"/>
    <w:rsid w:val="0009023E"/>
    <w:rsid w:val="000904CC"/>
    <w:rsid w:val="000905F4"/>
    <w:rsid w:val="00090FFF"/>
    <w:rsid w:val="000912E0"/>
    <w:rsid w:val="0009179B"/>
    <w:rsid w:val="0009179E"/>
    <w:rsid w:val="00091868"/>
    <w:rsid w:val="0009202D"/>
    <w:rsid w:val="00092EE6"/>
    <w:rsid w:val="00093057"/>
    <w:rsid w:val="000931A7"/>
    <w:rsid w:val="00093461"/>
    <w:rsid w:val="000936FF"/>
    <w:rsid w:val="000938C1"/>
    <w:rsid w:val="00093CAD"/>
    <w:rsid w:val="00093D2F"/>
    <w:rsid w:val="00093DEE"/>
    <w:rsid w:val="00094051"/>
    <w:rsid w:val="0009443B"/>
    <w:rsid w:val="000949B1"/>
    <w:rsid w:val="00094E11"/>
    <w:rsid w:val="00095070"/>
    <w:rsid w:val="000951E8"/>
    <w:rsid w:val="0009536A"/>
    <w:rsid w:val="000954F0"/>
    <w:rsid w:val="00095A61"/>
    <w:rsid w:val="0009619B"/>
    <w:rsid w:val="0009623F"/>
    <w:rsid w:val="00096353"/>
    <w:rsid w:val="00096858"/>
    <w:rsid w:val="000969F7"/>
    <w:rsid w:val="00096A80"/>
    <w:rsid w:val="00096E5F"/>
    <w:rsid w:val="00096EA8"/>
    <w:rsid w:val="00097013"/>
    <w:rsid w:val="0009710D"/>
    <w:rsid w:val="00097254"/>
    <w:rsid w:val="00097B96"/>
    <w:rsid w:val="00097CF6"/>
    <w:rsid w:val="00097FBE"/>
    <w:rsid w:val="000A00D0"/>
    <w:rsid w:val="000A022C"/>
    <w:rsid w:val="000A0411"/>
    <w:rsid w:val="000A0731"/>
    <w:rsid w:val="000A0DC4"/>
    <w:rsid w:val="000A1377"/>
    <w:rsid w:val="000A139D"/>
    <w:rsid w:val="000A169F"/>
    <w:rsid w:val="000A1893"/>
    <w:rsid w:val="000A1A52"/>
    <w:rsid w:val="000A1C46"/>
    <w:rsid w:val="000A1C5F"/>
    <w:rsid w:val="000A2466"/>
    <w:rsid w:val="000A2469"/>
    <w:rsid w:val="000A3308"/>
    <w:rsid w:val="000A3BAB"/>
    <w:rsid w:val="000A3E15"/>
    <w:rsid w:val="000A3EDC"/>
    <w:rsid w:val="000A423E"/>
    <w:rsid w:val="000A4286"/>
    <w:rsid w:val="000A4529"/>
    <w:rsid w:val="000A4555"/>
    <w:rsid w:val="000A467D"/>
    <w:rsid w:val="000A4CDF"/>
    <w:rsid w:val="000A550D"/>
    <w:rsid w:val="000A57E1"/>
    <w:rsid w:val="000A5A1E"/>
    <w:rsid w:val="000A5AC2"/>
    <w:rsid w:val="000A5F6C"/>
    <w:rsid w:val="000A652B"/>
    <w:rsid w:val="000A662D"/>
    <w:rsid w:val="000A6843"/>
    <w:rsid w:val="000A6AF1"/>
    <w:rsid w:val="000A6B0A"/>
    <w:rsid w:val="000A702F"/>
    <w:rsid w:val="000A71D8"/>
    <w:rsid w:val="000A72A3"/>
    <w:rsid w:val="000A73A4"/>
    <w:rsid w:val="000A74A5"/>
    <w:rsid w:val="000A786B"/>
    <w:rsid w:val="000A7CC3"/>
    <w:rsid w:val="000B01D1"/>
    <w:rsid w:val="000B02DD"/>
    <w:rsid w:val="000B0400"/>
    <w:rsid w:val="000B04E0"/>
    <w:rsid w:val="000B08FE"/>
    <w:rsid w:val="000B097D"/>
    <w:rsid w:val="000B0A19"/>
    <w:rsid w:val="000B1001"/>
    <w:rsid w:val="000B126B"/>
    <w:rsid w:val="000B150E"/>
    <w:rsid w:val="000B18EC"/>
    <w:rsid w:val="000B1A67"/>
    <w:rsid w:val="000B1EDF"/>
    <w:rsid w:val="000B2083"/>
    <w:rsid w:val="000B2876"/>
    <w:rsid w:val="000B2941"/>
    <w:rsid w:val="000B3406"/>
    <w:rsid w:val="000B3E07"/>
    <w:rsid w:val="000B3EFB"/>
    <w:rsid w:val="000B4277"/>
    <w:rsid w:val="000B4394"/>
    <w:rsid w:val="000B4435"/>
    <w:rsid w:val="000B4BB1"/>
    <w:rsid w:val="000B4F16"/>
    <w:rsid w:val="000B4FB9"/>
    <w:rsid w:val="000B57D9"/>
    <w:rsid w:val="000B69F8"/>
    <w:rsid w:val="000B795E"/>
    <w:rsid w:val="000B7FA3"/>
    <w:rsid w:val="000C004A"/>
    <w:rsid w:val="000C00DD"/>
    <w:rsid w:val="000C03E9"/>
    <w:rsid w:val="000C077C"/>
    <w:rsid w:val="000C0A14"/>
    <w:rsid w:val="000C0A89"/>
    <w:rsid w:val="000C0C21"/>
    <w:rsid w:val="000C0C7E"/>
    <w:rsid w:val="000C1182"/>
    <w:rsid w:val="000C12B8"/>
    <w:rsid w:val="000C1500"/>
    <w:rsid w:val="000C16FD"/>
    <w:rsid w:val="000C17F3"/>
    <w:rsid w:val="000C1F2A"/>
    <w:rsid w:val="000C1F31"/>
    <w:rsid w:val="000C24F4"/>
    <w:rsid w:val="000C295D"/>
    <w:rsid w:val="000C2D4D"/>
    <w:rsid w:val="000C2DD7"/>
    <w:rsid w:val="000C3272"/>
    <w:rsid w:val="000C35D4"/>
    <w:rsid w:val="000C3BD5"/>
    <w:rsid w:val="000C3D5F"/>
    <w:rsid w:val="000C3D70"/>
    <w:rsid w:val="000C3E23"/>
    <w:rsid w:val="000C40D0"/>
    <w:rsid w:val="000C43D4"/>
    <w:rsid w:val="000C48CF"/>
    <w:rsid w:val="000C4EE2"/>
    <w:rsid w:val="000C51E2"/>
    <w:rsid w:val="000C52A8"/>
    <w:rsid w:val="000C555C"/>
    <w:rsid w:val="000C5E18"/>
    <w:rsid w:val="000C6011"/>
    <w:rsid w:val="000C62BA"/>
    <w:rsid w:val="000C67E4"/>
    <w:rsid w:val="000C6856"/>
    <w:rsid w:val="000C68FE"/>
    <w:rsid w:val="000C6FBB"/>
    <w:rsid w:val="000C7176"/>
    <w:rsid w:val="000C755D"/>
    <w:rsid w:val="000C762C"/>
    <w:rsid w:val="000C763D"/>
    <w:rsid w:val="000C7858"/>
    <w:rsid w:val="000C7875"/>
    <w:rsid w:val="000C78E6"/>
    <w:rsid w:val="000D01C7"/>
    <w:rsid w:val="000D0579"/>
    <w:rsid w:val="000D0675"/>
    <w:rsid w:val="000D0B77"/>
    <w:rsid w:val="000D0BAD"/>
    <w:rsid w:val="000D1334"/>
    <w:rsid w:val="000D143B"/>
    <w:rsid w:val="000D1B91"/>
    <w:rsid w:val="000D206E"/>
    <w:rsid w:val="000D31C4"/>
    <w:rsid w:val="000D3446"/>
    <w:rsid w:val="000D34F9"/>
    <w:rsid w:val="000D3640"/>
    <w:rsid w:val="000D38B8"/>
    <w:rsid w:val="000D3E90"/>
    <w:rsid w:val="000D4014"/>
    <w:rsid w:val="000D408E"/>
    <w:rsid w:val="000D40E6"/>
    <w:rsid w:val="000D418B"/>
    <w:rsid w:val="000D438C"/>
    <w:rsid w:val="000D4858"/>
    <w:rsid w:val="000D49E9"/>
    <w:rsid w:val="000D4BC8"/>
    <w:rsid w:val="000D4C9C"/>
    <w:rsid w:val="000D51F3"/>
    <w:rsid w:val="000D5330"/>
    <w:rsid w:val="000D564B"/>
    <w:rsid w:val="000D567C"/>
    <w:rsid w:val="000D59F4"/>
    <w:rsid w:val="000D5A99"/>
    <w:rsid w:val="000D5ECF"/>
    <w:rsid w:val="000D6359"/>
    <w:rsid w:val="000D6466"/>
    <w:rsid w:val="000D6657"/>
    <w:rsid w:val="000D6702"/>
    <w:rsid w:val="000D6B12"/>
    <w:rsid w:val="000D6B9F"/>
    <w:rsid w:val="000D6D91"/>
    <w:rsid w:val="000D76DD"/>
    <w:rsid w:val="000D799D"/>
    <w:rsid w:val="000D7B66"/>
    <w:rsid w:val="000D7FBD"/>
    <w:rsid w:val="000E0286"/>
    <w:rsid w:val="000E03A9"/>
    <w:rsid w:val="000E07AA"/>
    <w:rsid w:val="000E0B3D"/>
    <w:rsid w:val="000E0D3C"/>
    <w:rsid w:val="000E0E69"/>
    <w:rsid w:val="000E124C"/>
    <w:rsid w:val="000E1518"/>
    <w:rsid w:val="000E15F8"/>
    <w:rsid w:val="000E18CA"/>
    <w:rsid w:val="000E1ABC"/>
    <w:rsid w:val="000E1FC6"/>
    <w:rsid w:val="000E217E"/>
    <w:rsid w:val="000E21CC"/>
    <w:rsid w:val="000E2AFD"/>
    <w:rsid w:val="000E2F00"/>
    <w:rsid w:val="000E312D"/>
    <w:rsid w:val="000E31C6"/>
    <w:rsid w:val="000E3544"/>
    <w:rsid w:val="000E36C4"/>
    <w:rsid w:val="000E3743"/>
    <w:rsid w:val="000E3C16"/>
    <w:rsid w:val="000E3FF4"/>
    <w:rsid w:val="000E4204"/>
    <w:rsid w:val="000E4F96"/>
    <w:rsid w:val="000E4FB4"/>
    <w:rsid w:val="000E5041"/>
    <w:rsid w:val="000E5650"/>
    <w:rsid w:val="000E586E"/>
    <w:rsid w:val="000E5A74"/>
    <w:rsid w:val="000E5B53"/>
    <w:rsid w:val="000E5CFD"/>
    <w:rsid w:val="000E5F00"/>
    <w:rsid w:val="000E5FDF"/>
    <w:rsid w:val="000E661B"/>
    <w:rsid w:val="000E6C1E"/>
    <w:rsid w:val="000E7050"/>
    <w:rsid w:val="000E710E"/>
    <w:rsid w:val="000E7155"/>
    <w:rsid w:val="000E73B3"/>
    <w:rsid w:val="000E7586"/>
    <w:rsid w:val="000E7601"/>
    <w:rsid w:val="000E7656"/>
    <w:rsid w:val="000E76FC"/>
    <w:rsid w:val="000E7D8C"/>
    <w:rsid w:val="000F008D"/>
    <w:rsid w:val="000F058F"/>
    <w:rsid w:val="000F09B1"/>
    <w:rsid w:val="000F0C70"/>
    <w:rsid w:val="000F0CAE"/>
    <w:rsid w:val="000F0D85"/>
    <w:rsid w:val="000F1019"/>
    <w:rsid w:val="000F101B"/>
    <w:rsid w:val="000F16E4"/>
    <w:rsid w:val="000F18AD"/>
    <w:rsid w:val="000F19EE"/>
    <w:rsid w:val="000F1B39"/>
    <w:rsid w:val="000F1CD9"/>
    <w:rsid w:val="000F1CED"/>
    <w:rsid w:val="000F25CF"/>
    <w:rsid w:val="000F26ED"/>
    <w:rsid w:val="000F2785"/>
    <w:rsid w:val="000F27CB"/>
    <w:rsid w:val="000F2918"/>
    <w:rsid w:val="000F2C91"/>
    <w:rsid w:val="000F3023"/>
    <w:rsid w:val="000F3233"/>
    <w:rsid w:val="000F34E9"/>
    <w:rsid w:val="000F39AE"/>
    <w:rsid w:val="000F3CAC"/>
    <w:rsid w:val="000F3D20"/>
    <w:rsid w:val="000F3ED0"/>
    <w:rsid w:val="000F4BB7"/>
    <w:rsid w:val="000F50D1"/>
    <w:rsid w:val="000F5102"/>
    <w:rsid w:val="000F512A"/>
    <w:rsid w:val="000F56A5"/>
    <w:rsid w:val="000F56B6"/>
    <w:rsid w:val="000F56F0"/>
    <w:rsid w:val="000F5C21"/>
    <w:rsid w:val="000F5F2F"/>
    <w:rsid w:val="000F6047"/>
    <w:rsid w:val="000F666B"/>
    <w:rsid w:val="000F6756"/>
    <w:rsid w:val="000F6913"/>
    <w:rsid w:val="000F6C42"/>
    <w:rsid w:val="000F6CD3"/>
    <w:rsid w:val="000F6CDE"/>
    <w:rsid w:val="000F7000"/>
    <w:rsid w:val="000F714E"/>
    <w:rsid w:val="000F76BE"/>
    <w:rsid w:val="000F7B3B"/>
    <w:rsid w:val="0010054A"/>
    <w:rsid w:val="00100D7A"/>
    <w:rsid w:val="00100F52"/>
    <w:rsid w:val="00101054"/>
    <w:rsid w:val="00101167"/>
    <w:rsid w:val="001012B3"/>
    <w:rsid w:val="001020A0"/>
    <w:rsid w:val="001023BE"/>
    <w:rsid w:val="00102422"/>
    <w:rsid w:val="001026B5"/>
    <w:rsid w:val="0010288C"/>
    <w:rsid w:val="00102B1A"/>
    <w:rsid w:val="00102C3C"/>
    <w:rsid w:val="00102C9A"/>
    <w:rsid w:val="00102D52"/>
    <w:rsid w:val="00102F77"/>
    <w:rsid w:val="001031FF"/>
    <w:rsid w:val="00103919"/>
    <w:rsid w:val="0010395D"/>
    <w:rsid w:val="00104170"/>
    <w:rsid w:val="00104376"/>
    <w:rsid w:val="00104728"/>
    <w:rsid w:val="00104CC3"/>
    <w:rsid w:val="001052A2"/>
    <w:rsid w:val="00105333"/>
    <w:rsid w:val="00105337"/>
    <w:rsid w:val="0010537A"/>
    <w:rsid w:val="00105C36"/>
    <w:rsid w:val="00105F3B"/>
    <w:rsid w:val="001067CE"/>
    <w:rsid w:val="00106A09"/>
    <w:rsid w:val="00106D4F"/>
    <w:rsid w:val="00106EBC"/>
    <w:rsid w:val="001070A7"/>
    <w:rsid w:val="0010768C"/>
    <w:rsid w:val="001077F8"/>
    <w:rsid w:val="00107B28"/>
    <w:rsid w:val="00110242"/>
    <w:rsid w:val="0011040D"/>
    <w:rsid w:val="0011057C"/>
    <w:rsid w:val="00110709"/>
    <w:rsid w:val="00110779"/>
    <w:rsid w:val="00110D7E"/>
    <w:rsid w:val="0011109D"/>
    <w:rsid w:val="001110E2"/>
    <w:rsid w:val="00111127"/>
    <w:rsid w:val="0011112C"/>
    <w:rsid w:val="00111384"/>
    <w:rsid w:val="00111A6E"/>
    <w:rsid w:val="00111BB7"/>
    <w:rsid w:val="001122E9"/>
    <w:rsid w:val="0011240E"/>
    <w:rsid w:val="001127A6"/>
    <w:rsid w:val="001128CF"/>
    <w:rsid w:val="0011298E"/>
    <w:rsid w:val="00112ACF"/>
    <w:rsid w:val="001132AE"/>
    <w:rsid w:val="00113487"/>
    <w:rsid w:val="00113899"/>
    <w:rsid w:val="0011389D"/>
    <w:rsid w:val="001138FB"/>
    <w:rsid w:val="001139F6"/>
    <w:rsid w:val="00113A24"/>
    <w:rsid w:val="00113B63"/>
    <w:rsid w:val="00114247"/>
    <w:rsid w:val="001144AD"/>
    <w:rsid w:val="001146C1"/>
    <w:rsid w:val="001148A2"/>
    <w:rsid w:val="00114C5E"/>
    <w:rsid w:val="00114EC0"/>
    <w:rsid w:val="00114FFC"/>
    <w:rsid w:val="001158DB"/>
    <w:rsid w:val="00115B30"/>
    <w:rsid w:val="00115BDD"/>
    <w:rsid w:val="00115FFD"/>
    <w:rsid w:val="00116385"/>
    <w:rsid w:val="001168D4"/>
    <w:rsid w:val="00116D19"/>
    <w:rsid w:val="00116D7A"/>
    <w:rsid w:val="00116F34"/>
    <w:rsid w:val="00117156"/>
    <w:rsid w:val="00117422"/>
    <w:rsid w:val="00117443"/>
    <w:rsid w:val="0011759F"/>
    <w:rsid w:val="001177C1"/>
    <w:rsid w:val="0011791C"/>
    <w:rsid w:val="00117B24"/>
    <w:rsid w:val="00117C97"/>
    <w:rsid w:val="001202CA"/>
    <w:rsid w:val="0012042A"/>
    <w:rsid w:val="001204AC"/>
    <w:rsid w:val="00120AEA"/>
    <w:rsid w:val="00120CFA"/>
    <w:rsid w:val="00120ECE"/>
    <w:rsid w:val="00121331"/>
    <w:rsid w:val="00121771"/>
    <w:rsid w:val="00121EB2"/>
    <w:rsid w:val="00121F13"/>
    <w:rsid w:val="00121F2D"/>
    <w:rsid w:val="001222C5"/>
    <w:rsid w:val="00122566"/>
    <w:rsid w:val="00122567"/>
    <w:rsid w:val="001225D7"/>
    <w:rsid w:val="00122BA4"/>
    <w:rsid w:val="001231D7"/>
    <w:rsid w:val="001233EC"/>
    <w:rsid w:val="0012374D"/>
    <w:rsid w:val="00123885"/>
    <w:rsid w:val="00123906"/>
    <w:rsid w:val="00123D7F"/>
    <w:rsid w:val="00123DEC"/>
    <w:rsid w:val="00124093"/>
    <w:rsid w:val="00124124"/>
    <w:rsid w:val="00124DC2"/>
    <w:rsid w:val="00125137"/>
    <w:rsid w:val="0012532C"/>
    <w:rsid w:val="00125943"/>
    <w:rsid w:val="00125C23"/>
    <w:rsid w:val="00125C9E"/>
    <w:rsid w:val="0012624B"/>
    <w:rsid w:val="0012671D"/>
    <w:rsid w:val="001267AA"/>
    <w:rsid w:val="00126B26"/>
    <w:rsid w:val="00126F1F"/>
    <w:rsid w:val="00127276"/>
    <w:rsid w:val="001276B1"/>
    <w:rsid w:val="00127AD0"/>
    <w:rsid w:val="0013012E"/>
    <w:rsid w:val="001302A9"/>
    <w:rsid w:val="001308C5"/>
    <w:rsid w:val="00130BD6"/>
    <w:rsid w:val="00130BF9"/>
    <w:rsid w:val="00130C0F"/>
    <w:rsid w:val="00130FF1"/>
    <w:rsid w:val="00131157"/>
    <w:rsid w:val="0013138E"/>
    <w:rsid w:val="00131553"/>
    <w:rsid w:val="00131741"/>
    <w:rsid w:val="00131BEF"/>
    <w:rsid w:val="00131D11"/>
    <w:rsid w:val="00131DF0"/>
    <w:rsid w:val="00132013"/>
    <w:rsid w:val="00132155"/>
    <w:rsid w:val="001322C1"/>
    <w:rsid w:val="001324CC"/>
    <w:rsid w:val="00132568"/>
    <w:rsid w:val="0013284D"/>
    <w:rsid w:val="00132A16"/>
    <w:rsid w:val="00132E2D"/>
    <w:rsid w:val="00132E92"/>
    <w:rsid w:val="00132EA4"/>
    <w:rsid w:val="0013332A"/>
    <w:rsid w:val="00133F24"/>
    <w:rsid w:val="0013401E"/>
    <w:rsid w:val="001341D8"/>
    <w:rsid w:val="00134243"/>
    <w:rsid w:val="001343E3"/>
    <w:rsid w:val="001344D5"/>
    <w:rsid w:val="00134AC3"/>
    <w:rsid w:val="00134B6C"/>
    <w:rsid w:val="00134EC8"/>
    <w:rsid w:val="0013513D"/>
    <w:rsid w:val="001351B1"/>
    <w:rsid w:val="001352A8"/>
    <w:rsid w:val="0013537C"/>
    <w:rsid w:val="00135884"/>
    <w:rsid w:val="00135892"/>
    <w:rsid w:val="00135BDE"/>
    <w:rsid w:val="00135EB9"/>
    <w:rsid w:val="00135FF2"/>
    <w:rsid w:val="0013604C"/>
    <w:rsid w:val="001360C4"/>
    <w:rsid w:val="00136102"/>
    <w:rsid w:val="00136116"/>
    <w:rsid w:val="00136630"/>
    <w:rsid w:val="00136824"/>
    <w:rsid w:val="00136B44"/>
    <w:rsid w:val="00136F06"/>
    <w:rsid w:val="00137244"/>
    <w:rsid w:val="001374D9"/>
    <w:rsid w:val="001375B3"/>
    <w:rsid w:val="0013769A"/>
    <w:rsid w:val="00137830"/>
    <w:rsid w:val="00137D12"/>
    <w:rsid w:val="00137EEF"/>
    <w:rsid w:val="00137FA5"/>
    <w:rsid w:val="0014039B"/>
    <w:rsid w:val="0014049A"/>
    <w:rsid w:val="0014055C"/>
    <w:rsid w:val="001406D5"/>
    <w:rsid w:val="00140C30"/>
    <w:rsid w:val="00141576"/>
    <w:rsid w:val="001415D2"/>
    <w:rsid w:val="00141CD6"/>
    <w:rsid w:val="00142176"/>
    <w:rsid w:val="00142203"/>
    <w:rsid w:val="00142369"/>
    <w:rsid w:val="001425A2"/>
    <w:rsid w:val="001427C7"/>
    <w:rsid w:val="00142B7E"/>
    <w:rsid w:val="00142BAE"/>
    <w:rsid w:val="00142D21"/>
    <w:rsid w:val="00142F6F"/>
    <w:rsid w:val="001430FC"/>
    <w:rsid w:val="0014371E"/>
    <w:rsid w:val="00143925"/>
    <w:rsid w:val="00143C8F"/>
    <w:rsid w:val="00143F42"/>
    <w:rsid w:val="00144241"/>
    <w:rsid w:val="00144310"/>
    <w:rsid w:val="00144346"/>
    <w:rsid w:val="0014443B"/>
    <w:rsid w:val="001451D3"/>
    <w:rsid w:val="001455E4"/>
    <w:rsid w:val="00145754"/>
    <w:rsid w:val="00145FE0"/>
    <w:rsid w:val="00146607"/>
    <w:rsid w:val="00146630"/>
    <w:rsid w:val="00146910"/>
    <w:rsid w:val="00146B7D"/>
    <w:rsid w:val="00146D8D"/>
    <w:rsid w:val="0014732B"/>
    <w:rsid w:val="00147942"/>
    <w:rsid w:val="00147982"/>
    <w:rsid w:val="00147CB8"/>
    <w:rsid w:val="00150756"/>
    <w:rsid w:val="001509F1"/>
    <w:rsid w:val="00150BCF"/>
    <w:rsid w:val="00150C33"/>
    <w:rsid w:val="00150ECF"/>
    <w:rsid w:val="00150EDF"/>
    <w:rsid w:val="00150F85"/>
    <w:rsid w:val="00151365"/>
    <w:rsid w:val="00151579"/>
    <w:rsid w:val="00151696"/>
    <w:rsid w:val="001526AF"/>
    <w:rsid w:val="001531C4"/>
    <w:rsid w:val="001534C7"/>
    <w:rsid w:val="00153791"/>
    <w:rsid w:val="001537C3"/>
    <w:rsid w:val="00153942"/>
    <w:rsid w:val="00153BF8"/>
    <w:rsid w:val="00153F4E"/>
    <w:rsid w:val="00154303"/>
    <w:rsid w:val="001546CC"/>
    <w:rsid w:val="001549A6"/>
    <w:rsid w:val="00154B2B"/>
    <w:rsid w:val="00154B68"/>
    <w:rsid w:val="00154CF8"/>
    <w:rsid w:val="001551E2"/>
    <w:rsid w:val="001552F6"/>
    <w:rsid w:val="0015530F"/>
    <w:rsid w:val="00155390"/>
    <w:rsid w:val="00155432"/>
    <w:rsid w:val="0015544C"/>
    <w:rsid w:val="0015570A"/>
    <w:rsid w:val="00155B1C"/>
    <w:rsid w:val="00155BAB"/>
    <w:rsid w:val="00155FBE"/>
    <w:rsid w:val="00156399"/>
    <w:rsid w:val="00156863"/>
    <w:rsid w:val="00156E39"/>
    <w:rsid w:val="00157313"/>
    <w:rsid w:val="001576D9"/>
    <w:rsid w:val="00157B7C"/>
    <w:rsid w:val="00157B83"/>
    <w:rsid w:val="00157E9B"/>
    <w:rsid w:val="00160A0A"/>
    <w:rsid w:val="00160B38"/>
    <w:rsid w:val="00160CAD"/>
    <w:rsid w:val="00160CEB"/>
    <w:rsid w:val="00160D1F"/>
    <w:rsid w:val="00160E94"/>
    <w:rsid w:val="0016160F"/>
    <w:rsid w:val="00161B66"/>
    <w:rsid w:val="00161C11"/>
    <w:rsid w:val="00161DBC"/>
    <w:rsid w:val="00162157"/>
    <w:rsid w:val="00162589"/>
    <w:rsid w:val="00162893"/>
    <w:rsid w:val="00162AA5"/>
    <w:rsid w:val="00162B41"/>
    <w:rsid w:val="00163554"/>
    <w:rsid w:val="00163962"/>
    <w:rsid w:val="00164499"/>
    <w:rsid w:val="0016499D"/>
    <w:rsid w:val="00164BB5"/>
    <w:rsid w:val="00165049"/>
    <w:rsid w:val="00165AC0"/>
    <w:rsid w:val="00165C00"/>
    <w:rsid w:val="00165C02"/>
    <w:rsid w:val="00165C4C"/>
    <w:rsid w:val="00165F2D"/>
    <w:rsid w:val="00165FC8"/>
    <w:rsid w:val="00167387"/>
    <w:rsid w:val="00167677"/>
    <w:rsid w:val="00170492"/>
    <w:rsid w:val="001704C2"/>
    <w:rsid w:val="00170608"/>
    <w:rsid w:val="001707AA"/>
    <w:rsid w:val="0017086C"/>
    <w:rsid w:val="00170981"/>
    <w:rsid w:val="00170DA1"/>
    <w:rsid w:val="00170ECD"/>
    <w:rsid w:val="00171010"/>
    <w:rsid w:val="0017129A"/>
    <w:rsid w:val="001713DD"/>
    <w:rsid w:val="00171654"/>
    <w:rsid w:val="00171D5D"/>
    <w:rsid w:val="00172054"/>
    <w:rsid w:val="001724A6"/>
    <w:rsid w:val="00172617"/>
    <w:rsid w:val="00172639"/>
    <w:rsid w:val="0017348F"/>
    <w:rsid w:val="0017360B"/>
    <w:rsid w:val="00173A2C"/>
    <w:rsid w:val="001741E9"/>
    <w:rsid w:val="00174665"/>
    <w:rsid w:val="001746CD"/>
    <w:rsid w:val="00174EA8"/>
    <w:rsid w:val="00174F52"/>
    <w:rsid w:val="0017558E"/>
    <w:rsid w:val="0017559E"/>
    <w:rsid w:val="001756CD"/>
    <w:rsid w:val="00175AAA"/>
    <w:rsid w:val="001760A6"/>
    <w:rsid w:val="00176375"/>
    <w:rsid w:val="001769E9"/>
    <w:rsid w:val="00176A50"/>
    <w:rsid w:val="001771DF"/>
    <w:rsid w:val="001771F6"/>
    <w:rsid w:val="00177A7B"/>
    <w:rsid w:val="00180234"/>
    <w:rsid w:val="001806AD"/>
    <w:rsid w:val="0018076D"/>
    <w:rsid w:val="00180FB5"/>
    <w:rsid w:val="00181034"/>
    <w:rsid w:val="001819C4"/>
    <w:rsid w:val="00181CE3"/>
    <w:rsid w:val="00182055"/>
    <w:rsid w:val="001820C2"/>
    <w:rsid w:val="001825B0"/>
    <w:rsid w:val="0018290B"/>
    <w:rsid w:val="0018298E"/>
    <w:rsid w:val="00182AD9"/>
    <w:rsid w:val="00182C57"/>
    <w:rsid w:val="00182D09"/>
    <w:rsid w:val="00182F53"/>
    <w:rsid w:val="00182F91"/>
    <w:rsid w:val="00183513"/>
    <w:rsid w:val="00183633"/>
    <w:rsid w:val="0018387C"/>
    <w:rsid w:val="00183B26"/>
    <w:rsid w:val="00183EE3"/>
    <w:rsid w:val="0018406A"/>
    <w:rsid w:val="00184203"/>
    <w:rsid w:val="0018435E"/>
    <w:rsid w:val="001849C4"/>
    <w:rsid w:val="0018558A"/>
    <w:rsid w:val="00185C37"/>
    <w:rsid w:val="00185DEF"/>
    <w:rsid w:val="00186789"/>
    <w:rsid w:val="00186AAE"/>
    <w:rsid w:val="00186E48"/>
    <w:rsid w:val="00187641"/>
    <w:rsid w:val="001876B3"/>
    <w:rsid w:val="00187783"/>
    <w:rsid w:val="001877C9"/>
    <w:rsid w:val="0018792A"/>
    <w:rsid w:val="00187A4C"/>
    <w:rsid w:val="00187C6C"/>
    <w:rsid w:val="00187D3E"/>
    <w:rsid w:val="001900F2"/>
    <w:rsid w:val="00190435"/>
    <w:rsid w:val="001906A3"/>
    <w:rsid w:val="00190D8C"/>
    <w:rsid w:val="00190DBE"/>
    <w:rsid w:val="00191154"/>
    <w:rsid w:val="00191324"/>
    <w:rsid w:val="001915D2"/>
    <w:rsid w:val="001918BD"/>
    <w:rsid w:val="0019198F"/>
    <w:rsid w:val="001919F2"/>
    <w:rsid w:val="00191A4B"/>
    <w:rsid w:val="00191C73"/>
    <w:rsid w:val="0019283A"/>
    <w:rsid w:val="00192AB1"/>
    <w:rsid w:val="0019384E"/>
    <w:rsid w:val="001938D4"/>
    <w:rsid w:val="001940F9"/>
    <w:rsid w:val="001946F8"/>
    <w:rsid w:val="001947C0"/>
    <w:rsid w:val="0019526D"/>
    <w:rsid w:val="0019555D"/>
    <w:rsid w:val="00195765"/>
    <w:rsid w:val="00195B94"/>
    <w:rsid w:val="00195BDF"/>
    <w:rsid w:val="00195E13"/>
    <w:rsid w:val="00196008"/>
    <w:rsid w:val="00196123"/>
    <w:rsid w:val="0019648C"/>
    <w:rsid w:val="00196511"/>
    <w:rsid w:val="001966BD"/>
    <w:rsid w:val="00196C3C"/>
    <w:rsid w:val="00196D6D"/>
    <w:rsid w:val="00196E6D"/>
    <w:rsid w:val="00196F3F"/>
    <w:rsid w:val="00197213"/>
    <w:rsid w:val="00197DD9"/>
    <w:rsid w:val="001A004A"/>
    <w:rsid w:val="001A020F"/>
    <w:rsid w:val="001A02E1"/>
    <w:rsid w:val="001A0755"/>
    <w:rsid w:val="001A081B"/>
    <w:rsid w:val="001A0DA3"/>
    <w:rsid w:val="001A10FD"/>
    <w:rsid w:val="001A1165"/>
    <w:rsid w:val="001A14AA"/>
    <w:rsid w:val="001A15CF"/>
    <w:rsid w:val="001A1959"/>
    <w:rsid w:val="001A1AAD"/>
    <w:rsid w:val="001A215E"/>
    <w:rsid w:val="001A2255"/>
    <w:rsid w:val="001A2D94"/>
    <w:rsid w:val="001A2E45"/>
    <w:rsid w:val="001A2E6B"/>
    <w:rsid w:val="001A3170"/>
    <w:rsid w:val="001A32DF"/>
    <w:rsid w:val="001A33FA"/>
    <w:rsid w:val="001A3ACC"/>
    <w:rsid w:val="001A3C25"/>
    <w:rsid w:val="001A4160"/>
    <w:rsid w:val="001A41F0"/>
    <w:rsid w:val="001A455E"/>
    <w:rsid w:val="001A4610"/>
    <w:rsid w:val="001A4A1B"/>
    <w:rsid w:val="001A4B9D"/>
    <w:rsid w:val="001A4E0C"/>
    <w:rsid w:val="001A4EF9"/>
    <w:rsid w:val="001A4F7D"/>
    <w:rsid w:val="001A5409"/>
    <w:rsid w:val="001A56D4"/>
    <w:rsid w:val="001A5AA1"/>
    <w:rsid w:val="001A5B04"/>
    <w:rsid w:val="001A5D6F"/>
    <w:rsid w:val="001A5D83"/>
    <w:rsid w:val="001A607F"/>
    <w:rsid w:val="001A696C"/>
    <w:rsid w:val="001A6BE5"/>
    <w:rsid w:val="001A730E"/>
    <w:rsid w:val="001A766D"/>
    <w:rsid w:val="001A7949"/>
    <w:rsid w:val="001B01A5"/>
    <w:rsid w:val="001B03F3"/>
    <w:rsid w:val="001B04C7"/>
    <w:rsid w:val="001B0784"/>
    <w:rsid w:val="001B0A1E"/>
    <w:rsid w:val="001B0C73"/>
    <w:rsid w:val="001B0DC7"/>
    <w:rsid w:val="001B126E"/>
    <w:rsid w:val="001B135A"/>
    <w:rsid w:val="001B17E6"/>
    <w:rsid w:val="001B18A5"/>
    <w:rsid w:val="001B242F"/>
    <w:rsid w:val="001B2922"/>
    <w:rsid w:val="001B2D57"/>
    <w:rsid w:val="001B2FD6"/>
    <w:rsid w:val="001B30DC"/>
    <w:rsid w:val="001B32FF"/>
    <w:rsid w:val="001B34D8"/>
    <w:rsid w:val="001B3FD5"/>
    <w:rsid w:val="001B424F"/>
    <w:rsid w:val="001B42AA"/>
    <w:rsid w:val="001B4935"/>
    <w:rsid w:val="001B49EA"/>
    <w:rsid w:val="001B4A46"/>
    <w:rsid w:val="001B4B69"/>
    <w:rsid w:val="001B4C30"/>
    <w:rsid w:val="001B4CA0"/>
    <w:rsid w:val="001B5136"/>
    <w:rsid w:val="001B5199"/>
    <w:rsid w:val="001B52F4"/>
    <w:rsid w:val="001B54AA"/>
    <w:rsid w:val="001B55BB"/>
    <w:rsid w:val="001B59FA"/>
    <w:rsid w:val="001B5A74"/>
    <w:rsid w:val="001B6083"/>
    <w:rsid w:val="001B60D9"/>
    <w:rsid w:val="001B65B6"/>
    <w:rsid w:val="001B66D9"/>
    <w:rsid w:val="001B673B"/>
    <w:rsid w:val="001B67BD"/>
    <w:rsid w:val="001B6907"/>
    <w:rsid w:val="001B7155"/>
    <w:rsid w:val="001B7442"/>
    <w:rsid w:val="001B7EBE"/>
    <w:rsid w:val="001B7ECF"/>
    <w:rsid w:val="001B7F2F"/>
    <w:rsid w:val="001C05B6"/>
    <w:rsid w:val="001C088C"/>
    <w:rsid w:val="001C0A44"/>
    <w:rsid w:val="001C0B36"/>
    <w:rsid w:val="001C0DB8"/>
    <w:rsid w:val="001C0F55"/>
    <w:rsid w:val="001C1474"/>
    <w:rsid w:val="001C1C46"/>
    <w:rsid w:val="001C1CF5"/>
    <w:rsid w:val="001C1EF6"/>
    <w:rsid w:val="001C2102"/>
    <w:rsid w:val="001C21E6"/>
    <w:rsid w:val="001C27DB"/>
    <w:rsid w:val="001C2973"/>
    <w:rsid w:val="001C29DC"/>
    <w:rsid w:val="001C31A9"/>
    <w:rsid w:val="001C3476"/>
    <w:rsid w:val="001C3500"/>
    <w:rsid w:val="001C38FB"/>
    <w:rsid w:val="001C3D58"/>
    <w:rsid w:val="001C3EB5"/>
    <w:rsid w:val="001C4469"/>
    <w:rsid w:val="001C46F1"/>
    <w:rsid w:val="001C4726"/>
    <w:rsid w:val="001C48F1"/>
    <w:rsid w:val="001C5520"/>
    <w:rsid w:val="001C594C"/>
    <w:rsid w:val="001C5CAA"/>
    <w:rsid w:val="001C5D03"/>
    <w:rsid w:val="001C5E1D"/>
    <w:rsid w:val="001C5EF8"/>
    <w:rsid w:val="001C6113"/>
    <w:rsid w:val="001C6586"/>
    <w:rsid w:val="001C659C"/>
    <w:rsid w:val="001C6876"/>
    <w:rsid w:val="001C6CD6"/>
    <w:rsid w:val="001C6EA1"/>
    <w:rsid w:val="001C6F41"/>
    <w:rsid w:val="001C71B7"/>
    <w:rsid w:val="001C71C5"/>
    <w:rsid w:val="001C7700"/>
    <w:rsid w:val="001C77A0"/>
    <w:rsid w:val="001C7839"/>
    <w:rsid w:val="001C7EEA"/>
    <w:rsid w:val="001D028C"/>
    <w:rsid w:val="001D0297"/>
    <w:rsid w:val="001D04EF"/>
    <w:rsid w:val="001D0DFB"/>
    <w:rsid w:val="001D0EF0"/>
    <w:rsid w:val="001D1028"/>
    <w:rsid w:val="001D1205"/>
    <w:rsid w:val="001D1B71"/>
    <w:rsid w:val="001D1E6D"/>
    <w:rsid w:val="001D22C7"/>
    <w:rsid w:val="001D2EFB"/>
    <w:rsid w:val="001D307C"/>
    <w:rsid w:val="001D33AA"/>
    <w:rsid w:val="001D36F8"/>
    <w:rsid w:val="001D3A37"/>
    <w:rsid w:val="001D3BF4"/>
    <w:rsid w:val="001D3F91"/>
    <w:rsid w:val="001D40E4"/>
    <w:rsid w:val="001D43B6"/>
    <w:rsid w:val="001D4845"/>
    <w:rsid w:val="001D4D46"/>
    <w:rsid w:val="001D592D"/>
    <w:rsid w:val="001D59B7"/>
    <w:rsid w:val="001D5A36"/>
    <w:rsid w:val="001D608E"/>
    <w:rsid w:val="001D61D1"/>
    <w:rsid w:val="001D686F"/>
    <w:rsid w:val="001D68D3"/>
    <w:rsid w:val="001D6CA0"/>
    <w:rsid w:val="001D6F6B"/>
    <w:rsid w:val="001D7927"/>
    <w:rsid w:val="001D7EAA"/>
    <w:rsid w:val="001D7FCE"/>
    <w:rsid w:val="001E02F3"/>
    <w:rsid w:val="001E064B"/>
    <w:rsid w:val="001E067E"/>
    <w:rsid w:val="001E07C8"/>
    <w:rsid w:val="001E0B4E"/>
    <w:rsid w:val="001E1B46"/>
    <w:rsid w:val="001E1C50"/>
    <w:rsid w:val="001E1C90"/>
    <w:rsid w:val="001E1CAD"/>
    <w:rsid w:val="001E1CC0"/>
    <w:rsid w:val="001E231D"/>
    <w:rsid w:val="001E2646"/>
    <w:rsid w:val="001E265F"/>
    <w:rsid w:val="001E2B7A"/>
    <w:rsid w:val="001E2D60"/>
    <w:rsid w:val="001E2F43"/>
    <w:rsid w:val="001E30A1"/>
    <w:rsid w:val="001E30F6"/>
    <w:rsid w:val="001E3256"/>
    <w:rsid w:val="001E38C0"/>
    <w:rsid w:val="001E3BAF"/>
    <w:rsid w:val="001E3DF9"/>
    <w:rsid w:val="001E3E99"/>
    <w:rsid w:val="001E4544"/>
    <w:rsid w:val="001E471C"/>
    <w:rsid w:val="001E4AC8"/>
    <w:rsid w:val="001E572E"/>
    <w:rsid w:val="001E57B0"/>
    <w:rsid w:val="001E59F8"/>
    <w:rsid w:val="001E61CE"/>
    <w:rsid w:val="001E62DF"/>
    <w:rsid w:val="001E6938"/>
    <w:rsid w:val="001E6C7B"/>
    <w:rsid w:val="001E71D1"/>
    <w:rsid w:val="001E7364"/>
    <w:rsid w:val="001E7518"/>
    <w:rsid w:val="001E754F"/>
    <w:rsid w:val="001E75A8"/>
    <w:rsid w:val="001E7866"/>
    <w:rsid w:val="001E7FA5"/>
    <w:rsid w:val="001E7FD5"/>
    <w:rsid w:val="001F008A"/>
    <w:rsid w:val="001F0386"/>
    <w:rsid w:val="001F03A1"/>
    <w:rsid w:val="001F0426"/>
    <w:rsid w:val="001F0522"/>
    <w:rsid w:val="001F09EC"/>
    <w:rsid w:val="001F1021"/>
    <w:rsid w:val="001F11F9"/>
    <w:rsid w:val="001F1492"/>
    <w:rsid w:val="001F149D"/>
    <w:rsid w:val="001F1B43"/>
    <w:rsid w:val="001F2024"/>
    <w:rsid w:val="001F230A"/>
    <w:rsid w:val="001F2380"/>
    <w:rsid w:val="001F255E"/>
    <w:rsid w:val="001F298C"/>
    <w:rsid w:val="001F2AB5"/>
    <w:rsid w:val="001F2BF9"/>
    <w:rsid w:val="001F2C88"/>
    <w:rsid w:val="001F2F9B"/>
    <w:rsid w:val="001F3000"/>
    <w:rsid w:val="001F32CB"/>
    <w:rsid w:val="001F37EE"/>
    <w:rsid w:val="001F3B59"/>
    <w:rsid w:val="001F4378"/>
    <w:rsid w:val="001F44E9"/>
    <w:rsid w:val="001F4D70"/>
    <w:rsid w:val="001F4E36"/>
    <w:rsid w:val="001F50CF"/>
    <w:rsid w:val="001F5578"/>
    <w:rsid w:val="001F5A43"/>
    <w:rsid w:val="001F5C23"/>
    <w:rsid w:val="001F66E9"/>
    <w:rsid w:val="001F6DB6"/>
    <w:rsid w:val="001F7201"/>
    <w:rsid w:val="001F749F"/>
    <w:rsid w:val="001F77FD"/>
    <w:rsid w:val="001F7A87"/>
    <w:rsid w:val="001F7B92"/>
    <w:rsid w:val="001F7D04"/>
    <w:rsid w:val="001F7E9C"/>
    <w:rsid w:val="00200691"/>
    <w:rsid w:val="00200951"/>
    <w:rsid w:val="00200CF0"/>
    <w:rsid w:val="00200DB3"/>
    <w:rsid w:val="00200EC1"/>
    <w:rsid w:val="00200F9D"/>
    <w:rsid w:val="00201007"/>
    <w:rsid w:val="002013C4"/>
    <w:rsid w:val="00201D91"/>
    <w:rsid w:val="002021D4"/>
    <w:rsid w:val="00202270"/>
    <w:rsid w:val="002023CE"/>
    <w:rsid w:val="00202432"/>
    <w:rsid w:val="002028A8"/>
    <w:rsid w:val="0020290A"/>
    <w:rsid w:val="00202BBE"/>
    <w:rsid w:val="00203A83"/>
    <w:rsid w:val="00203D10"/>
    <w:rsid w:val="00203E6F"/>
    <w:rsid w:val="00204572"/>
    <w:rsid w:val="0020465F"/>
    <w:rsid w:val="002046A4"/>
    <w:rsid w:val="00204D10"/>
    <w:rsid w:val="00204E4A"/>
    <w:rsid w:val="00204F64"/>
    <w:rsid w:val="00205174"/>
    <w:rsid w:val="00205519"/>
    <w:rsid w:val="0020594A"/>
    <w:rsid w:val="00205B4C"/>
    <w:rsid w:val="00206232"/>
    <w:rsid w:val="0020625A"/>
    <w:rsid w:val="00206535"/>
    <w:rsid w:val="002066DD"/>
    <w:rsid w:val="002066E0"/>
    <w:rsid w:val="0020682D"/>
    <w:rsid w:val="00206865"/>
    <w:rsid w:val="00206A2F"/>
    <w:rsid w:val="00206B08"/>
    <w:rsid w:val="00207983"/>
    <w:rsid w:val="0020799D"/>
    <w:rsid w:val="00207AA6"/>
    <w:rsid w:val="00207B5E"/>
    <w:rsid w:val="00211623"/>
    <w:rsid w:val="002117F3"/>
    <w:rsid w:val="002118B5"/>
    <w:rsid w:val="00211A6F"/>
    <w:rsid w:val="00211B76"/>
    <w:rsid w:val="00211C5E"/>
    <w:rsid w:val="00211C6E"/>
    <w:rsid w:val="00211F7E"/>
    <w:rsid w:val="002123DC"/>
    <w:rsid w:val="0021257A"/>
    <w:rsid w:val="0021258A"/>
    <w:rsid w:val="002125E2"/>
    <w:rsid w:val="0021277F"/>
    <w:rsid w:val="0021296E"/>
    <w:rsid w:val="002129CB"/>
    <w:rsid w:val="00212AD9"/>
    <w:rsid w:val="00212E94"/>
    <w:rsid w:val="00212FFA"/>
    <w:rsid w:val="00213047"/>
    <w:rsid w:val="002130D9"/>
    <w:rsid w:val="00213152"/>
    <w:rsid w:val="00213520"/>
    <w:rsid w:val="00213565"/>
    <w:rsid w:val="00213D81"/>
    <w:rsid w:val="0021419F"/>
    <w:rsid w:val="00214563"/>
    <w:rsid w:val="00214683"/>
    <w:rsid w:val="00214780"/>
    <w:rsid w:val="0021488F"/>
    <w:rsid w:val="00214ABA"/>
    <w:rsid w:val="00214B31"/>
    <w:rsid w:val="002154C9"/>
    <w:rsid w:val="00215551"/>
    <w:rsid w:val="00216085"/>
    <w:rsid w:val="00216321"/>
    <w:rsid w:val="00216670"/>
    <w:rsid w:val="00216A4F"/>
    <w:rsid w:val="00216C3F"/>
    <w:rsid w:val="00216CB1"/>
    <w:rsid w:val="00216EAB"/>
    <w:rsid w:val="002178AC"/>
    <w:rsid w:val="00217D2F"/>
    <w:rsid w:val="00217F45"/>
    <w:rsid w:val="0022011D"/>
    <w:rsid w:val="0022021F"/>
    <w:rsid w:val="0022027B"/>
    <w:rsid w:val="00220430"/>
    <w:rsid w:val="002205F2"/>
    <w:rsid w:val="00220D94"/>
    <w:rsid w:val="0022104A"/>
    <w:rsid w:val="00221921"/>
    <w:rsid w:val="00221AAF"/>
    <w:rsid w:val="00221FA8"/>
    <w:rsid w:val="0022217D"/>
    <w:rsid w:val="00222401"/>
    <w:rsid w:val="002226A6"/>
    <w:rsid w:val="00222BAF"/>
    <w:rsid w:val="0022315A"/>
    <w:rsid w:val="0022369D"/>
    <w:rsid w:val="00223ABE"/>
    <w:rsid w:val="00223CAB"/>
    <w:rsid w:val="0022409F"/>
    <w:rsid w:val="0022434E"/>
    <w:rsid w:val="00224364"/>
    <w:rsid w:val="00224B4D"/>
    <w:rsid w:val="00224D42"/>
    <w:rsid w:val="00225306"/>
    <w:rsid w:val="002255D3"/>
    <w:rsid w:val="002261FE"/>
    <w:rsid w:val="002264A9"/>
    <w:rsid w:val="002266D9"/>
    <w:rsid w:val="002269F3"/>
    <w:rsid w:val="00226BA8"/>
    <w:rsid w:val="00226D6B"/>
    <w:rsid w:val="00226E0E"/>
    <w:rsid w:val="00227419"/>
    <w:rsid w:val="0022766D"/>
    <w:rsid w:val="00227725"/>
    <w:rsid w:val="0022774B"/>
    <w:rsid w:val="002279B6"/>
    <w:rsid w:val="00227BCF"/>
    <w:rsid w:val="00227C87"/>
    <w:rsid w:val="00227CC0"/>
    <w:rsid w:val="00227F4E"/>
    <w:rsid w:val="0023023D"/>
    <w:rsid w:val="0023030B"/>
    <w:rsid w:val="002306F9"/>
    <w:rsid w:val="00230D2A"/>
    <w:rsid w:val="00230E85"/>
    <w:rsid w:val="0023159C"/>
    <w:rsid w:val="00231687"/>
    <w:rsid w:val="00231D86"/>
    <w:rsid w:val="00231E29"/>
    <w:rsid w:val="002324BB"/>
    <w:rsid w:val="00232506"/>
    <w:rsid w:val="00232511"/>
    <w:rsid w:val="00232576"/>
    <w:rsid w:val="0023272A"/>
    <w:rsid w:val="00232BF1"/>
    <w:rsid w:val="00233120"/>
    <w:rsid w:val="0023319F"/>
    <w:rsid w:val="00233250"/>
    <w:rsid w:val="002333E8"/>
    <w:rsid w:val="0023385C"/>
    <w:rsid w:val="00233961"/>
    <w:rsid w:val="0023430C"/>
    <w:rsid w:val="002345A7"/>
    <w:rsid w:val="00234819"/>
    <w:rsid w:val="0023481B"/>
    <w:rsid w:val="00234B55"/>
    <w:rsid w:val="00234F9D"/>
    <w:rsid w:val="002352DF"/>
    <w:rsid w:val="00235E1B"/>
    <w:rsid w:val="00236107"/>
    <w:rsid w:val="00236117"/>
    <w:rsid w:val="002363FE"/>
    <w:rsid w:val="002368C2"/>
    <w:rsid w:val="00236FB0"/>
    <w:rsid w:val="00237300"/>
    <w:rsid w:val="0023743E"/>
    <w:rsid w:val="00240211"/>
    <w:rsid w:val="0024025F"/>
    <w:rsid w:val="0024028B"/>
    <w:rsid w:val="00240561"/>
    <w:rsid w:val="002405AC"/>
    <w:rsid w:val="00240CC5"/>
    <w:rsid w:val="00240FA7"/>
    <w:rsid w:val="002412EF"/>
    <w:rsid w:val="002416BA"/>
    <w:rsid w:val="002418D4"/>
    <w:rsid w:val="00241D2D"/>
    <w:rsid w:val="00242329"/>
    <w:rsid w:val="00242B58"/>
    <w:rsid w:val="00242E07"/>
    <w:rsid w:val="00242E3E"/>
    <w:rsid w:val="00243145"/>
    <w:rsid w:val="002432E0"/>
    <w:rsid w:val="00243593"/>
    <w:rsid w:val="00243B57"/>
    <w:rsid w:val="00243CA4"/>
    <w:rsid w:val="00243CCE"/>
    <w:rsid w:val="00243F5E"/>
    <w:rsid w:val="00243FF4"/>
    <w:rsid w:val="00244449"/>
    <w:rsid w:val="002446CF"/>
    <w:rsid w:val="00244D29"/>
    <w:rsid w:val="00244F1D"/>
    <w:rsid w:val="002454C1"/>
    <w:rsid w:val="0024593C"/>
    <w:rsid w:val="00245C86"/>
    <w:rsid w:val="00245CEE"/>
    <w:rsid w:val="00245D84"/>
    <w:rsid w:val="002460E0"/>
    <w:rsid w:val="002465BF"/>
    <w:rsid w:val="00246730"/>
    <w:rsid w:val="002469F7"/>
    <w:rsid w:val="00246A50"/>
    <w:rsid w:val="00246D97"/>
    <w:rsid w:val="00246F44"/>
    <w:rsid w:val="00246FC0"/>
    <w:rsid w:val="00247200"/>
    <w:rsid w:val="002472E9"/>
    <w:rsid w:val="002472F6"/>
    <w:rsid w:val="00247320"/>
    <w:rsid w:val="00247330"/>
    <w:rsid w:val="002474C8"/>
    <w:rsid w:val="00247A7A"/>
    <w:rsid w:val="00247BE2"/>
    <w:rsid w:val="002508BF"/>
    <w:rsid w:val="00250C81"/>
    <w:rsid w:val="002513DC"/>
    <w:rsid w:val="002514DD"/>
    <w:rsid w:val="002516A1"/>
    <w:rsid w:val="002516EA"/>
    <w:rsid w:val="002519EA"/>
    <w:rsid w:val="00251ABA"/>
    <w:rsid w:val="00251B5F"/>
    <w:rsid w:val="00251D61"/>
    <w:rsid w:val="002521FD"/>
    <w:rsid w:val="00252835"/>
    <w:rsid w:val="002532BF"/>
    <w:rsid w:val="002532D8"/>
    <w:rsid w:val="0025334E"/>
    <w:rsid w:val="002535A9"/>
    <w:rsid w:val="002536E7"/>
    <w:rsid w:val="00253859"/>
    <w:rsid w:val="002538FB"/>
    <w:rsid w:val="0025471F"/>
    <w:rsid w:val="00254899"/>
    <w:rsid w:val="00254D10"/>
    <w:rsid w:val="0025504D"/>
    <w:rsid w:val="0025514A"/>
    <w:rsid w:val="002552A1"/>
    <w:rsid w:val="0025628B"/>
    <w:rsid w:val="002568D3"/>
    <w:rsid w:val="00256D54"/>
    <w:rsid w:val="00256FBD"/>
    <w:rsid w:val="0025709E"/>
    <w:rsid w:val="0025784C"/>
    <w:rsid w:val="00257A96"/>
    <w:rsid w:val="00260635"/>
    <w:rsid w:val="002606B4"/>
    <w:rsid w:val="00260A75"/>
    <w:rsid w:val="00260CB7"/>
    <w:rsid w:val="00260FBA"/>
    <w:rsid w:val="002612E4"/>
    <w:rsid w:val="0026152D"/>
    <w:rsid w:val="002625DE"/>
    <w:rsid w:val="002629EA"/>
    <w:rsid w:val="00262D47"/>
    <w:rsid w:val="0026307B"/>
    <w:rsid w:val="002636F1"/>
    <w:rsid w:val="00263FFE"/>
    <w:rsid w:val="002640FE"/>
    <w:rsid w:val="002650EE"/>
    <w:rsid w:val="00265B72"/>
    <w:rsid w:val="002660EE"/>
    <w:rsid w:val="00266331"/>
    <w:rsid w:val="00266AAB"/>
    <w:rsid w:val="00266CD3"/>
    <w:rsid w:val="002677D7"/>
    <w:rsid w:val="002678A4"/>
    <w:rsid w:val="00267C3C"/>
    <w:rsid w:val="00267FAE"/>
    <w:rsid w:val="00270104"/>
    <w:rsid w:val="00270161"/>
    <w:rsid w:val="002705EC"/>
    <w:rsid w:val="00271348"/>
    <w:rsid w:val="00271965"/>
    <w:rsid w:val="00271B7A"/>
    <w:rsid w:val="00271F1C"/>
    <w:rsid w:val="00272400"/>
    <w:rsid w:val="00272641"/>
    <w:rsid w:val="00272C6C"/>
    <w:rsid w:val="00272F7B"/>
    <w:rsid w:val="00273041"/>
    <w:rsid w:val="00273128"/>
    <w:rsid w:val="00273245"/>
    <w:rsid w:val="002732DE"/>
    <w:rsid w:val="002732E3"/>
    <w:rsid w:val="0027350B"/>
    <w:rsid w:val="00273A76"/>
    <w:rsid w:val="00273C4D"/>
    <w:rsid w:val="0027416E"/>
    <w:rsid w:val="00274335"/>
    <w:rsid w:val="002743D0"/>
    <w:rsid w:val="002750AD"/>
    <w:rsid w:val="00275342"/>
    <w:rsid w:val="00275414"/>
    <w:rsid w:val="00275B8A"/>
    <w:rsid w:val="00275DF7"/>
    <w:rsid w:val="00275E01"/>
    <w:rsid w:val="002761EE"/>
    <w:rsid w:val="002762E3"/>
    <w:rsid w:val="0027644C"/>
    <w:rsid w:val="002766D9"/>
    <w:rsid w:val="002768D0"/>
    <w:rsid w:val="00276B52"/>
    <w:rsid w:val="00276D4A"/>
    <w:rsid w:val="00276DD0"/>
    <w:rsid w:val="0027728A"/>
    <w:rsid w:val="00277AF8"/>
    <w:rsid w:val="00277C84"/>
    <w:rsid w:val="00277D6E"/>
    <w:rsid w:val="00277D7D"/>
    <w:rsid w:val="00277D97"/>
    <w:rsid w:val="00277F29"/>
    <w:rsid w:val="00280008"/>
    <w:rsid w:val="002805C9"/>
    <w:rsid w:val="0028105C"/>
    <w:rsid w:val="0028107A"/>
    <w:rsid w:val="002811ED"/>
    <w:rsid w:val="00281564"/>
    <w:rsid w:val="002816E3"/>
    <w:rsid w:val="00281F82"/>
    <w:rsid w:val="002824C3"/>
    <w:rsid w:val="00282614"/>
    <w:rsid w:val="002826A7"/>
    <w:rsid w:val="002826A9"/>
    <w:rsid w:val="00282D3E"/>
    <w:rsid w:val="00282DED"/>
    <w:rsid w:val="00283045"/>
    <w:rsid w:val="002830EF"/>
    <w:rsid w:val="002831C5"/>
    <w:rsid w:val="00283285"/>
    <w:rsid w:val="00283369"/>
    <w:rsid w:val="00283AB8"/>
    <w:rsid w:val="00283D0A"/>
    <w:rsid w:val="002840B8"/>
    <w:rsid w:val="002843A3"/>
    <w:rsid w:val="002843B1"/>
    <w:rsid w:val="0028441E"/>
    <w:rsid w:val="002845CA"/>
    <w:rsid w:val="00284FD6"/>
    <w:rsid w:val="002850F0"/>
    <w:rsid w:val="0028563B"/>
    <w:rsid w:val="00285714"/>
    <w:rsid w:val="00285858"/>
    <w:rsid w:val="002858EA"/>
    <w:rsid w:val="00285A01"/>
    <w:rsid w:val="00285A84"/>
    <w:rsid w:val="00285CB9"/>
    <w:rsid w:val="0028604E"/>
    <w:rsid w:val="002861A1"/>
    <w:rsid w:val="00286849"/>
    <w:rsid w:val="00286853"/>
    <w:rsid w:val="002869AC"/>
    <w:rsid w:val="00287093"/>
    <w:rsid w:val="002871AF"/>
    <w:rsid w:val="00287792"/>
    <w:rsid w:val="002878BA"/>
    <w:rsid w:val="00287943"/>
    <w:rsid w:val="0029016D"/>
    <w:rsid w:val="0029022A"/>
    <w:rsid w:val="002909E4"/>
    <w:rsid w:val="00290D2C"/>
    <w:rsid w:val="00290DA1"/>
    <w:rsid w:val="002910B8"/>
    <w:rsid w:val="002913F2"/>
    <w:rsid w:val="00291539"/>
    <w:rsid w:val="00291762"/>
    <w:rsid w:val="00291BD5"/>
    <w:rsid w:val="00291D83"/>
    <w:rsid w:val="00291EF5"/>
    <w:rsid w:val="002922A9"/>
    <w:rsid w:val="0029264D"/>
    <w:rsid w:val="00292984"/>
    <w:rsid w:val="00292A07"/>
    <w:rsid w:val="00292A4B"/>
    <w:rsid w:val="00292B10"/>
    <w:rsid w:val="00292C55"/>
    <w:rsid w:val="00292DF7"/>
    <w:rsid w:val="002932EE"/>
    <w:rsid w:val="0029389D"/>
    <w:rsid w:val="00293C3D"/>
    <w:rsid w:val="00293CB9"/>
    <w:rsid w:val="00293E79"/>
    <w:rsid w:val="00293EC0"/>
    <w:rsid w:val="0029412B"/>
    <w:rsid w:val="0029423F"/>
    <w:rsid w:val="00294244"/>
    <w:rsid w:val="00294499"/>
    <w:rsid w:val="00294BEF"/>
    <w:rsid w:val="00295363"/>
    <w:rsid w:val="0029543D"/>
    <w:rsid w:val="00295580"/>
    <w:rsid w:val="002957E5"/>
    <w:rsid w:val="00295B94"/>
    <w:rsid w:val="00295E48"/>
    <w:rsid w:val="00295E5F"/>
    <w:rsid w:val="00295FA1"/>
    <w:rsid w:val="0029625E"/>
    <w:rsid w:val="00296281"/>
    <w:rsid w:val="00296455"/>
    <w:rsid w:val="00296A14"/>
    <w:rsid w:val="00296BB4"/>
    <w:rsid w:val="00296CDD"/>
    <w:rsid w:val="00297035"/>
    <w:rsid w:val="00297070"/>
    <w:rsid w:val="002970FC"/>
    <w:rsid w:val="0029769D"/>
    <w:rsid w:val="00297A72"/>
    <w:rsid w:val="00297D90"/>
    <w:rsid w:val="002A0275"/>
    <w:rsid w:val="002A0779"/>
    <w:rsid w:val="002A0821"/>
    <w:rsid w:val="002A085B"/>
    <w:rsid w:val="002A0BDB"/>
    <w:rsid w:val="002A0C4F"/>
    <w:rsid w:val="002A0C68"/>
    <w:rsid w:val="002A0D14"/>
    <w:rsid w:val="002A159E"/>
    <w:rsid w:val="002A1651"/>
    <w:rsid w:val="002A1692"/>
    <w:rsid w:val="002A1932"/>
    <w:rsid w:val="002A1B76"/>
    <w:rsid w:val="002A1D8A"/>
    <w:rsid w:val="002A1FDF"/>
    <w:rsid w:val="002A21FA"/>
    <w:rsid w:val="002A2358"/>
    <w:rsid w:val="002A2652"/>
    <w:rsid w:val="002A292C"/>
    <w:rsid w:val="002A2A85"/>
    <w:rsid w:val="002A2C2F"/>
    <w:rsid w:val="002A2FB2"/>
    <w:rsid w:val="002A3200"/>
    <w:rsid w:val="002A3637"/>
    <w:rsid w:val="002A3639"/>
    <w:rsid w:val="002A3643"/>
    <w:rsid w:val="002A3831"/>
    <w:rsid w:val="002A3A58"/>
    <w:rsid w:val="002A3E27"/>
    <w:rsid w:val="002A3F2F"/>
    <w:rsid w:val="002A40AE"/>
    <w:rsid w:val="002A4243"/>
    <w:rsid w:val="002A44BA"/>
    <w:rsid w:val="002A49C9"/>
    <w:rsid w:val="002A49E1"/>
    <w:rsid w:val="002A4C57"/>
    <w:rsid w:val="002A4D72"/>
    <w:rsid w:val="002A5521"/>
    <w:rsid w:val="002A554A"/>
    <w:rsid w:val="002A567D"/>
    <w:rsid w:val="002A5700"/>
    <w:rsid w:val="002A5B15"/>
    <w:rsid w:val="002A5FC8"/>
    <w:rsid w:val="002A6127"/>
    <w:rsid w:val="002A6317"/>
    <w:rsid w:val="002A66DB"/>
    <w:rsid w:val="002A6712"/>
    <w:rsid w:val="002A6770"/>
    <w:rsid w:val="002A67BD"/>
    <w:rsid w:val="002A6989"/>
    <w:rsid w:val="002A6B57"/>
    <w:rsid w:val="002A6C17"/>
    <w:rsid w:val="002A6F9F"/>
    <w:rsid w:val="002A739C"/>
    <w:rsid w:val="002A7AB2"/>
    <w:rsid w:val="002A7FD3"/>
    <w:rsid w:val="002B0689"/>
    <w:rsid w:val="002B0765"/>
    <w:rsid w:val="002B081B"/>
    <w:rsid w:val="002B085A"/>
    <w:rsid w:val="002B0BA7"/>
    <w:rsid w:val="002B0F88"/>
    <w:rsid w:val="002B0FD3"/>
    <w:rsid w:val="002B18CD"/>
    <w:rsid w:val="002B1B12"/>
    <w:rsid w:val="002B2551"/>
    <w:rsid w:val="002B2827"/>
    <w:rsid w:val="002B291A"/>
    <w:rsid w:val="002B2AA6"/>
    <w:rsid w:val="002B2E29"/>
    <w:rsid w:val="002B2FCC"/>
    <w:rsid w:val="002B2FEC"/>
    <w:rsid w:val="002B31B1"/>
    <w:rsid w:val="002B36F4"/>
    <w:rsid w:val="002B3725"/>
    <w:rsid w:val="002B37DD"/>
    <w:rsid w:val="002B3ADA"/>
    <w:rsid w:val="002B3FCB"/>
    <w:rsid w:val="002B406D"/>
    <w:rsid w:val="002B43B1"/>
    <w:rsid w:val="002B456F"/>
    <w:rsid w:val="002B460A"/>
    <w:rsid w:val="002B4630"/>
    <w:rsid w:val="002B466F"/>
    <w:rsid w:val="002B46AA"/>
    <w:rsid w:val="002B4721"/>
    <w:rsid w:val="002B4817"/>
    <w:rsid w:val="002B4B57"/>
    <w:rsid w:val="002B4B7A"/>
    <w:rsid w:val="002B4D16"/>
    <w:rsid w:val="002B4D1E"/>
    <w:rsid w:val="002B4DBC"/>
    <w:rsid w:val="002B55DB"/>
    <w:rsid w:val="002B5779"/>
    <w:rsid w:val="002B5BE3"/>
    <w:rsid w:val="002B5D7B"/>
    <w:rsid w:val="002B5F71"/>
    <w:rsid w:val="002B628C"/>
    <w:rsid w:val="002B64B4"/>
    <w:rsid w:val="002B6543"/>
    <w:rsid w:val="002B6724"/>
    <w:rsid w:val="002B6A88"/>
    <w:rsid w:val="002B6B0B"/>
    <w:rsid w:val="002B6FFC"/>
    <w:rsid w:val="002B727E"/>
    <w:rsid w:val="002B771C"/>
    <w:rsid w:val="002B7D10"/>
    <w:rsid w:val="002B7E4F"/>
    <w:rsid w:val="002C0043"/>
    <w:rsid w:val="002C0212"/>
    <w:rsid w:val="002C0399"/>
    <w:rsid w:val="002C05CD"/>
    <w:rsid w:val="002C0B5D"/>
    <w:rsid w:val="002C1281"/>
    <w:rsid w:val="002C12D9"/>
    <w:rsid w:val="002C1329"/>
    <w:rsid w:val="002C14B7"/>
    <w:rsid w:val="002C1988"/>
    <w:rsid w:val="002C1C66"/>
    <w:rsid w:val="002C241A"/>
    <w:rsid w:val="002C2BBB"/>
    <w:rsid w:val="002C2C9E"/>
    <w:rsid w:val="002C2FCF"/>
    <w:rsid w:val="002C300D"/>
    <w:rsid w:val="002C3209"/>
    <w:rsid w:val="002C36B9"/>
    <w:rsid w:val="002C3782"/>
    <w:rsid w:val="002C37F2"/>
    <w:rsid w:val="002C3807"/>
    <w:rsid w:val="002C3C68"/>
    <w:rsid w:val="002C425D"/>
    <w:rsid w:val="002C47E2"/>
    <w:rsid w:val="002C494F"/>
    <w:rsid w:val="002C517E"/>
    <w:rsid w:val="002C51E6"/>
    <w:rsid w:val="002C52F1"/>
    <w:rsid w:val="002C5681"/>
    <w:rsid w:val="002C58B2"/>
    <w:rsid w:val="002C654E"/>
    <w:rsid w:val="002C65B4"/>
    <w:rsid w:val="002C66FF"/>
    <w:rsid w:val="002C681E"/>
    <w:rsid w:val="002C691C"/>
    <w:rsid w:val="002C6BF0"/>
    <w:rsid w:val="002C6DE5"/>
    <w:rsid w:val="002C6FC2"/>
    <w:rsid w:val="002C7177"/>
    <w:rsid w:val="002C7205"/>
    <w:rsid w:val="002C72CB"/>
    <w:rsid w:val="002C74E0"/>
    <w:rsid w:val="002C7947"/>
    <w:rsid w:val="002C7BA5"/>
    <w:rsid w:val="002C7D41"/>
    <w:rsid w:val="002C7FB3"/>
    <w:rsid w:val="002D021C"/>
    <w:rsid w:val="002D0D19"/>
    <w:rsid w:val="002D0E03"/>
    <w:rsid w:val="002D0F3E"/>
    <w:rsid w:val="002D0F76"/>
    <w:rsid w:val="002D109B"/>
    <w:rsid w:val="002D13E2"/>
    <w:rsid w:val="002D14EC"/>
    <w:rsid w:val="002D1746"/>
    <w:rsid w:val="002D1C52"/>
    <w:rsid w:val="002D1D31"/>
    <w:rsid w:val="002D1FAD"/>
    <w:rsid w:val="002D22AF"/>
    <w:rsid w:val="002D2369"/>
    <w:rsid w:val="002D2693"/>
    <w:rsid w:val="002D26A8"/>
    <w:rsid w:val="002D2847"/>
    <w:rsid w:val="002D295E"/>
    <w:rsid w:val="002D2B3D"/>
    <w:rsid w:val="002D2E76"/>
    <w:rsid w:val="002D3193"/>
    <w:rsid w:val="002D3306"/>
    <w:rsid w:val="002D3332"/>
    <w:rsid w:val="002D355A"/>
    <w:rsid w:val="002D36FA"/>
    <w:rsid w:val="002D3A4E"/>
    <w:rsid w:val="002D3B7C"/>
    <w:rsid w:val="002D4033"/>
    <w:rsid w:val="002D425E"/>
    <w:rsid w:val="002D4317"/>
    <w:rsid w:val="002D43C6"/>
    <w:rsid w:val="002D4775"/>
    <w:rsid w:val="002D4A62"/>
    <w:rsid w:val="002D4D65"/>
    <w:rsid w:val="002D5051"/>
    <w:rsid w:val="002D5167"/>
    <w:rsid w:val="002D5A62"/>
    <w:rsid w:val="002D5AF8"/>
    <w:rsid w:val="002D5C86"/>
    <w:rsid w:val="002D5E20"/>
    <w:rsid w:val="002D5EB1"/>
    <w:rsid w:val="002D5F1F"/>
    <w:rsid w:val="002D5F2F"/>
    <w:rsid w:val="002D65B9"/>
    <w:rsid w:val="002D671C"/>
    <w:rsid w:val="002D67CF"/>
    <w:rsid w:val="002D69E3"/>
    <w:rsid w:val="002D6F44"/>
    <w:rsid w:val="002D76B0"/>
    <w:rsid w:val="002D777F"/>
    <w:rsid w:val="002D7859"/>
    <w:rsid w:val="002D7CF8"/>
    <w:rsid w:val="002D7D21"/>
    <w:rsid w:val="002D7FE6"/>
    <w:rsid w:val="002E078F"/>
    <w:rsid w:val="002E0D51"/>
    <w:rsid w:val="002E118D"/>
    <w:rsid w:val="002E13BF"/>
    <w:rsid w:val="002E165D"/>
    <w:rsid w:val="002E1D04"/>
    <w:rsid w:val="002E1DDC"/>
    <w:rsid w:val="002E1E99"/>
    <w:rsid w:val="002E1EF8"/>
    <w:rsid w:val="002E24E8"/>
    <w:rsid w:val="002E2576"/>
    <w:rsid w:val="002E2996"/>
    <w:rsid w:val="002E2BD4"/>
    <w:rsid w:val="002E2E69"/>
    <w:rsid w:val="002E3256"/>
    <w:rsid w:val="002E3360"/>
    <w:rsid w:val="002E36DB"/>
    <w:rsid w:val="002E3B1C"/>
    <w:rsid w:val="002E3E3D"/>
    <w:rsid w:val="002E3F3B"/>
    <w:rsid w:val="002E3F57"/>
    <w:rsid w:val="002E4267"/>
    <w:rsid w:val="002E43A8"/>
    <w:rsid w:val="002E52FE"/>
    <w:rsid w:val="002E5677"/>
    <w:rsid w:val="002E56C6"/>
    <w:rsid w:val="002E633D"/>
    <w:rsid w:val="002E6659"/>
    <w:rsid w:val="002E6991"/>
    <w:rsid w:val="002E69AA"/>
    <w:rsid w:val="002E69EB"/>
    <w:rsid w:val="002E6ADE"/>
    <w:rsid w:val="002E6EE8"/>
    <w:rsid w:val="002E71D2"/>
    <w:rsid w:val="002E7251"/>
    <w:rsid w:val="002E7C51"/>
    <w:rsid w:val="002E7EC2"/>
    <w:rsid w:val="002F0816"/>
    <w:rsid w:val="002F1263"/>
    <w:rsid w:val="002F130B"/>
    <w:rsid w:val="002F177B"/>
    <w:rsid w:val="002F1929"/>
    <w:rsid w:val="002F1ED4"/>
    <w:rsid w:val="002F2028"/>
    <w:rsid w:val="002F229F"/>
    <w:rsid w:val="002F238F"/>
    <w:rsid w:val="002F2577"/>
    <w:rsid w:val="002F26EA"/>
    <w:rsid w:val="002F2C8D"/>
    <w:rsid w:val="002F2E5F"/>
    <w:rsid w:val="002F2EA5"/>
    <w:rsid w:val="002F302D"/>
    <w:rsid w:val="002F343F"/>
    <w:rsid w:val="002F35AF"/>
    <w:rsid w:val="002F36AD"/>
    <w:rsid w:val="002F378D"/>
    <w:rsid w:val="002F3C0A"/>
    <w:rsid w:val="002F3CF6"/>
    <w:rsid w:val="002F3D22"/>
    <w:rsid w:val="002F3EBF"/>
    <w:rsid w:val="002F4C73"/>
    <w:rsid w:val="002F54D9"/>
    <w:rsid w:val="002F5689"/>
    <w:rsid w:val="002F5706"/>
    <w:rsid w:val="002F57B9"/>
    <w:rsid w:val="002F5996"/>
    <w:rsid w:val="002F5BBB"/>
    <w:rsid w:val="002F5F4F"/>
    <w:rsid w:val="002F60BF"/>
    <w:rsid w:val="002F6116"/>
    <w:rsid w:val="002F6265"/>
    <w:rsid w:val="002F62A7"/>
    <w:rsid w:val="002F62BB"/>
    <w:rsid w:val="002F6315"/>
    <w:rsid w:val="002F66AA"/>
    <w:rsid w:val="002F6A28"/>
    <w:rsid w:val="002F6B8B"/>
    <w:rsid w:val="002F6B9D"/>
    <w:rsid w:val="002F6E0F"/>
    <w:rsid w:val="002F716C"/>
    <w:rsid w:val="002F7471"/>
    <w:rsid w:val="002F7844"/>
    <w:rsid w:val="002F7CD8"/>
    <w:rsid w:val="003002BB"/>
    <w:rsid w:val="0030043D"/>
    <w:rsid w:val="0030070C"/>
    <w:rsid w:val="003007C2"/>
    <w:rsid w:val="003008B0"/>
    <w:rsid w:val="00300C4A"/>
    <w:rsid w:val="00301214"/>
    <w:rsid w:val="003014A2"/>
    <w:rsid w:val="00301825"/>
    <w:rsid w:val="00301C92"/>
    <w:rsid w:val="003022DA"/>
    <w:rsid w:val="00302615"/>
    <w:rsid w:val="0030277D"/>
    <w:rsid w:val="003028E3"/>
    <w:rsid w:val="00302E94"/>
    <w:rsid w:val="00302EF3"/>
    <w:rsid w:val="0030340C"/>
    <w:rsid w:val="0030395A"/>
    <w:rsid w:val="00303DA3"/>
    <w:rsid w:val="0030404E"/>
    <w:rsid w:val="003041E0"/>
    <w:rsid w:val="00304459"/>
    <w:rsid w:val="0030482D"/>
    <w:rsid w:val="00304877"/>
    <w:rsid w:val="003049F2"/>
    <w:rsid w:val="00304D20"/>
    <w:rsid w:val="00304EA4"/>
    <w:rsid w:val="00304FE1"/>
    <w:rsid w:val="0030511F"/>
    <w:rsid w:val="0030530B"/>
    <w:rsid w:val="00305424"/>
    <w:rsid w:val="0030551B"/>
    <w:rsid w:val="003056EE"/>
    <w:rsid w:val="00305783"/>
    <w:rsid w:val="00305984"/>
    <w:rsid w:val="00305A2D"/>
    <w:rsid w:val="00305A74"/>
    <w:rsid w:val="00305B2B"/>
    <w:rsid w:val="00305E89"/>
    <w:rsid w:val="00306095"/>
    <w:rsid w:val="0030611E"/>
    <w:rsid w:val="003062CD"/>
    <w:rsid w:val="00306510"/>
    <w:rsid w:val="003065EC"/>
    <w:rsid w:val="00306C0A"/>
    <w:rsid w:val="00306FDB"/>
    <w:rsid w:val="0030724D"/>
    <w:rsid w:val="003073AA"/>
    <w:rsid w:val="00307507"/>
    <w:rsid w:val="00307594"/>
    <w:rsid w:val="00307C15"/>
    <w:rsid w:val="00307CE7"/>
    <w:rsid w:val="00307F74"/>
    <w:rsid w:val="0031017E"/>
    <w:rsid w:val="003101CA"/>
    <w:rsid w:val="003103D0"/>
    <w:rsid w:val="0031044A"/>
    <w:rsid w:val="003104E2"/>
    <w:rsid w:val="003108D0"/>
    <w:rsid w:val="00310A90"/>
    <w:rsid w:val="00310BE3"/>
    <w:rsid w:val="00310C9B"/>
    <w:rsid w:val="00310CCC"/>
    <w:rsid w:val="00311298"/>
    <w:rsid w:val="0031150F"/>
    <w:rsid w:val="00311704"/>
    <w:rsid w:val="0031172F"/>
    <w:rsid w:val="00311D50"/>
    <w:rsid w:val="00311DA0"/>
    <w:rsid w:val="00311FB9"/>
    <w:rsid w:val="0031245F"/>
    <w:rsid w:val="003127D1"/>
    <w:rsid w:val="00312A5C"/>
    <w:rsid w:val="003133AB"/>
    <w:rsid w:val="00313432"/>
    <w:rsid w:val="00313F64"/>
    <w:rsid w:val="00313F79"/>
    <w:rsid w:val="003140AD"/>
    <w:rsid w:val="003142E7"/>
    <w:rsid w:val="003148E5"/>
    <w:rsid w:val="0031498D"/>
    <w:rsid w:val="003151EB"/>
    <w:rsid w:val="00315228"/>
    <w:rsid w:val="003152E6"/>
    <w:rsid w:val="00315608"/>
    <w:rsid w:val="00315916"/>
    <w:rsid w:val="00315BBB"/>
    <w:rsid w:val="00315CB4"/>
    <w:rsid w:val="003164D2"/>
    <w:rsid w:val="0031691A"/>
    <w:rsid w:val="00316959"/>
    <w:rsid w:val="00316F2D"/>
    <w:rsid w:val="003172C5"/>
    <w:rsid w:val="003173CC"/>
    <w:rsid w:val="0031761E"/>
    <w:rsid w:val="00320564"/>
    <w:rsid w:val="00320664"/>
    <w:rsid w:val="00320841"/>
    <w:rsid w:val="00320977"/>
    <w:rsid w:val="00320DA8"/>
    <w:rsid w:val="00320EC8"/>
    <w:rsid w:val="0032132E"/>
    <w:rsid w:val="00321377"/>
    <w:rsid w:val="00321622"/>
    <w:rsid w:val="00321738"/>
    <w:rsid w:val="003217D0"/>
    <w:rsid w:val="00321A2F"/>
    <w:rsid w:val="00321A85"/>
    <w:rsid w:val="00321AE2"/>
    <w:rsid w:val="00321AEC"/>
    <w:rsid w:val="00321BA8"/>
    <w:rsid w:val="00321C1D"/>
    <w:rsid w:val="0032230C"/>
    <w:rsid w:val="00322320"/>
    <w:rsid w:val="00322446"/>
    <w:rsid w:val="0032264C"/>
    <w:rsid w:val="00322BB3"/>
    <w:rsid w:val="00322CCE"/>
    <w:rsid w:val="00322F45"/>
    <w:rsid w:val="0032379E"/>
    <w:rsid w:val="00323964"/>
    <w:rsid w:val="00323DA1"/>
    <w:rsid w:val="00323EC8"/>
    <w:rsid w:val="003246BE"/>
    <w:rsid w:val="00324A8A"/>
    <w:rsid w:val="00324C99"/>
    <w:rsid w:val="00325314"/>
    <w:rsid w:val="003255C6"/>
    <w:rsid w:val="0032581B"/>
    <w:rsid w:val="003258BA"/>
    <w:rsid w:val="0032617E"/>
    <w:rsid w:val="003261F3"/>
    <w:rsid w:val="00326779"/>
    <w:rsid w:val="00326912"/>
    <w:rsid w:val="00326E99"/>
    <w:rsid w:val="0032718D"/>
    <w:rsid w:val="003272A1"/>
    <w:rsid w:val="0032778D"/>
    <w:rsid w:val="00327A10"/>
    <w:rsid w:val="00327B6C"/>
    <w:rsid w:val="00327EA9"/>
    <w:rsid w:val="00330236"/>
    <w:rsid w:val="00330BAA"/>
    <w:rsid w:val="00330E08"/>
    <w:rsid w:val="003310D5"/>
    <w:rsid w:val="003310DC"/>
    <w:rsid w:val="00331656"/>
    <w:rsid w:val="003316FC"/>
    <w:rsid w:val="003317E2"/>
    <w:rsid w:val="003319C9"/>
    <w:rsid w:val="00331A62"/>
    <w:rsid w:val="00331C67"/>
    <w:rsid w:val="00331CF3"/>
    <w:rsid w:val="00331D28"/>
    <w:rsid w:val="00331D31"/>
    <w:rsid w:val="00331E30"/>
    <w:rsid w:val="0033294D"/>
    <w:rsid w:val="0033294F"/>
    <w:rsid w:val="00332C09"/>
    <w:rsid w:val="0033329D"/>
    <w:rsid w:val="00333599"/>
    <w:rsid w:val="00333719"/>
    <w:rsid w:val="0033398F"/>
    <w:rsid w:val="00333B2D"/>
    <w:rsid w:val="00333B92"/>
    <w:rsid w:val="00334161"/>
    <w:rsid w:val="00334168"/>
    <w:rsid w:val="003341C0"/>
    <w:rsid w:val="00334B2D"/>
    <w:rsid w:val="00334FA3"/>
    <w:rsid w:val="003350EE"/>
    <w:rsid w:val="00335192"/>
    <w:rsid w:val="003357C1"/>
    <w:rsid w:val="003358A5"/>
    <w:rsid w:val="00335961"/>
    <w:rsid w:val="003359A9"/>
    <w:rsid w:val="003359CB"/>
    <w:rsid w:val="00335F5F"/>
    <w:rsid w:val="0033661F"/>
    <w:rsid w:val="00336A64"/>
    <w:rsid w:val="00336B10"/>
    <w:rsid w:val="0033763D"/>
    <w:rsid w:val="00340154"/>
    <w:rsid w:val="00340B4D"/>
    <w:rsid w:val="00340DF0"/>
    <w:rsid w:val="00341284"/>
    <w:rsid w:val="0034149B"/>
    <w:rsid w:val="00341BC4"/>
    <w:rsid w:val="00341E81"/>
    <w:rsid w:val="003420A8"/>
    <w:rsid w:val="003428BB"/>
    <w:rsid w:val="00342DF1"/>
    <w:rsid w:val="00342FE1"/>
    <w:rsid w:val="0034345C"/>
    <w:rsid w:val="003435C2"/>
    <w:rsid w:val="00343794"/>
    <w:rsid w:val="00343B0F"/>
    <w:rsid w:val="00343CEF"/>
    <w:rsid w:val="00343FE4"/>
    <w:rsid w:val="0034431A"/>
    <w:rsid w:val="00344421"/>
    <w:rsid w:val="003444E4"/>
    <w:rsid w:val="003448E6"/>
    <w:rsid w:val="00344D01"/>
    <w:rsid w:val="003452CA"/>
    <w:rsid w:val="003455CD"/>
    <w:rsid w:val="0034574A"/>
    <w:rsid w:val="00345957"/>
    <w:rsid w:val="003459FC"/>
    <w:rsid w:val="00345AE7"/>
    <w:rsid w:val="00345E22"/>
    <w:rsid w:val="0034601E"/>
    <w:rsid w:val="0034603E"/>
    <w:rsid w:val="0034610D"/>
    <w:rsid w:val="0034704B"/>
    <w:rsid w:val="003470CC"/>
    <w:rsid w:val="00347677"/>
    <w:rsid w:val="00347699"/>
    <w:rsid w:val="003477CB"/>
    <w:rsid w:val="00347E98"/>
    <w:rsid w:val="00347EB8"/>
    <w:rsid w:val="00347F29"/>
    <w:rsid w:val="00350375"/>
    <w:rsid w:val="003503D5"/>
    <w:rsid w:val="00350434"/>
    <w:rsid w:val="0035076A"/>
    <w:rsid w:val="00350AB2"/>
    <w:rsid w:val="00350E36"/>
    <w:rsid w:val="00350EC8"/>
    <w:rsid w:val="00350FC1"/>
    <w:rsid w:val="0035106D"/>
    <w:rsid w:val="0035112E"/>
    <w:rsid w:val="00351282"/>
    <w:rsid w:val="00351318"/>
    <w:rsid w:val="0035142C"/>
    <w:rsid w:val="00351508"/>
    <w:rsid w:val="0035159E"/>
    <w:rsid w:val="00351618"/>
    <w:rsid w:val="003518D2"/>
    <w:rsid w:val="00351C2F"/>
    <w:rsid w:val="0035202D"/>
    <w:rsid w:val="003527FE"/>
    <w:rsid w:val="00352BDE"/>
    <w:rsid w:val="00352F00"/>
    <w:rsid w:val="003533AA"/>
    <w:rsid w:val="00353647"/>
    <w:rsid w:val="003537EF"/>
    <w:rsid w:val="00353BA7"/>
    <w:rsid w:val="00353D95"/>
    <w:rsid w:val="00353EA7"/>
    <w:rsid w:val="00354360"/>
    <w:rsid w:val="00354949"/>
    <w:rsid w:val="00354A17"/>
    <w:rsid w:val="00354CFD"/>
    <w:rsid w:val="00354DF3"/>
    <w:rsid w:val="00355195"/>
    <w:rsid w:val="003552CA"/>
    <w:rsid w:val="003552DE"/>
    <w:rsid w:val="003552F6"/>
    <w:rsid w:val="00355AEB"/>
    <w:rsid w:val="00355EDF"/>
    <w:rsid w:val="00355EE2"/>
    <w:rsid w:val="00355F5F"/>
    <w:rsid w:val="00356172"/>
    <w:rsid w:val="0035639B"/>
    <w:rsid w:val="00357204"/>
    <w:rsid w:val="0035758C"/>
    <w:rsid w:val="00357E6B"/>
    <w:rsid w:val="00357E6E"/>
    <w:rsid w:val="00360034"/>
    <w:rsid w:val="00360409"/>
    <w:rsid w:val="0036119E"/>
    <w:rsid w:val="003613AD"/>
    <w:rsid w:val="00361690"/>
    <w:rsid w:val="00361798"/>
    <w:rsid w:val="003619AD"/>
    <w:rsid w:val="00362312"/>
    <w:rsid w:val="003627C4"/>
    <w:rsid w:val="00362A6B"/>
    <w:rsid w:val="00362D2D"/>
    <w:rsid w:val="00362FC9"/>
    <w:rsid w:val="00363902"/>
    <w:rsid w:val="00363AF5"/>
    <w:rsid w:val="00363BBD"/>
    <w:rsid w:val="00364226"/>
    <w:rsid w:val="0036426B"/>
    <w:rsid w:val="003644D8"/>
    <w:rsid w:val="00364584"/>
    <w:rsid w:val="00364876"/>
    <w:rsid w:val="003649D1"/>
    <w:rsid w:val="00364B17"/>
    <w:rsid w:val="00364FBD"/>
    <w:rsid w:val="0036505D"/>
    <w:rsid w:val="00365689"/>
    <w:rsid w:val="0036581C"/>
    <w:rsid w:val="00365833"/>
    <w:rsid w:val="00365C40"/>
    <w:rsid w:val="00365D7C"/>
    <w:rsid w:val="00365D89"/>
    <w:rsid w:val="00365E7A"/>
    <w:rsid w:val="00366011"/>
    <w:rsid w:val="00366385"/>
    <w:rsid w:val="00366653"/>
    <w:rsid w:val="00366817"/>
    <w:rsid w:val="00366F23"/>
    <w:rsid w:val="0036702B"/>
    <w:rsid w:val="003671BE"/>
    <w:rsid w:val="0036720E"/>
    <w:rsid w:val="00367335"/>
    <w:rsid w:val="003673A6"/>
    <w:rsid w:val="00367A6E"/>
    <w:rsid w:val="00367DBD"/>
    <w:rsid w:val="0037080C"/>
    <w:rsid w:val="003710D4"/>
    <w:rsid w:val="003711B8"/>
    <w:rsid w:val="003712F2"/>
    <w:rsid w:val="003716B6"/>
    <w:rsid w:val="00371A1F"/>
    <w:rsid w:val="00371B2A"/>
    <w:rsid w:val="00371F16"/>
    <w:rsid w:val="00372158"/>
    <w:rsid w:val="00372B4C"/>
    <w:rsid w:val="00372C32"/>
    <w:rsid w:val="00372CA6"/>
    <w:rsid w:val="0037331A"/>
    <w:rsid w:val="003733DF"/>
    <w:rsid w:val="00373413"/>
    <w:rsid w:val="003734C7"/>
    <w:rsid w:val="003734EE"/>
    <w:rsid w:val="0037356A"/>
    <w:rsid w:val="003738FD"/>
    <w:rsid w:val="003739B3"/>
    <w:rsid w:val="00373AA8"/>
    <w:rsid w:val="00373AAA"/>
    <w:rsid w:val="00373B0D"/>
    <w:rsid w:val="00373C09"/>
    <w:rsid w:val="00374272"/>
    <w:rsid w:val="0037442C"/>
    <w:rsid w:val="00374998"/>
    <w:rsid w:val="003749B8"/>
    <w:rsid w:val="00374DCF"/>
    <w:rsid w:val="00375097"/>
    <w:rsid w:val="00375206"/>
    <w:rsid w:val="0037524E"/>
    <w:rsid w:val="00375403"/>
    <w:rsid w:val="0037581E"/>
    <w:rsid w:val="00375897"/>
    <w:rsid w:val="00375F02"/>
    <w:rsid w:val="003760B8"/>
    <w:rsid w:val="00376645"/>
    <w:rsid w:val="0037696F"/>
    <w:rsid w:val="00376C19"/>
    <w:rsid w:val="00376DEF"/>
    <w:rsid w:val="00377072"/>
    <w:rsid w:val="00377131"/>
    <w:rsid w:val="0037735B"/>
    <w:rsid w:val="0037746A"/>
    <w:rsid w:val="003775D1"/>
    <w:rsid w:val="003776BF"/>
    <w:rsid w:val="0037773F"/>
    <w:rsid w:val="003779A4"/>
    <w:rsid w:val="003779D1"/>
    <w:rsid w:val="00377B79"/>
    <w:rsid w:val="0038022E"/>
    <w:rsid w:val="00380B79"/>
    <w:rsid w:val="00380B8C"/>
    <w:rsid w:val="00380BB9"/>
    <w:rsid w:val="00381125"/>
    <w:rsid w:val="003811B6"/>
    <w:rsid w:val="0038122B"/>
    <w:rsid w:val="00381E7F"/>
    <w:rsid w:val="00382064"/>
    <w:rsid w:val="003824CD"/>
    <w:rsid w:val="00382534"/>
    <w:rsid w:val="00382FB2"/>
    <w:rsid w:val="00383C3B"/>
    <w:rsid w:val="00384662"/>
    <w:rsid w:val="0038472D"/>
    <w:rsid w:val="00384BC3"/>
    <w:rsid w:val="00384FE7"/>
    <w:rsid w:val="003852B5"/>
    <w:rsid w:val="0038558F"/>
    <w:rsid w:val="0038568D"/>
    <w:rsid w:val="00385ABA"/>
    <w:rsid w:val="00386075"/>
    <w:rsid w:val="003861A5"/>
    <w:rsid w:val="00386272"/>
    <w:rsid w:val="003862A3"/>
    <w:rsid w:val="00386629"/>
    <w:rsid w:val="003866A9"/>
    <w:rsid w:val="00386E8F"/>
    <w:rsid w:val="003870A3"/>
    <w:rsid w:val="00387402"/>
    <w:rsid w:val="003876A7"/>
    <w:rsid w:val="003877F9"/>
    <w:rsid w:val="00387DC3"/>
    <w:rsid w:val="00387F39"/>
    <w:rsid w:val="00390152"/>
    <w:rsid w:val="00390599"/>
    <w:rsid w:val="0039061E"/>
    <w:rsid w:val="00390A57"/>
    <w:rsid w:val="00390BB2"/>
    <w:rsid w:val="00390FBE"/>
    <w:rsid w:val="0039110C"/>
    <w:rsid w:val="003916DE"/>
    <w:rsid w:val="0039175A"/>
    <w:rsid w:val="00391BEB"/>
    <w:rsid w:val="00391E97"/>
    <w:rsid w:val="003922E3"/>
    <w:rsid w:val="0039245E"/>
    <w:rsid w:val="003924D0"/>
    <w:rsid w:val="0039282A"/>
    <w:rsid w:val="00392B81"/>
    <w:rsid w:val="00392DE8"/>
    <w:rsid w:val="00392FAF"/>
    <w:rsid w:val="00393070"/>
    <w:rsid w:val="00393201"/>
    <w:rsid w:val="003933CD"/>
    <w:rsid w:val="00393A3D"/>
    <w:rsid w:val="00393BCC"/>
    <w:rsid w:val="00393BFF"/>
    <w:rsid w:val="00393C77"/>
    <w:rsid w:val="00393CB8"/>
    <w:rsid w:val="003940E4"/>
    <w:rsid w:val="00394462"/>
    <w:rsid w:val="0039466E"/>
    <w:rsid w:val="003946C6"/>
    <w:rsid w:val="003947BB"/>
    <w:rsid w:val="00394849"/>
    <w:rsid w:val="00394BE6"/>
    <w:rsid w:val="00394CDE"/>
    <w:rsid w:val="003953F2"/>
    <w:rsid w:val="00395CE8"/>
    <w:rsid w:val="00395F52"/>
    <w:rsid w:val="00396386"/>
    <w:rsid w:val="003964C8"/>
    <w:rsid w:val="003964D0"/>
    <w:rsid w:val="003965D4"/>
    <w:rsid w:val="00396FC7"/>
    <w:rsid w:val="003971B2"/>
    <w:rsid w:val="0039781F"/>
    <w:rsid w:val="00397BB0"/>
    <w:rsid w:val="00397D3F"/>
    <w:rsid w:val="003A0297"/>
    <w:rsid w:val="003A044A"/>
    <w:rsid w:val="003A06E5"/>
    <w:rsid w:val="003A0AF3"/>
    <w:rsid w:val="003A1FCF"/>
    <w:rsid w:val="003A203A"/>
    <w:rsid w:val="003A2423"/>
    <w:rsid w:val="003A253B"/>
    <w:rsid w:val="003A2C92"/>
    <w:rsid w:val="003A3150"/>
    <w:rsid w:val="003A319F"/>
    <w:rsid w:val="003A3294"/>
    <w:rsid w:val="003A33FB"/>
    <w:rsid w:val="003A3747"/>
    <w:rsid w:val="003A39E2"/>
    <w:rsid w:val="003A4197"/>
    <w:rsid w:val="003A41FD"/>
    <w:rsid w:val="003A455B"/>
    <w:rsid w:val="003A4CB3"/>
    <w:rsid w:val="003A57FD"/>
    <w:rsid w:val="003A5EE3"/>
    <w:rsid w:val="003A66F5"/>
    <w:rsid w:val="003A67BE"/>
    <w:rsid w:val="003A688A"/>
    <w:rsid w:val="003A6C71"/>
    <w:rsid w:val="003A6CD8"/>
    <w:rsid w:val="003A6DF8"/>
    <w:rsid w:val="003A7181"/>
    <w:rsid w:val="003A74E7"/>
    <w:rsid w:val="003A75E7"/>
    <w:rsid w:val="003A762D"/>
    <w:rsid w:val="003A79F7"/>
    <w:rsid w:val="003A7FD5"/>
    <w:rsid w:val="003B02B4"/>
    <w:rsid w:val="003B060C"/>
    <w:rsid w:val="003B093A"/>
    <w:rsid w:val="003B0946"/>
    <w:rsid w:val="003B0A99"/>
    <w:rsid w:val="003B0CB6"/>
    <w:rsid w:val="003B1381"/>
    <w:rsid w:val="003B192E"/>
    <w:rsid w:val="003B19BC"/>
    <w:rsid w:val="003B1E2E"/>
    <w:rsid w:val="003B21CE"/>
    <w:rsid w:val="003B2380"/>
    <w:rsid w:val="003B244D"/>
    <w:rsid w:val="003B2744"/>
    <w:rsid w:val="003B2F63"/>
    <w:rsid w:val="003B3068"/>
    <w:rsid w:val="003B3772"/>
    <w:rsid w:val="003B3DB0"/>
    <w:rsid w:val="003B3DC2"/>
    <w:rsid w:val="003B3DD7"/>
    <w:rsid w:val="003B413F"/>
    <w:rsid w:val="003B42AB"/>
    <w:rsid w:val="003B48DD"/>
    <w:rsid w:val="003B61F2"/>
    <w:rsid w:val="003B62B0"/>
    <w:rsid w:val="003B68B2"/>
    <w:rsid w:val="003B6CA1"/>
    <w:rsid w:val="003B6D8C"/>
    <w:rsid w:val="003B6FE6"/>
    <w:rsid w:val="003B7067"/>
    <w:rsid w:val="003B71A2"/>
    <w:rsid w:val="003B76C2"/>
    <w:rsid w:val="003B7B4F"/>
    <w:rsid w:val="003C0127"/>
    <w:rsid w:val="003C0231"/>
    <w:rsid w:val="003C04A1"/>
    <w:rsid w:val="003C10BA"/>
    <w:rsid w:val="003C1371"/>
    <w:rsid w:val="003C13DD"/>
    <w:rsid w:val="003C2106"/>
    <w:rsid w:val="003C2267"/>
    <w:rsid w:val="003C2742"/>
    <w:rsid w:val="003C31B8"/>
    <w:rsid w:val="003C363C"/>
    <w:rsid w:val="003C3666"/>
    <w:rsid w:val="003C3708"/>
    <w:rsid w:val="003C3800"/>
    <w:rsid w:val="003C3AB5"/>
    <w:rsid w:val="003C3FEB"/>
    <w:rsid w:val="003C42C3"/>
    <w:rsid w:val="003C47A3"/>
    <w:rsid w:val="003C4AEB"/>
    <w:rsid w:val="003C4B5A"/>
    <w:rsid w:val="003C505E"/>
    <w:rsid w:val="003C536F"/>
    <w:rsid w:val="003C54C6"/>
    <w:rsid w:val="003C5CB7"/>
    <w:rsid w:val="003C6008"/>
    <w:rsid w:val="003C6502"/>
    <w:rsid w:val="003C68EA"/>
    <w:rsid w:val="003C6997"/>
    <w:rsid w:val="003C7045"/>
    <w:rsid w:val="003C7240"/>
    <w:rsid w:val="003C7681"/>
    <w:rsid w:val="003C7710"/>
    <w:rsid w:val="003C786E"/>
    <w:rsid w:val="003C7A37"/>
    <w:rsid w:val="003C7A61"/>
    <w:rsid w:val="003C7B3A"/>
    <w:rsid w:val="003C7B6D"/>
    <w:rsid w:val="003C7F08"/>
    <w:rsid w:val="003C7F48"/>
    <w:rsid w:val="003C7F70"/>
    <w:rsid w:val="003D0001"/>
    <w:rsid w:val="003D006F"/>
    <w:rsid w:val="003D0496"/>
    <w:rsid w:val="003D0553"/>
    <w:rsid w:val="003D0926"/>
    <w:rsid w:val="003D0C15"/>
    <w:rsid w:val="003D12C1"/>
    <w:rsid w:val="003D1470"/>
    <w:rsid w:val="003D1549"/>
    <w:rsid w:val="003D1593"/>
    <w:rsid w:val="003D1810"/>
    <w:rsid w:val="003D1C0C"/>
    <w:rsid w:val="003D22D6"/>
    <w:rsid w:val="003D2663"/>
    <w:rsid w:val="003D26CC"/>
    <w:rsid w:val="003D2CD7"/>
    <w:rsid w:val="003D2D7B"/>
    <w:rsid w:val="003D325D"/>
    <w:rsid w:val="003D33A5"/>
    <w:rsid w:val="003D37F0"/>
    <w:rsid w:val="003D3A5B"/>
    <w:rsid w:val="003D3B07"/>
    <w:rsid w:val="003D3F28"/>
    <w:rsid w:val="003D420B"/>
    <w:rsid w:val="003D426E"/>
    <w:rsid w:val="003D4424"/>
    <w:rsid w:val="003D4775"/>
    <w:rsid w:val="003D4C03"/>
    <w:rsid w:val="003D4C2D"/>
    <w:rsid w:val="003D4EBA"/>
    <w:rsid w:val="003D5022"/>
    <w:rsid w:val="003D5052"/>
    <w:rsid w:val="003D52BF"/>
    <w:rsid w:val="003D55A4"/>
    <w:rsid w:val="003D5682"/>
    <w:rsid w:val="003D5CEC"/>
    <w:rsid w:val="003D5DFD"/>
    <w:rsid w:val="003D63C9"/>
    <w:rsid w:val="003D6433"/>
    <w:rsid w:val="003D6646"/>
    <w:rsid w:val="003D6932"/>
    <w:rsid w:val="003D6A5A"/>
    <w:rsid w:val="003D6CEE"/>
    <w:rsid w:val="003D6E4E"/>
    <w:rsid w:val="003D6E62"/>
    <w:rsid w:val="003D6EAD"/>
    <w:rsid w:val="003D6FA2"/>
    <w:rsid w:val="003D7133"/>
    <w:rsid w:val="003D718A"/>
    <w:rsid w:val="003D724E"/>
    <w:rsid w:val="003D74DE"/>
    <w:rsid w:val="003D75B8"/>
    <w:rsid w:val="003D77F5"/>
    <w:rsid w:val="003D7B2D"/>
    <w:rsid w:val="003E0135"/>
    <w:rsid w:val="003E03C0"/>
    <w:rsid w:val="003E0AAE"/>
    <w:rsid w:val="003E0CA8"/>
    <w:rsid w:val="003E120B"/>
    <w:rsid w:val="003E15C6"/>
    <w:rsid w:val="003E1890"/>
    <w:rsid w:val="003E19AB"/>
    <w:rsid w:val="003E1BFC"/>
    <w:rsid w:val="003E2120"/>
    <w:rsid w:val="003E21ED"/>
    <w:rsid w:val="003E236C"/>
    <w:rsid w:val="003E26D1"/>
    <w:rsid w:val="003E27F1"/>
    <w:rsid w:val="003E2AC2"/>
    <w:rsid w:val="003E2D36"/>
    <w:rsid w:val="003E3489"/>
    <w:rsid w:val="003E371F"/>
    <w:rsid w:val="003E3747"/>
    <w:rsid w:val="003E3802"/>
    <w:rsid w:val="003E3A69"/>
    <w:rsid w:val="003E3F79"/>
    <w:rsid w:val="003E4093"/>
    <w:rsid w:val="003E41F1"/>
    <w:rsid w:val="003E4231"/>
    <w:rsid w:val="003E4A75"/>
    <w:rsid w:val="003E4BDB"/>
    <w:rsid w:val="003E4C22"/>
    <w:rsid w:val="003E4F63"/>
    <w:rsid w:val="003E5272"/>
    <w:rsid w:val="003E5596"/>
    <w:rsid w:val="003E588D"/>
    <w:rsid w:val="003E58F2"/>
    <w:rsid w:val="003E5CD7"/>
    <w:rsid w:val="003E635F"/>
    <w:rsid w:val="003E649D"/>
    <w:rsid w:val="003E68FD"/>
    <w:rsid w:val="003E6C2C"/>
    <w:rsid w:val="003E70F0"/>
    <w:rsid w:val="003E71A5"/>
    <w:rsid w:val="003E7769"/>
    <w:rsid w:val="003E77CE"/>
    <w:rsid w:val="003E7851"/>
    <w:rsid w:val="003E7B5E"/>
    <w:rsid w:val="003E7B62"/>
    <w:rsid w:val="003E7CD4"/>
    <w:rsid w:val="003E7CF2"/>
    <w:rsid w:val="003E7D45"/>
    <w:rsid w:val="003E7E27"/>
    <w:rsid w:val="003F05E8"/>
    <w:rsid w:val="003F06C0"/>
    <w:rsid w:val="003F0C7B"/>
    <w:rsid w:val="003F0EB5"/>
    <w:rsid w:val="003F10B0"/>
    <w:rsid w:val="003F13DB"/>
    <w:rsid w:val="003F18B6"/>
    <w:rsid w:val="003F199E"/>
    <w:rsid w:val="003F1C24"/>
    <w:rsid w:val="003F213D"/>
    <w:rsid w:val="003F2F4B"/>
    <w:rsid w:val="003F3005"/>
    <w:rsid w:val="003F3219"/>
    <w:rsid w:val="003F39CB"/>
    <w:rsid w:val="003F3B68"/>
    <w:rsid w:val="003F3D10"/>
    <w:rsid w:val="003F3E42"/>
    <w:rsid w:val="003F3FD9"/>
    <w:rsid w:val="003F4CC9"/>
    <w:rsid w:val="003F4EA1"/>
    <w:rsid w:val="003F4EDC"/>
    <w:rsid w:val="003F4F78"/>
    <w:rsid w:val="003F56F7"/>
    <w:rsid w:val="003F5896"/>
    <w:rsid w:val="003F64EC"/>
    <w:rsid w:val="003F6EBA"/>
    <w:rsid w:val="003F7016"/>
    <w:rsid w:val="003F7127"/>
    <w:rsid w:val="003F730B"/>
    <w:rsid w:val="003F74EB"/>
    <w:rsid w:val="003F7C42"/>
    <w:rsid w:val="003F7E97"/>
    <w:rsid w:val="00400128"/>
    <w:rsid w:val="00400196"/>
    <w:rsid w:val="00400990"/>
    <w:rsid w:val="00400B26"/>
    <w:rsid w:val="00401004"/>
    <w:rsid w:val="00401026"/>
    <w:rsid w:val="004012A6"/>
    <w:rsid w:val="00401BE1"/>
    <w:rsid w:val="00401C82"/>
    <w:rsid w:val="00402302"/>
    <w:rsid w:val="004023CE"/>
    <w:rsid w:val="00402D0D"/>
    <w:rsid w:val="00403253"/>
    <w:rsid w:val="00403368"/>
    <w:rsid w:val="004034AD"/>
    <w:rsid w:val="0040375C"/>
    <w:rsid w:val="00403813"/>
    <w:rsid w:val="00403AB7"/>
    <w:rsid w:val="00403C9D"/>
    <w:rsid w:val="00404294"/>
    <w:rsid w:val="00404465"/>
    <w:rsid w:val="004046B3"/>
    <w:rsid w:val="00404719"/>
    <w:rsid w:val="00404ADF"/>
    <w:rsid w:val="00405122"/>
    <w:rsid w:val="0040525B"/>
    <w:rsid w:val="00405469"/>
    <w:rsid w:val="0040546F"/>
    <w:rsid w:val="004055C6"/>
    <w:rsid w:val="004055E6"/>
    <w:rsid w:val="00405E1C"/>
    <w:rsid w:val="00405E45"/>
    <w:rsid w:val="00406608"/>
    <w:rsid w:val="00406707"/>
    <w:rsid w:val="0040695B"/>
    <w:rsid w:val="00406AE9"/>
    <w:rsid w:val="00406B25"/>
    <w:rsid w:val="00406DCA"/>
    <w:rsid w:val="00406F05"/>
    <w:rsid w:val="00406F1F"/>
    <w:rsid w:val="00407106"/>
    <w:rsid w:val="004071F3"/>
    <w:rsid w:val="00407C1F"/>
    <w:rsid w:val="00410256"/>
    <w:rsid w:val="0041031F"/>
    <w:rsid w:val="004104C3"/>
    <w:rsid w:val="00410914"/>
    <w:rsid w:val="004109C2"/>
    <w:rsid w:val="00410EC1"/>
    <w:rsid w:val="004113A8"/>
    <w:rsid w:val="00411D3E"/>
    <w:rsid w:val="004122A7"/>
    <w:rsid w:val="004122D2"/>
    <w:rsid w:val="00412623"/>
    <w:rsid w:val="00412930"/>
    <w:rsid w:val="00412B26"/>
    <w:rsid w:val="00412FB8"/>
    <w:rsid w:val="00413255"/>
    <w:rsid w:val="00413257"/>
    <w:rsid w:val="00413285"/>
    <w:rsid w:val="004132B9"/>
    <w:rsid w:val="00413528"/>
    <w:rsid w:val="00413A95"/>
    <w:rsid w:val="00413B17"/>
    <w:rsid w:val="00413E2A"/>
    <w:rsid w:val="00413F7E"/>
    <w:rsid w:val="004146A4"/>
    <w:rsid w:val="00414A17"/>
    <w:rsid w:val="00414C0F"/>
    <w:rsid w:val="00414C88"/>
    <w:rsid w:val="00414D38"/>
    <w:rsid w:val="00414F9A"/>
    <w:rsid w:val="00415841"/>
    <w:rsid w:val="004159A4"/>
    <w:rsid w:val="00415D9E"/>
    <w:rsid w:val="004161C1"/>
    <w:rsid w:val="0041625A"/>
    <w:rsid w:val="004168C2"/>
    <w:rsid w:val="004169BA"/>
    <w:rsid w:val="00417064"/>
    <w:rsid w:val="004170FC"/>
    <w:rsid w:val="00417100"/>
    <w:rsid w:val="004173BB"/>
    <w:rsid w:val="00417535"/>
    <w:rsid w:val="004179DA"/>
    <w:rsid w:val="00420095"/>
    <w:rsid w:val="00420146"/>
    <w:rsid w:val="00420257"/>
    <w:rsid w:val="0042030A"/>
    <w:rsid w:val="004206CF"/>
    <w:rsid w:val="004208C6"/>
    <w:rsid w:val="00420AAF"/>
    <w:rsid w:val="00420FBA"/>
    <w:rsid w:val="00421022"/>
    <w:rsid w:val="00421665"/>
    <w:rsid w:val="004216B1"/>
    <w:rsid w:val="004217DB"/>
    <w:rsid w:val="0042240E"/>
    <w:rsid w:val="004226DE"/>
    <w:rsid w:val="00422BB9"/>
    <w:rsid w:val="00422C4A"/>
    <w:rsid w:val="00422FE6"/>
    <w:rsid w:val="00423184"/>
    <w:rsid w:val="004236AD"/>
    <w:rsid w:val="0042383A"/>
    <w:rsid w:val="004238B0"/>
    <w:rsid w:val="00423B3A"/>
    <w:rsid w:val="00423F95"/>
    <w:rsid w:val="004243B1"/>
    <w:rsid w:val="00424732"/>
    <w:rsid w:val="004247CE"/>
    <w:rsid w:val="00424DF0"/>
    <w:rsid w:val="004252D6"/>
    <w:rsid w:val="0042559D"/>
    <w:rsid w:val="004259D8"/>
    <w:rsid w:val="004259DA"/>
    <w:rsid w:val="00425BA0"/>
    <w:rsid w:val="00425ED3"/>
    <w:rsid w:val="00425ED9"/>
    <w:rsid w:val="0042650F"/>
    <w:rsid w:val="00426528"/>
    <w:rsid w:val="0042664B"/>
    <w:rsid w:val="0042672F"/>
    <w:rsid w:val="00426733"/>
    <w:rsid w:val="00426932"/>
    <w:rsid w:val="00426C40"/>
    <w:rsid w:val="00426DC5"/>
    <w:rsid w:val="004276D6"/>
    <w:rsid w:val="00427BFA"/>
    <w:rsid w:val="00427DC8"/>
    <w:rsid w:val="00427F12"/>
    <w:rsid w:val="004307E4"/>
    <w:rsid w:val="00430959"/>
    <w:rsid w:val="00430B63"/>
    <w:rsid w:val="0043143F"/>
    <w:rsid w:val="0043185C"/>
    <w:rsid w:val="00431C38"/>
    <w:rsid w:val="00431CD0"/>
    <w:rsid w:val="00431EFC"/>
    <w:rsid w:val="00432C40"/>
    <w:rsid w:val="00432FF6"/>
    <w:rsid w:val="004331BF"/>
    <w:rsid w:val="0043358C"/>
    <w:rsid w:val="004336A3"/>
    <w:rsid w:val="00433E8A"/>
    <w:rsid w:val="004340D4"/>
    <w:rsid w:val="0043423D"/>
    <w:rsid w:val="00434B1A"/>
    <w:rsid w:val="00434C92"/>
    <w:rsid w:val="004353F2"/>
    <w:rsid w:val="00435480"/>
    <w:rsid w:val="0043550D"/>
    <w:rsid w:val="00435618"/>
    <w:rsid w:val="00435BE7"/>
    <w:rsid w:val="00435D82"/>
    <w:rsid w:val="00435D88"/>
    <w:rsid w:val="00435EF3"/>
    <w:rsid w:val="00436411"/>
    <w:rsid w:val="00436648"/>
    <w:rsid w:val="0043688B"/>
    <w:rsid w:val="00436A11"/>
    <w:rsid w:val="00436E69"/>
    <w:rsid w:val="00436FCA"/>
    <w:rsid w:val="0043761A"/>
    <w:rsid w:val="0043769F"/>
    <w:rsid w:val="004376D4"/>
    <w:rsid w:val="00437AC0"/>
    <w:rsid w:val="00437F2F"/>
    <w:rsid w:val="00437FE9"/>
    <w:rsid w:val="0044037B"/>
    <w:rsid w:val="004403A2"/>
    <w:rsid w:val="0044075F"/>
    <w:rsid w:val="004407C1"/>
    <w:rsid w:val="00440D08"/>
    <w:rsid w:val="00440EA9"/>
    <w:rsid w:val="004415C0"/>
    <w:rsid w:val="00441B29"/>
    <w:rsid w:val="00441E19"/>
    <w:rsid w:val="00442125"/>
    <w:rsid w:val="00442160"/>
    <w:rsid w:val="0044225E"/>
    <w:rsid w:val="0044252C"/>
    <w:rsid w:val="00442CF3"/>
    <w:rsid w:val="00442E33"/>
    <w:rsid w:val="00442E49"/>
    <w:rsid w:val="00442E7E"/>
    <w:rsid w:val="00443121"/>
    <w:rsid w:val="004432DB"/>
    <w:rsid w:val="00443303"/>
    <w:rsid w:val="004439B3"/>
    <w:rsid w:val="00443A61"/>
    <w:rsid w:val="00443BF3"/>
    <w:rsid w:val="00443C14"/>
    <w:rsid w:val="00443C63"/>
    <w:rsid w:val="00443DCF"/>
    <w:rsid w:val="0044410B"/>
    <w:rsid w:val="00444A6B"/>
    <w:rsid w:val="00444A7C"/>
    <w:rsid w:val="00444C60"/>
    <w:rsid w:val="00444EE3"/>
    <w:rsid w:val="00445175"/>
    <w:rsid w:val="0044539F"/>
    <w:rsid w:val="0044554C"/>
    <w:rsid w:val="0044576F"/>
    <w:rsid w:val="00445C3A"/>
    <w:rsid w:val="00445D57"/>
    <w:rsid w:val="00446283"/>
    <w:rsid w:val="00446462"/>
    <w:rsid w:val="0044694F"/>
    <w:rsid w:val="004472E1"/>
    <w:rsid w:val="0044746F"/>
    <w:rsid w:val="004475E7"/>
    <w:rsid w:val="00447729"/>
    <w:rsid w:val="00447DFC"/>
    <w:rsid w:val="0045014E"/>
    <w:rsid w:val="004504B7"/>
    <w:rsid w:val="0045055C"/>
    <w:rsid w:val="00450663"/>
    <w:rsid w:val="004506C4"/>
    <w:rsid w:val="004512A8"/>
    <w:rsid w:val="00451310"/>
    <w:rsid w:val="00451499"/>
    <w:rsid w:val="004518F3"/>
    <w:rsid w:val="00451CE1"/>
    <w:rsid w:val="00452399"/>
    <w:rsid w:val="00452459"/>
    <w:rsid w:val="00452499"/>
    <w:rsid w:val="00452714"/>
    <w:rsid w:val="004527CC"/>
    <w:rsid w:val="00452E6E"/>
    <w:rsid w:val="00452FBB"/>
    <w:rsid w:val="00453232"/>
    <w:rsid w:val="00453581"/>
    <w:rsid w:val="00453614"/>
    <w:rsid w:val="00453850"/>
    <w:rsid w:val="00453BD5"/>
    <w:rsid w:val="00454198"/>
    <w:rsid w:val="004541F1"/>
    <w:rsid w:val="00454261"/>
    <w:rsid w:val="00454481"/>
    <w:rsid w:val="0045448B"/>
    <w:rsid w:val="004544EC"/>
    <w:rsid w:val="00454DD8"/>
    <w:rsid w:val="004552E6"/>
    <w:rsid w:val="0045626E"/>
    <w:rsid w:val="00456283"/>
    <w:rsid w:val="00456305"/>
    <w:rsid w:val="0045644D"/>
    <w:rsid w:val="00456609"/>
    <w:rsid w:val="0045669E"/>
    <w:rsid w:val="00456725"/>
    <w:rsid w:val="00456948"/>
    <w:rsid w:val="00456CC0"/>
    <w:rsid w:val="0045728A"/>
    <w:rsid w:val="00457389"/>
    <w:rsid w:val="004575F0"/>
    <w:rsid w:val="004576F1"/>
    <w:rsid w:val="0045780A"/>
    <w:rsid w:val="00457968"/>
    <w:rsid w:val="00457B75"/>
    <w:rsid w:val="00460129"/>
    <w:rsid w:val="00460146"/>
    <w:rsid w:val="00460405"/>
    <w:rsid w:val="00460CE2"/>
    <w:rsid w:val="00460CF4"/>
    <w:rsid w:val="00460D1F"/>
    <w:rsid w:val="00460EA7"/>
    <w:rsid w:val="004610C5"/>
    <w:rsid w:val="00461173"/>
    <w:rsid w:val="004612AB"/>
    <w:rsid w:val="004614C6"/>
    <w:rsid w:val="00461565"/>
    <w:rsid w:val="0046176D"/>
    <w:rsid w:val="00461891"/>
    <w:rsid w:val="00461EDD"/>
    <w:rsid w:val="00462222"/>
    <w:rsid w:val="0046224B"/>
    <w:rsid w:val="00462C9F"/>
    <w:rsid w:val="00462D13"/>
    <w:rsid w:val="00462D2F"/>
    <w:rsid w:val="00462F35"/>
    <w:rsid w:val="00463055"/>
    <w:rsid w:val="00463107"/>
    <w:rsid w:val="00463285"/>
    <w:rsid w:val="004637A4"/>
    <w:rsid w:val="00463803"/>
    <w:rsid w:val="0046389F"/>
    <w:rsid w:val="00463C9C"/>
    <w:rsid w:val="00463CC9"/>
    <w:rsid w:val="00463F84"/>
    <w:rsid w:val="00464848"/>
    <w:rsid w:val="0046497D"/>
    <w:rsid w:val="004649CB"/>
    <w:rsid w:val="00464A6F"/>
    <w:rsid w:val="00464E51"/>
    <w:rsid w:val="004650D0"/>
    <w:rsid w:val="004654F7"/>
    <w:rsid w:val="00465761"/>
    <w:rsid w:val="0046596E"/>
    <w:rsid w:val="004659BB"/>
    <w:rsid w:val="00465FF1"/>
    <w:rsid w:val="00466177"/>
    <w:rsid w:val="004666F9"/>
    <w:rsid w:val="00466867"/>
    <w:rsid w:val="0046693B"/>
    <w:rsid w:val="00466958"/>
    <w:rsid w:val="00466D5C"/>
    <w:rsid w:val="00467236"/>
    <w:rsid w:val="0046780F"/>
    <w:rsid w:val="00467E4C"/>
    <w:rsid w:val="00470A8E"/>
    <w:rsid w:val="00470DCD"/>
    <w:rsid w:val="00471220"/>
    <w:rsid w:val="004712B6"/>
    <w:rsid w:val="0047186C"/>
    <w:rsid w:val="0047197D"/>
    <w:rsid w:val="00471B6E"/>
    <w:rsid w:val="00471E43"/>
    <w:rsid w:val="0047232A"/>
    <w:rsid w:val="00472838"/>
    <w:rsid w:val="00472C8D"/>
    <w:rsid w:val="004734A1"/>
    <w:rsid w:val="004736D7"/>
    <w:rsid w:val="00473BF4"/>
    <w:rsid w:val="00473DDE"/>
    <w:rsid w:val="00473DDF"/>
    <w:rsid w:val="0047437B"/>
    <w:rsid w:val="0047446B"/>
    <w:rsid w:val="004745E0"/>
    <w:rsid w:val="0047489C"/>
    <w:rsid w:val="00474950"/>
    <w:rsid w:val="004757D2"/>
    <w:rsid w:val="00475874"/>
    <w:rsid w:val="00475F4B"/>
    <w:rsid w:val="00476A3A"/>
    <w:rsid w:val="00476F9F"/>
    <w:rsid w:val="00476FF2"/>
    <w:rsid w:val="004773FD"/>
    <w:rsid w:val="00477441"/>
    <w:rsid w:val="00477963"/>
    <w:rsid w:val="00477AE9"/>
    <w:rsid w:val="004800D6"/>
    <w:rsid w:val="00480351"/>
    <w:rsid w:val="00480384"/>
    <w:rsid w:val="004803D3"/>
    <w:rsid w:val="00480E43"/>
    <w:rsid w:val="00480E7F"/>
    <w:rsid w:val="004811B7"/>
    <w:rsid w:val="004812FE"/>
    <w:rsid w:val="00481330"/>
    <w:rsid w:val="0048174E"/>
    <w:rsid w:val="00481923"/>
    <w:rsid w:val="00481962"/>
    <w:rsid w:val="00481CC7"/>
    <w:rsid w:val="00482FA7"/>
    <w:rsid w:val="00483166"/>
    <w:rsid w:val="004839A6"/>
    <w:rsid w:val="00483C97"/>
    <w:rsid w:val="00483E6B"/>
    <w:rsid w:val="004841B6"/>
    <w:rsid w:val="0048462F"/>
    <w:rsid w:val="0048483E"/>
    <w:rsid w:val="0048495D"/>
    <w:rsid w:val="004849C2"/>
    <w:rsid w:val="004849CF"/>
    <w:rsid w:val="00484A48"/>
    <w:rsid w:val="00484F8E"/>
    <w:rsid w:val="00485453"/>
    <w:rsid w:val="0048583B"/>
    <w:rsid w:val="004858F6"/>
    <w:rsid w:val="00485A21"/>
    <w:rsid w:val="00485A41"/>
    <w:rsid w:val="00485ACB"/>
    <w:rsid w:val="00485C9D"/>
    <w:rsid w:val="00485F70"/>
    <w:rsid w:val="004862DF"/>
    <w:rsid w:val="00486E9F"/>
    <w:rsid w:val="00486FCE"/>
    <w:rsid w:val="004872AE"/>
    <w:rsid w:val="004900C7"/>
    <w:rsid w:val="0049047F"/>
    <w:rsid w:val="0049092C"/>
    <w:rsid w:val="00490BD6"/>
    <w:rsid w:val="00490D03"/>
    <w:rsid w:val="00490F72"/>
    <w:rsid w:val="00491199"/>
    <w:rsid w:val="00491615"/>
    <w:rsid w:val="00491AF5"/>
    <w:rsid w:val="00491F05"/>
    <w:rsid w:val="00491FEB"/>
    <w:rsid w:val="0049231C"/>
    <w:rsid w:val="00492608"/>
    <w:rsid w:val="00492A28"/>
    <w:rsid w:val="00492B59"/>
    <w:rsid w:val="00492BE9"/>
    <w:rsid w:val="00493143"/>
    <w:rsid w:val="004931AB"/>
    <w:rsid w:val="004933C2"/>
    <w:rsid w:val="00493718"/>
    <w:rsid w:val="00493819"/>
    <w:rsid w:val="00493959"/>
    <w:rsid w:val="00493E19"/>
    <w:rsid w:val="00494262"/>
    <w:rsid w:val="0049450F"/>
    <w:rsid w:val="004945D7"/>
    <w:rsid w:val="004945EE"/>
    <w:rsid w:val="004947A9"/>
    <w:rsid w:val="00494F1D"/>
    <w:rsid w:val="00494FC4"/>
    <w:rsid w:val="004957FD"/>
    <w:rsid w:val="00495846"/>
    <w:rsid w:val="00496357"/>
    <w:rsid w:val="00496392"/>
    <w:rsid w:val="0049645F"/>
    <w:rsid w:val="00496EC1"/>
    <w:rsid w:val="004978E4"/>
    <w:rsid w:val="00497BE1"/>
    <w:rsid w:val="00497D9C"/>
    <w:rsid w:val="00497E46"/>
    <w:rsid w:val="00497F1B"/>
    <w:rsid w:val="00497FE3"/>
    <w:rsid w:val="004A008A"/>
    <w:rsid w:val="004A10D5"/>
    <w:rsid w:val="004A12D0"/>
    <w:rsid w:val="004A1487"/>
    <w:rsid w:val="004A149B"/>
    <w:rsid w:val="004A1AB3"/>
    <w:rsid w:val="004A1D60"/>
    <w:rsid w:val="004A1F23"/>
    <w:rsid w:val="004A1F7D"/>
    <w:rsid w:val="004A1FF6"/>
    <w:rsid w:val="004A2A51"/>
    <w:rsid w:val="004A2AF8"/>
    <w:rsid w:val="004A2C6A"/>
    <w:rsid w:val="004A2FEA"/>
    <w:rsid w:val="004A3023"/>
    <w:rsid w:val="004A3177"/>
    <w:rsid w:val="004A31A0"/>
    <w:rsid w:val="004A33CB"/>
    <w:rsid w:val="004A346D"/>
    <w:rsid w:val="004A3A60"/>
    <w:rsid w:val="004A3AA6"/>
    <w:rsid w:val="004A3CAF"/>
    <w:rsid w:val="004A3D40"/>
    <w:rsid w:val="004A3E43"/>
    <w:rsid w:val="004A490F"/>
    <w:rsid w:val="004A4E40"/>
    <w:rsid w:val="004A4E4F"/>
    <w:rsid w:val="004A50FF"/>
    <w:rsid w:val="004A5374"/>
    <w:rsid w:val="004A53DB"/>
    <w:rsid w:val="004A58DE"/>
    <w:rsid w:val="004A59BE"/>
    <w:rsid w:val="004A5F29"/>
    <w:rsid w:val="004A6000"/>
    <w:rsid w:val="004A64C1"/>
    <w:rsid w:val="004A6956"/>
    <w:rsid w:val="004A69C3"/>
    <w:rsid w:val="004A6B05"/>
    <w:rsid w:val="004A6F93"/>
    <w:rsid w:val="004A771F"/>
    <w:rsid w:val="004A7799"/>
    <w:rsid w:val="004A7EA3"/>
    <w:rsid w:val="004A7FDE"/>
    <w:rsid w:val="004B021B"/>
    <w:rsid w:val="004B0245"/>
    <w:rsid w:val="004B05DD"/>
    <w:rsid w:val="004B0C3B"/>
    <w:rsid w:val="004B0F75"/>
    <w:rsid w:val="004B1470"/>
    <w:rsid w:val="004B158F"/>
    <w:rsid w:val="004B1881"/>
    <w:rsid w:val="004B1889"/>
    <w:rsid w:val="004B1B79"/>
    <w:rsid w:val="004B206D"/>
    <w:rsid w:val="004B2156"/>
    <w:rsid w:val="004B21D8"/>
    <w:rsid w:val="004B23F1"/>
    <w:rsid w:val="004B24A3"/>
    <w:rsid w:val="004B2588"/>
    <w:rsid w:val="004B2710"/>
    <w:rsid w:val="004B2919"/>
    <w:rsid w:val="004B2D87"/>
    <w:rsid w:val="004B2DC8"/>
    <w:rsid w:val="004B2E25"/>
    <w:rsid w:val="004B2F7A"/>
    <w:rsid w:val="004B3280"/>
    <w:rsid w:val="004B333A"/>
    <w:rsid w:val="004B39D4"/>
    <w:rsid w:val="004B3FC5"/>
    <w:rsid w:val="004B408D"/>
    <w:rsid w:val="004B4324"/>
    <w:rsid w:val="004B4328"/>
    <w:rsid w:val="004B44FC"/>
    <w:rsid w:val="004B53AD"/>
    <w:rsid w:val="004B56A6"/>
    <w:rsid w:val="004B5D29"/>
    <w:rsid w:val="004B6099"/>
    <w:rsid w:val="004B61CD"/>
    <w:rsid w:val="004B6318"/>
    <w:rsid w:val="004B64A8"/>
    <w:rsid w:val="004B68A1"/>
    <w:rsid w:val="004B6B5B"/>
    <w:rsid w:val="004B6ECA"/>
    <w:rsid w:val="004B6EDC"/>
    <w:rsid w:val="004B75C1"/>
    <w:rsid w:val="004B7D91"/>
    <w:rsid w:val="004B7E5B"/>
    <w:rsid w:val="004C0750"/>
    <w:rsid w:val="004C0AF4"/>
    <w:rsid w:val="004C0D14"/>
    <w:rsid w:val="004C110C"/>
    <w:rsid w:val="004C142B"/>
    <w:rsid w:val="004C1C1B"/>
    <w:rsid w:val="004C1E40"/>
    <w:rsid w:val="004C2F49"/>
    <w:rsid w:val="004C31B5"/>
    <w:rsid w:val="004C34BD"/>
    <w:rsid w:val="004C43A2"/>
    <w:rsid w:val="004C442D"/>
    <w:rsid w:val="004C4564"/>
    <w:rsid w:val="004C5BA8"/>
    <w:rsid w:val="004C623B"/>
    <w:rsid w:val="004C64BB"/>
    <w:rsid w:val="004C66C1"/>
    <w:rsid w:val="004C6980"/>
    <w:rsid w:val="004C6AB3"/>
    <w:rsid w:val="004C6EAA"/>
    <w:rsid w:val="004C7217"/>
    <w:rsid w:val="004C7736"/>
    <w:rsid w:val="004C7811"/>
    <w:rsid w:val="004C7984"/>
    <w:rsid w:val="004C7B3E"/>
    <w:rsid w:val="004C7CC7"/>
    <w:rsid w:val="004C7D26"/>
    <w:rsid w:val="004C7D90"/>
    <w:rsid w:val="004C7D93"/>
    <w:rsid w:val="004D035E"/>
    <w:rsid w:val="004D04C5"/>
    <w:rsid w:val="004D0750"/>
    <w:rsid w:val="004D0B92"/>
    <w:rsid w:val="004D0CBB"/>
    <w:rsid w:val="004D0D24"/>
    <w:rsid w:val="004D0E90"/>
    <w:rsid w:val="004D1291"/>
    <w:rsid w:val="004D14CA"/>
    <w:rsid w:val="004D17BE"/>
    <w:rsid w:val="004D1B7A"/>
    <w:rsid w:val="004D1E6D"/>
    <w:rsid w:val="004D213E"/>
    <w:rsid w:val="004D2196"/>
    <w:rsid w:val="004D221D"/>
    <w:rsid w:val="004D2299"/>
    <w:rsid w:val="004D22AA"/>
    <w:rsid w:val="004D25CE"/>
    <w:rsid w:val="004D27DB"/>
    <w:rsid w:val="004D286D"/>
    <w:rsid w:val="004D2BB1"/>
    <w:rsid w:val="004D32D3"/>
    <w:rsid w:val="004D357C"/>
    <w:rsid w:val="004D3800"/>
    <w:rsid w:val="004D39F3"/>
    <w:rsid w:val="004D3A46"/>
    <w:rsid w:val="004D3B2E"/>
    <w:rsid w:val="004D4606"/>
    <w:rsid w:val="004D4739"/>
    <w:rsid w:val="004D4B5F"/>
    <w:rsid w:val="004D57DF"/>
    <w:rsid w:val="004D5AAC"/>
    <w:rsid w:val="004D5F02"/>
    <w:rsid w:val="004D5FFF"/>
    <w:rsid w:val="004D670F"/>
    <w:rsid w:val="004D6C8C"/>
    <w:rsid w:val="004D730F"/>
    <w:rsid w:val="004D7650"/>
    <w:rsid w:val="004D77BD"/>
    <w:rsid w:val="004D7B0E"/>
    <w:rsid w:val="004E00A2"/>
    <w:rsid w:val="004E0127"/>
    <w:rsid w:val="004E0938"/>
    <w:rsid w:val="004E0E4A"/>
    <w:rsid w:val="004E1428"/>
    <w:rsid w:val="004E1AC9"/>
    <w:rsid w:val="004E1B3C"/>
    <w:rsid w:val="004E1EB8"/>
    <w:rsid w:val="004E211D"/>
    <w:rsid w:val="004E24E0"/>
    <w:rsid w:val="004E2532"/>
    <w:rsid w:val="004E25BE"/>
    <w:rsid w:val="004E28C4"/>
    <w:rsid w:val="004E2A21"/>
    <w:rsid w:val="004E2AB3"/>
    <w:rsid w:val="004E2FED"/>
    <w:rsid w:val="004E306C"/>
    <w:rsid w:val="004E341F"/>
    <w:rsid w:val="004E350E"/>
    <w:rsid w:val="004E3CB8"/>
    <w:rsid w:val="004E4229"/>
    <w:rsid w:val="004E44A0"/>
    <w:rsid w:val="004E480F"/>
    <w:rsid w:val="004E4AF6"/>
    <w:rsid w:val="004E5410"/>
    <w:rsid w:val="004E5803"/>
    <w:rsid w:val="004E5B04"/>
    <w:rsid w:val="004E5CAE"/>
    <w:rsid w:val="004E5E9B"/>
    <w:rsid w:val="004E6486"/>
    <w:rsid w:val="004E664B"/>
    <w:rsid w:val="004E6678"/>
    <w:rsid w:val="004E6845"/>
    <w:rsid w:val="004E6873"/>
    <w:rsid w:val="004E6C2A"/>
    <w:rsid w:val="004E6E66"/>
    <w:rsid w:val="004E72B6"/>
    <w:rsid w:val="004E7501"/>
    <w:rsid w:val="004E7615"/>
    <w:rsid w:val="004E7721"/>
    <w:rsid w:val="004E7D0C"/>
    <w:rsid w:val="004E7D58"/>
    <w:rsid w:val="004E7EDE"/>
    <w:rsid w:val="004E7F9A"/>
    <w:rsid w:val="004F0143"/>
    <w:rsid w:val="004F01E9"/>
    <w:rsid w:val="004F0846"/>
    <w:rsid w:val="004F10E1"/>
    <w:rsid w:val="004F186B"/>
    <w:rsid w:val="004F1AAF"/>
    <w:rsid w:val="004F1B5C"/>
    <w:rsid w:val="004F221D"/>
    <w:rsid w:val="004F23DC"/>
    <w:rsid w:val="004F23E5"/>
    <w:rsid w:val="004F24A3"/>
    <w:rsid w:val="004F2722"/>
    <w:rsid w:val="004F2FC1"/>
    <w:rsid w:val="004F35FA"/>
    <w:rsid w:val="004F3E81"/>
    <w:rsid w:val="004F3F7A"/>
    <w:rsid w:val="004F4D2E"/>
    <w:rsid w:val="004F525F"/>
    <w:rsid w:val="004F54EF"/>
    <w:rsid w:val="004F5A51"/>
    <w:rsid w:val="004F5B64"/>
    <w:rsid w:val="004F5B6E"/>
    <w:rsid w:val="004F5B89"/>
    <w:rsid w:val="004F5F22"/>
    <w:rsid w:val="004F724B"/>
    <w:rsid w:val="004F7340"/>
    <w:rsid w:val="004F7A9D"/>
    <w:rsid w:val="004F7E9E"/>
    <w:rsid w:val="005001E8"/>
    <w:rsid w:val="00500532"/>
    <w:rsid w:val="0050074E"/>
    <w:rsid w:val="0050099B"/>
    <w:rsid w:val="00500C1F"/>
    <w:rsid w:val="005011FA"/>
    <w:rsid w:val="00501500"/>
    <w:rsid w:val="00501754"/>
    <w:rsid w:val="00501970"/>
    <w:rsid w:val="0050198A"/>
    <w:rsid w:val="00501DB9"/>
    <w:rsid w:val="00502513"/>
    <w:rsid w:val="0050279A"/>
    <w:rsid w:val="00502812"/>
    <w:rsid w:val="00502A62"/>
    <w:rsid w:val="00502B1E"/>
    <w:rsid w:val="00502D46"/>
    <w:rsid w:val="00502F83"/>
    <w:rsid w:val="00503141"/>
    <w:rsid w:val="005033A5"/>
    <w:rsid w:val="00503708"/>
    <w:rsid w:val="00503810"/>
    <w:rsid w:val="00503C0E"/>
    <w:rsid w:val="00503CAC"/>
    <w:rsid w:val="00504049"/>
    <w:rsid w:val="005042C5"/>
    <w:rsid w:val="005048C2"/>
    <w:rsid w:val="00504AD2"/>
    <w:rsid w:val="00504B4E"/>
    <w:rsid w:val="00504BDA"/>
    <w:rsid w:val="00504D81"/>
    <w:rsid w:val="00504F34"/>
    <w:rsid w:val="00505004"/>
    <w:rsid w:val="00505630"/>
    <w:rsid w:val="00505745"/>
    <w:rsid w:val="00506071"/>
    <w:rsid w:val="005061F1"/>
    <w:rsid w:val="0050626D"/>
    <w:rsid w:val="0050639B"/>
    <w:rsid w:val="005063DD"/>
    <w:rsid w:val="005064C4"/>
    <w:rsid w:val="005066E5"/>
    <w:rsid w:val="00506A12"/>
    <w:rsid w:val="00506C2C"/>
    <w:rsid w:val="00506C36"/>
    <w:rsid w:val="00507104"/>
    <w:rsid w:val="00507250"/>
    <w:rsid w:val="0050728F"/>
    <w:rsid w:val="00507568"/>
    <w:rsid w:val="00507827"/>
    <w:rsid w:val="005078B7"/>
    <w:rsid w:val="00507A40"/>
    <w:rsid w:val="00507C09"/>
    <w:rsid w:val="0051008F"/>
    <w:rsid w:val="0051082A"/>
    <w:rsid w:val="00510858"/>
    <w:rsid w:val="005108CE"/>
    <w:rsid w:val="00510C62"/>
    <w:rsid w:val="00510DD6"/>
    <w:rsid w:val="005110D6"/>
    <w:rsid w:val="00511628"/>
    <w:rsid w:val="0051177E"/>
    <w:rsid w:val="005117F1"/>
    <w:rsid w:val="00511DF7"/>
    <w:rsid w:val="00511EE3"/>
    <w:rsid w:val="005124FD"/>
    <w:rsid w:val="00512550"/>
    <w:rsid w:val="0051264F"/>
    <w:rsid w:val="005129AF"/>
    <w:rsid w:val="00512A63"/>
    <w:rsid w:val="00513026"/>
    <w:rsid w:val="005134FE"/>
    <w:rsid w:val="00513975"/>
    <w:rsid w:val="00513BC4"/>
    <w:rsid w:val="005146CA"/>
    <w:rsid w:val="00514763"/>
    <w:rsid w:val="0051485A"/>
    <w:rsid w:val="00514B37"/>
    <w:rsid w:val="00514E7D"/>
    <w:rsid w:val="00514EBF"/>
    <w:rsid w:val="00515002"/>
    <w:rsid w:val="0051515B"/>
    <w:rsid w:val="00515175"/>
    <w:rsid w:val="0051518D"/>
    <w:rsid w:val="005155E8"/>
    <w:rsid w:val="00515977"/>
    <w:rsid w:val="00515AE0"/>
    <w:rsid w:val="00515DAD"/>
    <w:rsid w:val="00515E7E"/>
    <w:rsid w:val="00516529"/>
    <w:rsid w:val="0051701C"/>
    <w:rsid w:val="00517086"/>
    <w:rsid w:val="00517205"/>
    <w:rsid w:val="00517B4F"/>
    <w:rsid w:val="005207F6"/>
    <w:rsid w:val="005209D5"/>
    <w:rsid w:val="00520BFD"/>
    <w:rsid w:val="00520D83"/>
    <w:rsid w:val="00520F4F"/>
    <w:rsid w:val="005220EC"/>
    <w:rsid w:val="00522347"/>
    <w:rsid w:val="0052267C"/>
    <w:rsid w:val="00522D21"/>
    <w:rsid w:val="00522DEB"/>
    <w:rsid w:val="00522E4C"/>
    <w:rsid w:val="00522FFD"/>
    <w:rsid w:val="0052321D"/>
    <w:rsid w:val="00523C15"/>
    <w:rsid w:val="00523E46"/>
    <w:rsid w:val="00523F46"/>
    <w:rsid w:val="00523FB9"/>
    <w:rsid w:val="005241FB"/>
    <w:rsid w:val="005244DD"/>
    <w:rsid w:val="0052476D"/>
    <w:rsid w:val="005247EF"/>
    <w:rsid w:val="00524921"/>
    <w:rsid w:val="00524CBB"/>
    <w:rsid w:val="00524DB7"/>
    <w:rsid w:val="0052582B"/>
    <w:rsid w:val="00525F2E"/>
    <w:rsid w:val="005264FD"/>
    <w:rsid w:val="00526AFA"/>
    <w:rsid w:val="00526CD4"/>
    <w:rsid w:val="00527194"/>
    <w:rsid w:val="00527495"/>
    <w:rsid w:val="00527630"/>
    <w:rsid w:val="0053088D"/>
    <w:rsid w:val="0053092C"/>
    <w:rsid w:val="00530DD2"/>
    <w:rsid w:val="00530DE9"/>
    <w:rsid w:val="00530F2D"/>
    <w:rsid w:val="00531310"/>
    <w:rsid w:val="00531406"/>
    <w:rsid w:val="00531870"/>
    <w:rsid w:val="00531C12"/>
    <w:rsid w:val="005326BA"/>
    <w:rsid w:val="0053317F"/>
    <w:rsid w:val="0053330D"/>
    <w:rsid w:val="00533428"/>
    <w:rsid w:val="00533711"/>
    <w:rsid w:val="00533817"/>
    <w:rsid w:val="00533828"/>
    <w:rsid w:val="005339AF"/>
    <w:rsid w:val="00533F38"/>
    <w:rsid w:val="00534172"/>
    <w:rsid w:val="00534A61"/>
    <w:rsid w:val="0053508E"/>
    <w:rsid w:val="005351A1"/>
    <w:rsid w:val="005352FE"/>
    <w:rsid w:val="00535573"/>
    <w:rsid w:val="00535EA2"/>
    <w:rsid w:val="00535FE4"/>
    <w:rsid w:val="00536181"/>
    <w:rsid w:val="00536281"/>
    <w:rsid w:val="0053694B"/>
    <w:rsid w:val="00536B2C"/>
    <w:rsid w:val="00536FCD"/>
    <w:rsid w:val="0053702A"/>
    <w:rsid w:val="005374FE"/>
    <w:rsid w:val="005375F4"/>
    <w:rsid w:val="00537704"/>
    <w:rsid w:val="0053780A"/>
    <w:rsid w:val="005378BA"/>
    <w:rsid w:val="00537920"/>
    <w:rsid w:val="00537A9F"/>
    <w:rsid w:val="0054018C"/>
    <w:rsid w:val="0054036C"/>
    <w:rsid w:val="005408DF"/>
    <w:rsid w:val="00540A3C"/>
    <w:rsid w:val="00540AA2"/>
    <w:rsid w:val="00540B31"/>
    <w:rsid w:val="00540F7A"/>
    <w:rsid w:val="005411BD"/>
    <w:rsid w:val="0054127C"/>
    <w:rsid w:val="005416D8"/>
    <w:rsid w:val="00542073"/>
    <w:rsid w:val="005422E7"/>
    <w:rsid w:val="00542701"/>
    <w:rsid w:val="0054298C"/>
    <w:rsid w:val="00542AA3"/>
    <w:rsid w:val="00542BA7"/>
    <w:rsid w:val="00542E68"/>
    <w:rsid w:val="00542E6C"/>
    <w:rsid w:val="005431B8"/>
    <w:rsid w:val="0054363A"/>
    <w:rsid w:val="0054399B"/>
    <w:rsid w:val="00543D8A"/>
    <w:rsid w:val="005441AC"/>
    <w:rsid w:val="00544541"/>
    <w:rsid w:val="005447F4"/>
    <w:rsid w:val="0054497D"/>
    <w:rsid w:val="005450CB"/>
    <w:rsid w:val="005454E3"/>
    <w:rsid w:val="00545B0A"/>
    <w:rsid w:val="00545C50"/>
    <w:rsid w:val="00545DF3"/>
    <w:rsid w:val="005461C1"/>
    <w:rsid w:val="00546378"/>
    <w:rsid w:val="005463DE"/>
    <w:rsid w:val="00546BC8"/>
    <w:rsid w:val="00546BE1"/>
    <w:rsid w:val="00546C59"/>
    <w:rsid w:val="00546E5A"/>
    <w:rsid w:val="00547154"/>
    <w:rsid w:val="00547208"/>
    <w:rsid w:val="0054766B"/>
    <w:rsid w:val="0054773B"/>
    <w:rsid w:val="005477BE"/>
    <w:rsid w:val="00547B8F"/>
    <w:rsid w:val="005500C7"/>
    <w:rsid w:val="0055013D"/>
    <w:rsid w:val="0055033F"/>
    <w:rsid w:val="00550565"/>
    <w:rsid w:val="00550AC9"/>
    <w:rsid w:val="00551403"/>
    <w:rsid w:val="0055141A"/>
    <w:rsid w:val="005514A2"/>
    <w:rsid w:val="0055154E"/>
    <w:rsid w:val="00551669"/>
    <w:rsid w:val="005516F7"/>
    <w:rsid w:val="00551A11"/>
    <w:rsid w:val="00552062"/>
    <w:rsid w:val="005522B2"/>
    <w:rsid w:val="005525F5"/>
    <w:rsid w:val="00552721"/>
    <w:rsid w:val="00552ACB"/>
    <w:rsid w:val="00552EF1"/>
    <w:rsid w:val="0055325C"/>
    <w:rsid w:val="005535BB"/>
    <w:rsid w:val="005535E4"/>
    <w:rsid w:val="005536C2"/>
    <w:rsid w:val="00553D26"/>
    <w:rsid w:val="00553DDA"/>
    <w:rsid w:val="00553F59"/>
    <w:rsid w:val="00553F99"/>
    <w:rsid w:val="00554049"/>
    <w:rsid w:val="00554835"/>
    <w:rsid w:val="00554F1E"/>
    <w:rsid w:val="00554FD4"/>
    <w:rsid w:val="005552AF"/>
    <w:rsid w:val="0055555A"/>
    <w:rsid w:val="0055580C"/>
    <w:rsid w:val="005565E1"/>
    <w:rsid w:val="0055662F"/>
    <w:rsid w:val="00556A14"/>
    <w:rsid w:val="00556A30"/>
    <w:rsid w:val="00556C97"/>
    <w:rsid w:val="0055703D"/>
    <w:rsid w:val="00557105"/>
    <w:rsid w:val="005571C8"/>
    <w:rsid w:val="005572CC"/>
    <w:rsid w:val="0055751D"/>
    <w:rsid w:val="00557E04"/>
    <w:rsid w:val="00557E12"/>
    <w:rsid w:val="00560386"/>
    <w:rsid w:val="0056089D"/>
    <w:rsid w:val="00560E06"/>
    <w:rsid w:val="00560EFA"/>
    <w:rsid w:val="00561311"/>
    <w:rsid w:val="00561944"/>
    <w:rsid w:val="00561F1F"/>
    <w:rsid w:val="00561F88"/>
    <w:rsid w:val="00561F8D"/>
    <w:rsid w:val="0056202D"/>
    <w:rsid w:val="00562095"/>
    <w:rsid w:val="005622A1"/>
    <w:rsid w:val="005623A7"/>
    <w:rsid w:val="0056318F"/>
    <w:rsid w:val="00563524"/>
    <w:rsid w:val="0056372D"/>
    <w:rsid w:val="00563834"/>
    <w:rsid w:val="00563937"/>
    <w:rsid w:val="00563A1A"/>
    <w:rsid w:val="00563AC8"/>
    <w:rsid w:val="00563C02"/>
    <w:rsid w:val="005641CF"/>
    <w:rsid w:val="0056450F"/>
    <w:rsid w:val="00564571"/>
    <w:rsid w:val="005648AE"/>
    <w:rsid w:val="00564973"/>
    <w:rsid w:val="00564C67"/>
    <w:rsid w:val="00564D0C"/>
    <w:rsid w:val="00564DA4"/>
    <w:rsid w:val="00564ED2"/>
    <w:rsid w:val="00565886"/>
    <w:rsid w:val="005659EE"/>
    <w:rsid w:val="00565B2D"/>
    <w:rsid w:val="00565B6B"/>
    <w:rsid w:val="00565E13"/>
    <w:rsid w:val="0056654A"/>
    <w:rsid w:val="00566653"/>
    <w:rsid w:val="0056674C"/>
    <w:rsid w:val="005667CA"/>
    <w:rsid w:val="0056701E"/>
    <w:rsid w:val="005673D1"/>
    <w:rsid w:val="0056747E"/>
    <w:rsid w:val="00567773"/>
    <w:rsid w:val="005677E0"/>
    <w:rsid w:val="00567BB2"/>
    <w:rsid w:val="00567FE8"/>
    <w:rsid w:val="00570111"/>
    <w:rsid w:val="005701E4"/>
    <w:rsid w:val="0057062A"/>
    <w:rsid w:val="005709A5"/>
    <w:rsid w:val="00570E3E"/>
    <w:rsid w:val="00570FF5"/>
    <w:rsid w:val="00571010"/>
    <w:rsid w:val="00571784"/>
    <w:rsid w:val="005724A4"/>
    <w:rsid w:val="005724D2"/>
    <w:rsid w:val="005725B9"/>
    <w:rsid w:val="00572620"/>
    <w:rsid w:val="00572816"/>
    <w:rsid w:val="00572C2F"/>
    <w:rsid w:val="00573748"/>
    <w:rsid w:val="00573776"/>
    <w:rsid w:val="00573869"/>
    <w:rsid w:val="00573B35"/>
    <w:rsid w:val="00573ED5"/>
    <w:rsid w:val="0057480A"/>
    <w:rsid w:val="00574C08"/>
    <w:rsid w:val="00574D64"/>
    <w:rsid w:val="00574E8B"/>
    <w:rsid w:val="0057521A"/>
    <w:rsid w:val="005752E4"/>
    <w:rsid w:val="005754FB"/>
    <w:rsid w:val="00575898"/>
    <w:rsid w:val="00575A88"/>
    <w:rsid w:val="00575F59"/>
    <w:rsid w:val="00576188"/>
    <w:rsid w:val="00576790"/>
    <w:rsid w:val="005768CB"/>
    <w:rsid w:val="00576B10"/>
    <w:rsid w:val="00576C27"/>
    <w:rsid w:val="00576C33"/>
    <w:rsid w:val="00577005"/>
    <w:rsid w:val="00577553"/>
    <w:rsid w:val="005776E0"/>
    <w:rsid w:val="005779F5"/>
    <w:rsid w:val="00577E80"/>
    <w:rsid w:val="005805F0"/>
    <w:rsid w:val="005806A8"/>
    <w:rsid w:val="005806ED"/>
    <w:rsid w:val="0058083B"/>
    <w:rsid w:val="00581167"/>
    <w:rsid w:val="0058195A"/>
    <w:rsid w:val="005819CF"/>
    <w:rsid w:val="00581AC0"/>
    <w:rsid w:val="00581F5F"/>
    <w:rsid w:val="00582024"/>
    <w:rsid w:val="005823D0"/>
    <w:rsid w:val="00582427"/>
    <w:rsid w:val="0058251C"/>
    <w:rsid w:val="005828D2"/>
    <w:rsid w:val="005828D9"/>
    <w:rsid w:val="00582C7D"/>
    <w:rsid w:val="00582EA0"/>
    <w:rsid w:val="005840BA"/>
    <w:rsid w:val="0058411C"/>
    <w:rsid w:val="005842EF"/>
    <w:rsid w:val="00584365"/>
    <w:rsid w:val="00584419"/>
    <w:rsid w:val="00584444"/>
    <w:rsid w:val="00584485"/>
    <w:rsid w:val="005844B3"/>
    <w:rsid w:val="00584F6C"/>
    <w:rsid w:val="00585430"/>
    <w:rsid w:val="00585D7D"/>
    <w:rsid w:val="0058608C"/>
    <w:rsid w:val="005868C9"/>
    <w:rsid w:val="00586999"/>
    <w:rsid w:val="00586A07"/>
    <w:rsid w:val="00587001"/>
    <w:rsid w:val="00587009"/>
    <w:rsid w:val="00587294"/>
    <w:rsid w:val="0058746C"/>
    <w:rsid w:val="00587607"/>
    <w:rsid w:val="005876AF"/>
    <w:rsid w:val="005876FA"/>
    <w:rsid w:val="005879FB"/>
    <w:rsid w:val="005900A8"/>
    <w:rsid w:val="00590101"/>
    <w:rsid w:val="005906BE"/>
    <w:rsid w:val="00590AC8"/>
    <w:rsid w:val="00590AC9"/>
    <w:rsid w:val="00590B36"/>
    <w:rsid w:val="00591056"/>
    <w:rsid w:val="0059112C"/>
    <w:rsid w:val="00591375"/>
    <w:rsid w:val="005918D0"/>
    <w:rsid w:val="00591AB5"/>
    <w:rsid w:val="00591B7B"/>
    <w:rsid w:val="00591CAB"/>
    <w:rsid w:val="00591D94"/>
    <w:rsid w:val="005920F0"/>
    <w:rsid w:val="00592353"/>
    <w:rsid w:val="0059245C"/>
    <w:rsid w:val="00592542"/>
    <w:rsid w:val="00592582"/>
    <w:rsid w:val="005925C5"/>
    <w:rsid w:val="005926EC"/>
    <w:rsid w:val="00592872"/>
    <w:rsid w:val="00592BC3"/>
    <w:rsid w:val="005938BA"/>
    <w:rsid w:val="0059405A"/>
    <w:rsid w:val="0059415F"/>
    <w:rsid w:val="0059446B"/>
    <w:rsid w:val="0059450F"/>
    <w:rsid w:val="00594DDB"/>
    <w:rsid w:val="00595159"/>
    <w:rsid w:val="005951C8"/>
    <w:rsid w:val="00595289"/>
    <w:rsid w:val="005953F0"/>
    <w:rsid w:val="00595B22"/>
    <w:rsid w:val="005962CD"/>
    <w:rsid w:val="005966D4"/>
    <w:rsid w:val="00596F1A"/>
    <w:rsid w:val="00596F3B"/>
    <w:rsid w:val="00596F6A"/>
    <w:rsid w:val="00597222"/>
    <w:rsid w:val="0059755B"/>
    <w:rsid w:val="005975B7"/>
    <w:rsid w:val="005976A8"/>
    <w:rsid w:val="00597A07"/>
    <w:rsid w:val="005A0467"/>
    <w:rsid w:val="005A0BB4"/>
    <w:rsid w:val="005A1045"/>
    <w:rsid w:val="005A135D"/>
    <w:rsid w:val="005A183F"/>
    <w:rsid w:val="005A1BB7"/>
    <w:rsid w:val="005A1D32"/>
    <w:rsid w:val="005A22A7"/>
    <w:rsid w:val="005A24BD"/>
    <w:rsid w:val="005A251F"/>
    <w:rsid w:val="005A2BD2"/>
    <w:rsid w:val="005A2C9C"/>
    <w:rsid w:val="005A2F67"/>
    <w:rsid w:val="005A37A3"/>
    <w:rsid w:val="005A3CD0"/>
    <w:rsid w:val="005A3D8B"/>
    <w:rsid w:val="005A4B43"/>
    <w:rsid w:val="005A4DF6"/>
    <w:rsid w:val="005A5123"/>
    <w:rsid w:val="005A5466"/>
    <w:rsid w:val="005A599B"/>
    <w:rsid w:val="005A6211"/>
    <w:rsid w:val="005A648F"/>
    <w:rsid w:val="005A652E"/>
    <w:rsid w:val="005A6780"/>
    <w:rsid w:val="005A6B07"/>
    <w:rsid w:val="005A6E6A"/>
    <w:rsid w:val="005A6F61"/>
    <w:rsid w:val="005A6F82"/>
    <w:rsid w:val="005A743C"/>
    <w:rsid w:val="005A7813"/>
    <w:rsid w:val="005A7BB1"/>
    <w:rsid w:val="005A7BD2"/>
    <w:rsid w:val="005B0407"/>
    <w:rsid w:val="005B05FA"/>
    <w:rsid w:val="005B09B0"/>
    <w:rsid w:val="005B0A01"/>
    <w:rsid w:val="005B0AF4"/>
    <w:rsid w:val="005B0F81"/>
    <w:rsid w:val="005B1090"/>
    <w:rsid w:val="005B175A"/>
    <w:rsid w:val="005B17AB"/>
    <w:rsid w:val="005B19E3"/>
    <w:rsid w:val="005B1A78"/>
    <w:rsid w:val="005B1C89"/>
    <w:rsid w:val="005B1C8C"/>
    <w:rsid w:val="005B1E40"/>
    <w:rsid w:val="005B1E86"/>
    <w:rsid w:val="005B2301"/>
    <w:rsid w:val="005B261A"/>
    <w:rsid w:val="005B26E3"/>
    <w:rsid w:val="005B289F"/>
    <w:rsid w:val="005B2AE1"/>
    <w:rsid w:val="005B35CB"/>
    <w:rsid w:val="005B3833"/>
    <w:rsid w:val="005B3E27"/>
    <w:rsid w:val="005B44A1"/>
    <w:rsid w:val="005B47D1"/>
    <w:rsid w:val="005B4C0F"/>
    <w:rsid w:val="005B4E05"/>
    <w:rsid w:val="005B548C"/>
    <w:rsid w:val="005B563F"/>
    <w:rsid w:val="005B6187"/>
    <w:rsid w:val="005B683A"/>
    <w:rsid w:val="005B6ED7"/>
    <w:rsid w:val="005B7168"/>
    <w:rsid w:val="005B76D6"/>
    <w:rsid w:val="005B76FC"/>
    <w:rsid w:val="005B7950"/>
    <w:rsid w:val="005B7BEF"/>
    <w:rsid w:val="005B7C28"/>
    <w:rsid w:val="005B7CBA"/>
    <w:rsid w:val="005C0008"/>
    <w:rsid w:val="005C0053"/>
    <w:rsid w:val="005C0159"/>
    <w:rsid w:val="005C05DF"/>
    <w:rsid w:val="005C0B0D"/>
    <w:rsid w:val="005C0E7F"/>
    <w:rsid w:val="005C102D"/>
    <w:rsid w:val="005C1430"/>
    <w:rsid w:val="005C14F7"/>
    <w:rsid w:val="005C1711"/>
    <w:rsid w:val="005C1E57"/>
    <w:rsid w:val="005C2862"/>
    <w:rsid w:val="005C292A"/>
    <w:rsid w:val="005C2A40"/>
    <w:rsid w:val="005C32C3"/>
    <w:rsid w:val="005C3368"/>
    <w:rsid w:val="005C38EF"/>
    <w:rsid w:val="005C3C07"/>
    <w:rsid w:val="005C41F4"/>
    <w:rsid w:val="005C4215"/>
    <w:rsid w:val="005C4294"/>
    <w:rsid w:val="005C47A4"/>
    <w:rsid w:val="005C47B2"/>
    <w:rsid w:val="005C4D69"/>
    <w:rsid w:val="005C4E02"/>
    <w:rsid w:val="005C4F7B"/>
    <w:rsid w:val="005C5127"/>
    <w:rsid w:val="005C520D"/>
    <w:rsid w:val="005C5503"/>
    <w:rsid w:val="005C576E"/>
    <w:rsid w:val="005C60F3"/>
    <w:rsid w:val="005C619A"/>
    <w:rsid w:val="005C62E5"/>
    <w:rsid w:val="005C6578"/>
    <w:rsid w:val="005C6595"/>
    <w:rsid w:val="005C703C"/>
    <w:rsid w:val="005C7130"/>
    <w:rsid w:val="005C735C"/>
    <w:rsid w:val="005C7440"/>
    <w:rsid w:val="005C7477"/>
    <w:rsid w:val="005C798E"/>
    <w:rsid w:val="005C7A6A"/>
    <w:rsid w:val="005C7AC0"/>
    <w:rsid w:val="005C7D15"/>
    <w:rsid w:val="005C7F20"/>
    <w:rsid w:val="005D0165"/>
    <w:rsid w:val="005D041C"/>
    <w:rsid w:val="005D0952"/>
    <w:rsid w:val="005D0C1B"/>
    <w:rsid w:val="005D0CB0"/>
    <w:rsid w:val="005D0D0D"/>
    <w:rsid w:val="005D107A"/>
    <w:rsid w:val="005D1C26"/>
    <w:rsid w:val="005D1C6D"/>
    <w:rsid w:val="005D20DC"/>
    <w:rsid w:val="005D2116"/>
    <w:rsid w:val="005D22C6"/>
    <w:rsid w:val="005D25D1"/>
    <w:rsid w:val="005D2600"/>
    <w:rsid w:val="005D265E"/>
    <w:rsid w:val="005D26CE"/>
    <w:rsid w:val="005D29C4"/>
    <w:rsid w:val="005D35DC"/>
    <w:rsid w:val="005D3629"/>
    <w:rsid w:val="005D3EB4"/>
    <w:rsid w:val="005D3F9C"/>
    <w:rsid w:val="005D466E"/>
    <w:rsid w:val="005D4A45"/>
    <w:rsid w:val="005D4EA5"/>
    <w:rsid w:val="005D4F2E"/>
    <w:rsid w:val="005D505C"/>
    <w:rsid w:val="005D511A"/>
    <w:rsid w:val="005D5574"/>
    <w:rsid w:val="005D57DB"/>
    <w:rsid w:val="005D59A2"/>
    <w:rsid w:val="005D5F67"/>
    <w:rsid w:val="005D5FD0"/>
    <w:rsid w:val="005D622F"/>
    <w:rsid w:val="005D6254"/>
    <w:rsid w:val="005D64F7"/>
    <w:rsid w:val="005D6753"/>
    <w:rsid w:val="005D6ADF"/>
    <w:rsid w:val="005D6B6F"/>
    <w:rsid w:val="005D6BC8"/>
    <w:rsid w:val="005D6DF0"/>
    <w:rsid w:val="005D7364"/>
    <w:rsid w:val="005D74C3"/>
    <w:rsid w:val="005D7F23"/>
    <w:rsid w:val="005E00A4"/>
    <w:rsid w:val="005E0158"/>
    <w:rsid w:val="005E0FEC"/>
    <w:rsid w:val="005E12D6"/>
    <w:rsid w:val="005E13F2"/>
    <w:rsid w:val="005E15D5"/>
    <w:rsid w:val="005E171B"/>
    <w:rsid w:val="005E18F9"/>
    <w:rsid w:val="005E222A"/>
    <w:rsid w:val="005E2263"/>
    <w:rsid w:val="005E255B"/>
    <w:rsid w:val="005E2A2D"/>
    <w:rsid w:val="005E2B03"/>
    <w:rsid w:val="005E2C18"/>
    <w:rsid w:val="005E2D11"/>
    <w:rsid w:val="005E30C4"/>
    <w:rsid w:val="005E3B85"/>
    <w:rsid w:val="005E4416"/>
    <w:rsid w:val="005E4892"/>
    <w:rsid w:val="005E4AE3"/>
    <w:rsid w:val="005E4CFB"/>
    <w:rsid w:val="005E5095"/>
    <w:rsid w:val="005E50FD"/>
    <w:rsid w:val="005E5250"/>
    <w:rsid w:val="005E5439"/>
    <w:rsid w:val="005E559C"/>
    <w:rsid w:val="005E5E6C"/>
    <w:rsid w:val="005E604E"/>
    <w:rsid w:val="005E64B3"/>
    <w:rsid w:val="005E680D"/>
    <w:rsid w:val="005E6919"/>
    <w:rsid w:val="005E691D"/>
    <w:rsid w:val="005E7017"/>
    <w:rsid w:val="005E70B3"/>
    <w:rsid w:val="005E70BE"/>
    <w:rsid w:val="005E7970"/>
    <w:rsid w:val="005F0283"/>
    <w:rsid w:val="005F031E"/>
    <w:rsid w:val="005F0966"/>
    <w:rsid w:val="005F0D1C"/>
    <w:rsid w:val="005F0EA8"/>
    <w:rsid w:val="005F123F"/>
    <w:rsid w:val="005F177C"/>
    <w:rsid w:val="005F1C03"/>
    <w:rsid w:val="005F1CFB"/>
    <w:rsid w:val="005F1DF5"/>
    <w:rsid w:val="005F1E67"/>
    <w:rsid w:val="005F2281"/>
    <w:rsid w:val="005F23C5"/>
    <w:rsid w:val="005F26D7"/>
    <w:rsid w:val="005F276D"/>
    <w:rsid w:val="005F2F73"/>
    <w:rsid w:val="005F2F8D"/>
    <w:rsid w:val="005F3009"/>
    <w:rsid w:val="005F34FC"/>
    <w:rsid w:val="005F3713"/>
    <w:rsid w:val="005F3778"/>
    <w:rsid w:val="005F38C4"/>
    <w:rsid w:val="005F3C3D"/>
    <w:rsid w:val="005F3F9B"/>
    <w:rsid w:val="005F3FB5"/>
    <w:rsid w:val="005F4188"/>
    <w:rsid w:val="005F4FF7"/>
    <w:rsid w:val="005F4FFF"/>
    <w:rsid w:val="005F52A0"/>
    <w:rsid w:val="005F531B"/>
    <w:rsid w:val="005F5396"/>
    <w:rsid w:val="005F5430"/>
    <w:rsid w:val="005F55EF"/>
    <w:rsid w:val="005F560A"/>
    <w:rsid w:val="005F573D"/>
    <w:rsid w:val="005F5789"/>
    <w:rsid w:val="005F5B09"/>
    <w:rsid w:val="005F6247"/>
    <w:rsid w:val="005F62B9"/>
    <w:rsid w:val="005F63D2"/>
    <w:rsid w:val="005F6CE4"/>
    <w:rsid w:val="005F6F15"/>
    <w:rsid w:val="005F6FF6"/>
    <w:rsid w:val="005F75E8"/>
    <w:rsid w:val="005F7B4D"/>
    <w:rsid w:val="006000DC"/>
    <w:rsid w:val="0060013B"/>
    <w:rsid w:val="0060019E"/>
    <w:rsid w:val="00600295"/>
    <w:rsid w:val="006003F1"/>
    <w:rsid w:val="006006F4"/>
    <w:rsid w:val="00600B59"/>
    <w:rsid w:val="00600F9D"/>
    <w:rsid w:val="0060183A"/>
    <w:rsid w:val="006018E3"/>
    <w:rsid w:val="00601B3D"/>
    <w:rsid w:val="00602403"/>
    <w:rsid w:val="00602AEB"/>
    <w:rsid w:val="00602D90"/>
    <w:rsid w:val="006032D8"/>
    <w:rsid w:val="0060350D"/>
    <w:rsid w:val="006037E3"/>
    <w:rsid w:val="0060492D"/>
    <w:rsid w:val="006049DA"/>
    <w:rsid w:val="00604D31"/>
    <w:rsid w:val="00604E70"/>
    <w:rsid w:val="006053AD"/>
    <w:rsid w:val="00605DC9"/>
    <w:rsid w:val="006068C3"/>
    <w:rsid w:val="00606ADE"/>
    <w:rsid w:val="00606ED2"/>
    <w:rsid w:val="00607229"/>
    <w:rsid w:val="00607C42"/>
    <w:rsid w:val="00610600"/>
    <w:rsid w:val="0061068A"/>
    <w:rsid w:val="00610709"/>
    <w:rsid w:val="00610715"/>
    <w:rsid w:val="00610F0C"/>
    <w:rsid w:val="00610FE6"/>
    <w:rsid w:val="00611137"/>
    <w:rsid w:val="00611153"/>
    <w:rsid w:val="00611189"/>
    <w:rsid w:val="0061186D"/>
    <w:rsid w:val="00611C69"/>
    <w:rsid w:val="00611D3F"/>
    <w:rsid w:val="00611D78"/>
    <w:rsid w:val="00611E49"/>
    <w:rsid w:val="00611F7C"/>
    <w:rsid w:val="006123FE"/>
    <w:rsid w:val="0061241A"/>
    <w:rsid w:val="00612AB5"/>
    <w:rsid w:val="00612B7B"/>
    <w:rsid w:val="00612C2F"/>
    <w:rsid w:val="00612DDA"/>
    <w:rsid w:val="00612DDE"/>
    <w:rsid w:val="00612E57"/>
    <w:rsid w:val="006137DD"/>
    <w:rsid w:val="00613C42"/>
    <w:rsid w:val="00613DF5"/>
    <w:rsid w:val="00613EBD"/>
    <w:rsid w:val="00614331"/>
    <w:rsid w:val="00614709"/>
    <w:rsid w:val="0061484F"/>
    <w:rsid w:val="00614C27"/>
    <w:rsid w:val="00614F3D"/>
    <w:rsid w:val="0061509B"/>
    <w:rsid w:val="00615446"/>
    <w:rsid w:val="00615AAB"/>
    <w:rsid w:val="00616678"/>
    <w:rsid w:val="00616BAA"/>
    <w:rsid w:val="00616F9F"/>
    <w:rsid w:val="00617179"/>
    <w:rsid w:val="006171A4"/>
    <w:rsid w:val="0061722E"/>
    <w:rsid w:val="006172CB"/>
    <w:rsid w:val="006178C5"/>
    <w:rsid w:val="0061794C"/>
    <w:rsid w:val="00617C2D"/>
    <w:rsid w:val="0062021F"/>
    <w:rsid w:val="0062031B"/>
    <w:rsid w:val="00620703"/>
    <w:rsid w:val="00620866"/>
    <w:rsid w:val="00620CC9"/>
    <w:rsid w:val="00620E84"/>
    <w:rsid w:val="00620F1D"/>
    <w:rsid w:val="006210E5"/>
    <w:rsid w:val="00621302"/>
    <w:rsid w:val="006213E1"/>
    <w:rsid w:val="00621689"/>
    <w:rsid w:val="00621E10"/>
    <w:rsid w:val="00621F56"/>
    <w:rsid w:val="0062223A"/>
    <w:rsid w:val="00622284"/>
    <w:rsid w:val="0062280A"/>
    <w:rsid w:val="006228D2"/>
    <w:rsid w:val="00622C52"/>
    <w:rsid w:val="00622D3E"/>
    <w:rsid w:val="00623023"/>
    <w:rsid w:val="00623395"/>
    <w:rsid w:val="006233C5"/>
    <w:rsid w:val="0062390F"/>
    <w:rsid w:val="00623A63"/>
    <w:rsid w:val="00623ACB"/>
    <w:rsid w:val="00623C7E"/>
    <w:rsid w:val="00623E70"/>
    <w:rsid w:val="00623FEE"/>
    <w:rsid w:val="00624A08"/>
    <w:rsid w:val="006251F0"/>
    <w:rsid w:val="006257AA"/>
    <w:rsid w:val="00625829"/>
    <w:rsid w:val="00625A7E"/>
    <w:rsid w:val="00625A81"/>
    <w:rsid w:val="00625B80"/>
    <w:rsid w:val="00625C4B"/>
    <w:rsid w:val="00625D21"/>
    <w:rsid w:val="0062602D"/>
    <w:rsid w:val="006260E6"/>
    <w:rsid w:val="006267F3"/>
    <w:rsid w:val="00626C2E"/>
    <w:rsid w:val="00626DB7"/>
    <w:rsid w:val="00627098"/>
    <w:rsid w:val="00627524"/>
    <w:rsid w:val="006278B5"/>
    <w:rsid w:val="00627E22"/>
    <w:rsid w:val="00627F38"/>
    <w:rsid w:val="00630088"/>
    <w:rsid w:val="00630268"/>
    <w:rsid w:val="006303B0"/>
    <w:rsid w:val="00630ECB"/>
    <w:rsid w:val="00630F19"/>
    <w:rsid w:val="006315B4"/>
    <w:rsid w:val="00631916"/>
    <w:rsid w:val="00631B33"/>
    <w:rsid w:val="00631B3A"/>
    <w:rsid w:val="00631EAE"/>
    <w:rsid w:val="00632894"/>
    <w:rsid w:val="00632AA6"/>
    <w:rsid w:val="00632D9F"/>
    <w:rsid w:val="00632E6D"/>
    <w:rsid w:val="00633079"/>
    <w:rsid w:val="00633089"/>
    <w:rsid w:val="00633128"/>
    <w:rsid w:val="00634077"/>
    <w:rsid w:val="00634367"/>
    <w:rsid w:val="0063442C"/>
    <w:rsid w:val="006347DF"/>
    <w:rsid w:val="00634A7D"/>
    <w:rsid w:val="00635178"/>
    <w:rsid w:val="006351D8"/>
    <w:rsid w:val="00635520"/>
    <w:rsid w:val="006359B6"/>
    <w:rsid w:val="00635D64"/>
    <w:rsid w:val="00635F7E"/>
    <w:rsid w:val="0063670E"/>
    <w:rsid w:val="006368B4"/>
    <w:rsid w:val="00636C46"/>
    <w:rsid w:val="00636F8E"/>
    <w:rsid w:val="0063721E"/>
    <w:rsid w:val="00637275"/>
    <w:rsid w:val="006375CF"/>
    <w:rsid w:val="00637DE0"/>
    <w:rsid w:val="00640494"/>
    <w:rsid w:val="00640640"/>
    <w:rsid w:val="00640B1E"/>
    <w:rsid w:val="00640C2A"/>
    <w:rsid w:val="00640DB8"/>
    <w:rsid w:val="00641044"/>
    <w:rsid w:val="00641DD1"/>
    <w:rsid w:val="00641F1C"/>
    <w:rsid w:val="00642308"/>
    <w:rsid w:val="006423DB"/>
    <w:rsid w:val="006425DD"/>
    <w:rsid w:val="00642608"/>
    <w:rsid w:val="00642840"/>
    <w:rsid w:val="00642BDD"/>
    <w:rsid w:val="006431AA"/>
    <w:rsid w:val="0064334D"/>
    <w:rsid w:val="00643796"/>
    <w:rsid w:val="00643848"/>
    <w:rsid w:val="0064386A"/>
    <w:rsid w:val="00643912"/>
    <w:rsid w:val="00643D5C"/>
    <w:rsid w:val="00643DFA"/>
    <w:rsid w:val="0064414A"/>
    <w:rsid w:val="0064446F"/>
    <w:rsid w:val="00644615"/>
    <w:rsid w:val="006446C9"/>
    <w:rsid w:val="0064477F"/>
    <w:rsid w:val="00644954"/>
    <w:rsid w:val="00644BD2"/>
    <w:rsid w:val="00644D56"/>
    <w:rsid w:val="00645077"/>
    <w:rsid w:val="00645525"/>
    <w:rsid w:val="00645764"/>
    <w:rsid w:val="00645962"/>
    <w:rsid w:val="006459B8"/>
    <w:rsid w:val="00645A8D"/>
    <w:rsid w:val="00645CBC"/>
    <w:rsid w:val="00646408"/>
    <w:rsid w:val="00646840"/>
    <w:rsid w:val="00646935"/>
    <w:rsid w:val="00646A19"/>
    <w:rsid w:val="00646A28"/>
    <w:rsid w:val="00646BA7"/>
    <w:rsid w:val="00646C89"/>
    <w:rsid w:val="00646D91"/>
    <w:rsid w:val="00646E04"/>
    <w:rsid w:val="00646E5C"/>
    <w:rsid w:val="00647230"/>
    <w:rsid w:val="006472F4"/>
    <w:rsid w:val="0064731F"/>
    <w:rsid w:val="00647A65"/>
    <w:rsid w:val="00647F15"/>
    <w:rsid w:val="00647F6B"/>
    <w:rsid w:val="00650053"/>
    <w:rsid w:val="0065009A"/>
    <w:rsid w:val="0065047A"/>
    <w:rsid w:val="00650694"/>
    <w:rsid w:val="00650782"/>
    <w:rsid w:val="006509FD"/>
    <w:rsid w:val="00650A25"/>
    <w:rsid w:val="00650DFA"/>
    <w:rsid w:val="00650EC1"/>
    <w:rsid w:val="00650FCF"/>
    <w:rsid w:val="006511CB"/>
    <w:rsid w:val="0065185C"/>
    <w:rsid w:val="00652645"/>
    <w:rsid w:val="006526DC"/>
    <w:rsid w:val="00652AA8"/>
    <w:rsid w:val="00652FE6"/>
    <w:rsid w:val="00653015"/>
    <w:rsid w:val="00653083"/>
    <w:rsid w:val="0065308E"/>
    <w:rsid w:val="00653128"/>
    <w:rsid w:val="00653541"/>
    <w:rsid w:val="00653794"/>
    <w:rsid w:val="00653C0B"/>
    <w:rsid w:val="006541C2"/>
    <w:rsid w:val="0065420E"/>
    <w:rsid w:val="0065435E"/>
    <w:rsid w:val="0065460F"/>
    <w:rsid w:val="00655233"/>
    <w:rsid w:val="00655A8C"/>
    <w:rsid w:val="00655B6A"/>
    <w:rsid w:val="00655E31"/>
    <w:rsid w:val="006562F1"/>
    <w:rsid w:val="00656AB5"/>
    <w:rsid w:val="00656C10"/>
    <w:rsid w:val="00656CBF"/>
    <w:rsid w:val="00657832"/>
    <w:rsid w:val="00657E9E"/>
    <w:rsid w:val="0066040A"/>
    <w:rsid w:val="006606FB"/>
    <w:rsid w:val="00660A30"/>
    <w:rsid w:val="00660B79"/>
    <w:rsid w:val="00660DA0"/>
    <w:rsid w:val="00660FA9"/>
    <w:rsid w:val="00661357"/>
    <w:rsid w:val="00661451"/>
    <w:rsid w:val="006618C7"/>
    <w:rsid w:val="00661B8B"/>
    <w:rsid w:val="0066203F"/>
    <w:rsid w:val="0066223C"/>
    <w:rsid w:val="006626E5"/>
    <w:rsid w:val="00662850"/>
    <w:rsid w:val="00662BAE"/>
    <w:rsid w:val="006632CA"/>
    <w:rsid w:val="00663BE0"/>
    <w:rsid w:val="00663EFA"/>
    <w:rsid w:val="00663FD6"/>
    <w:rsid w:val="006643EC"/>
    <w:rsid w:val="006643F2"/>
    <w:rsid w:val="00664E83"/>
    <w:rsid w:val="00664ED1"/>
    <w:rsid w:val="00664F5D"/>
    <w:rsid w:val="006656A3"/>
    <w:rsid w:val="0066578E"/>
    <w:rsid w:val="00665A27"/>
    <w:rsid w:val="00666A05"/>
    <w:rsid w:val="00666D9F"/>
    <w:rsid w:val="00667220"/>
    <w:rsid w:val="006675E0"/>
    <w:rsid w:val="00667911"/>
    <w:rsid w:val="00667A60"/>
    <w:rsid w:val="00670018"/>
    <w:rsid w:val="0067070D"/>
    <w:rsid w:val="0067071F"/>
    <w:rsid w:val="0067085F"/>
    <w:rsid w:val="006708C6"/>
    <w:rsid w:val="006709D1"/>
    <w:rsid w:val="00671052"/>
    <w:rsid w:val="006711DD"/>
    <w:rsid w:val="00671523"/>
    <w:rsid w:val="0067160E"/>
    <w:rsid w:val="00671661"/>
    <w:rsid w:val="006717C9"/>
    <w:rsid w:val="00671CF8"/>
    <w:rsid w:val="00671D00"/>
    <w:rsid w:val="006720D6"/>
    <w:rsid w:val="00672114"/>
    <w:rsid w:val="00672169"/>
    <w:rsid w:val="006724FF"/>
    <w:rsid w:val="00672613"/>
    <w:rsid w:val="00672649"/>
    <w:rsid w:val="006730B1"/>
    <w:rsid w:val="006735EE"/>
    <w:rsid w:val="00673A1F"/>
    <w:rsid w:val="00673D4D"/>
    <w:rsid w:val="00673DE3"/>
    <w:rsid w:val="00674758"/>
    <w:rsid w:val="006747B4"/>
    <w:rsid w:val="00674B39"/>
    <w:rsid w:val="00674C44"/>
    <w:rsid w:val="006755C5"/>
    <w:rsid w:val="006755ED"/>
    <w:rsid w:val="006755FB"/>
    <w:rsid w:val="00675649"/>
    <w:rsid w:val="0067575E"/>
    <w:rsid w:val="00675974"/>
    <w:rsid w:val="006759F0"/>
    <w:rsid w:val="00675E25"/>
    <w:rsid w:val="00675ECA"/>
    <w:rsid w:val="00675F33"/>
    <w:rsid w:val="00675F40"/>
    <w:rsid w:val="006765B5"/>
    <w:rsid w:val="00676683"/>
    <w:rsid w:val="0067681E"/>
    <w:rsid w:val="0067695C"/>
    <w:rsid w:val="00676C7A"/>
    <w:rsid w:val="00676F3A"/>
    <w:rsid w:val="0067707B"/>
    <w:rsid w:val="006771A2"/>
    <w:rsid w:val="006771D0"/>
    <w:rsid w:val="006771E5"/>
    <w:rsid w:val="0067741E"/>
    <w:rsid w:val="00677467"/>
    <w:rsid w:val="00677C3D"/>
    <w:rsid w:val="00677EA3"/>
    <w:rsid w:val="00677F0E"/>
    <w:rsid w:val="006801FB"/>
    <w:rsid w:val="006803FA"/>
    <w:rsid w:val="006807CB"/>
    <w:rsid w:val="00680AC0"/>
    <w:rsid w:val="00680B14"/>
    <w:rsid w:val="00680FDE"/>
    <w:rsid w:val="0068122C"/>
    <w:rsid w:val="006819A1"/>
    <w:rsid w:val="00681A59"/>
    <w:rsid w:val="00681F04"/>
    <w:rsid w:val="00681F40"/>
    <w:rsid w:val="0068230A"/>
    <w:rsid w:val="00682314"/>
    <w:rsid w:val="00682CA3"/>
    <w:rsid w:val="00682DF1"/>
    <w:rsid w:val="00682EF3"/>
    <w:rsid w:val="006831D7"/>
    <w:rsid w:val="0068353F"/>
    <w:rsid w:val="00683876"/>
    <w:rsid w:val="00683CD1"/>
    <w:rsid w:val="00683EE8"/>
    <w:rsid w:val="0068419C"/>
    <w:rsid w:val="00684B73"/>
    <w:rsid w:val="00684BD4"/>
    <w:rsid w:val="00684CA9"/>
    <w:rsid w:val="00684DBC"/>
    <w:rsid w:val="00685034"/>
    <w:rsid w:val="00685164"/>
    <w:rsid w:val="00685D7D"/>
    <w:rsid w:val="00685D94"/>
    <w:rsid w:val="00686005"/>
    <w:rsid w:val="00686419"/>
    <w:rsid w:val="00686436"/>
    <w:rsid w:val="00686611"/>
    <w:rsid w:val="0068696F"/>
    <w:rsid w:val="00686999"/>
    <w:rsid w:val="00686BD5"/>
    <w:rsid w:val="00686DD1"/>
    <w:rsid w:val="00687007"/>
    <w:rsid w:val="0068725C"/>
    <w:rsid w:val="006874E4"/>
    <w:rsid w:val="006875E4"/>
    <w:rsid w:val="00687BAD"/>
    <w:rsid w:val="00687BB3"/>
    <w:rsid w:val="00687BC9"/>
    <w:rsid w:val="00687CF0"/>
    <w:rsid w:val="00690209"/>
    <w:rsid w:val="006904B4"/>
    <w:rsid w:val="00690590"/>
    <w:rsid w:val="006906B0"/>
    <w:rsid w:val="006908FE"/>
    <w:rsid w:val="00690A30"/>
    <w:rsid w:val="00690CAF"/>
    <w:rsid w:val="00690CD0"/>
    <w:rsid w:val="00691168"/>
    <w:rsid w:val="0069126F"/>
    <w:rsid w:val="00691712"/>
    <w:rsid w:val="0069179E"/>
    <w:rsid w:val="006925DE"/>
    <w:rsid w:val="00692A11"/>
    <w:rsid w:val="00692D48"/>
    <w:rsid w:val="00693155"/>
    <w:rsid w:val="00693344"/>
    <w:rsid w:val="006935D8"/>
    <w:rsid w:val="006935F3"/>
    <w:rsid w:val="00693716"/>
    <w:rsid w:val="00693983"/>
    <w:rsid w:val="0069399F"/>
    <w:rsid w:val="00693A20"/>
    <w:rsid w:val="00693FE8"/>
    <w:rsid w:val="00694049"/>
    <w:rsid w:val="006946AE"/>
    <w:rsid w:val="006947F9"/>
    <w:rsid w:val="006948AF"/>
    <w:rsid w:val="006949B4"/>
    <w:rsid w:val="00694A21"/>
    <w:rsid w:val="00694F35"/>
    <w:rsid w:val="00694FA8"/>
    <w:rsid w:val="0069534E"/>
    <w:rsid w:val="00695623"/>
    <w:rsid w:val="00695AB4"/>
    <w:rsid w:val="00695B99"/>
    <w:rsid w:val="00695ED4"/>
    <w:rsid w:val="00695F88"/>
    <w:rsid w:val="0069601F"/>
    <w:rsid w:val="00696130"/>
    <w:rsid w:val="00696894"/>
    <w:rsid w:val="00696CFB"/>
    <w:rsid w:val="00696F74"/>
    <w:rsid w:val="006975DC"/>
    <w:rsid w:val="006977CB"/>
    <w:rsid w:val="006A0282"/>
    <w:rsid w:val="006A0326"/>
    <w:rsid w:val="006A054F"/>
    <w:rsid w:val="006A087A"/>
    <w:rsid w:val="006A0B53"/>
    <w:rsid w:val="006A0C6B"/>
    <w:rsid w:val="006A0DBC"/>
    <w:rsid w:val="006A0FEE"/>
    <w:rsid w:val="006A10FF"/>
    <w:rsid w:val="006A12C5"/>
    <w:rsid w:val="006A1B28"/>
    <w:rsid w:val="006A1B83"/>
    <w:rsid w:val="006A2098"/>
    <w:rsid w:val="006A2334"/>
    <w:rsid w:val="006A273F"/>
    <w:rsid w:val="006A2AAF"/>
    <w:rsid w:val="006A2B17"/>
    <w:rsid w:val="006A2C25"/>
    <w:rsid w:val="006A2E3E"/>
    <w:rsid w:val="006A2E78"/>
    <w:rsid w:val="006A3014"/>
    <w:rsid w:val="006A331F"/>
    <w:rsid w:val="006A3779"/>
    <w:rsid w:val="006A3934"/>
    <w:rsid w:val="006A3A73"/>
    <w:rsid w:val="006A3C44"/>
    <w:rsid w:val="006A41CC"/>
    <w:rsid w:val="006A4240"/>
    <w:rsid w:val="006A458E"/>
    <w:rsid w:val="006A4B9B"/>
    <w:rsid w:val="006A503E"/>
    <w:rsid w:val="006A50DD"/>
    <w:rsid w:val="006A5BBA"/>
    <w:rsid w:val="006A615A"/>
    <w:rsid w:val="006A6165"/>
    <w:rsid w:val="006A6331"/>
    <w:rsid w:val="006A646C"/>
    <w:rsid w:val="006A679E"/>
    <w:rsid w:val="006A6A40"/>
    <w:rsid w:val="006A6A62"/>
    <w:rsid w:val="006A6EF6"/>
    <w:rsid w:val="006A7A14"/>
    <w:rsid w:val="006A7AA3"/>
    <w:rsid w:val="006A7ACF"/>
    <w:rsid w:val="006A7BCF"/>
    <w:rsid w:val="006A7DC8"/>
    <w:rsid w:val="006B02A3"/>
    <w:rsid w:val="006B02C6"/>
    <w:rsid w:val="006B04A5"/>
    <w:rsid w:val="006B0815"/>
    <w:rsid w:val="006B0BC4"/>
    <w:rsid w:val="006B0D6C"/>
    <w:rsid w:val="006B0F0A"/>
    <w:rsid w:val="006B0F7D"/>
    <w:rsid w:val="006B11AD"/>
    <w:rsid w:val="006B14C2"/>
    <w:rsid w:val="006B1656"/>
    <w:rsid w:val="006B1A71"/>
    <w:rsid w:val="006B2092"/>
    <w:rsid w:val="006B254D"/>
    <w:rsid w:val="006B2996"/>
    <w:rsid w:val="006B2B73"/>
    <w:rsid w:val="006B2EE2"/>
    <w:rsid w:val="006B3283"/>
    <w:rsid w:val="006B356D"/>
    <w:rsid w:val="006B3576"/>
    <w:rsid w:val="006B3611"/>
    <w:rsid w:val="006B378F"/>
    <w:rsid w:val="006B38B2"/>
    <w:rsid w:val="006B3937"/>
    <w:rsid w:val="006B3970"/>
    <w:rsid w:val="006B3A50"/>
    <w:rsid w:val="006B3CED"/>
    <w:rsid w:val="006B3CF0"/>
    <w:rsid w:val="006B3E6B"/>
    <w:rsid w:val="006B3EE1"/>
    <w:rsid w:val="006B4AA4"/>
    <w:rsid w:val="006B50B2"/>
    <w:rsid w:val="006B516B"/>
    <w:rsid w:val="006B55C3"/>
    <w:rsid w:val="006B59EE"/>
    <w:rsid w:val="006B5A64"/>
    <w:rsid w:val="006B5BB6"/>
    <w:rsid w:val="006B5C72"/>
    <w:rsid w:val="006B5CB3"/>
    <w:rsid w:val="006B6B17"/>
    <w:rsid w:val="006B6DF7"/>
    <w:rsid w:val="006B769B"/>
    <w:rsid w:val="006B76F4"/>
    <w:rsid w:val="006C0134"/>
    <w:rsid w:val="006C02BD"/>
    <w:rsid w:val="006C06E3"/>
    <w:rsid w:val="006C07F2"/>
    <w:rsid w:val="006C0A72"/>
    <w:rsid w:val="006C0AF3"/>
    <w:rsid w:val="006C1001"/>
    <w:rsid w:val="006C18E4"/>
    <w:rsid w:val="006C1CC0"/>
    <w:rsid w:val="006C1E3B"/>
    <w:rsid w:val="006C1F25"/>
    <w:rsid w:val="006C1F54"/>
    <w:rsid w:val="006C2071"/>
    <w:rsid w:val="006C2481"/>
    <w:rsid w:val="006C24EE"/>
    <w:rsid w:val="006C28EF"/>
    <w:rsid w:val="006C2A67"/>
    <w:rsid w:val="006C2C34"/>
    <w:rsid w:val="006C2D25"/>
    <w:rsid w:val="006C361D"/>
    <w:rsid w:val="006C3AC2"/>
    <w:rsid w:val="006C3AEC"/>
    <w:rsid w:val="006C4F09"/>
    <w:rsid w:val="006C4FDB"/>
    <w:rsid w:val="006C5130"/>
    <w:rsid w:val="006C553E"/>
    <w:rsid w:val="006C58B9"/>
    <w:rsid w:val="006C5C34"/>
    <w:rsid w:val="006C5DC1"/>
    <w:rsid w:val="006C60F9"/>
    <w:rsid w:val="006C622E"/>
    <w:rsid w:val="006C63BF"/>
    <w:rsid w:val="006C6432"/>
    <w:rsid w:val="006C6C6B"/>
    <w:rsid w:val="006C72B0"/>
    <w:rsid w:val="006C7305"/>
    <w:rsid w:val="006C7457"/>
    <w:rsid w:val="006C7A12"/>
    <w:rsid w:val="006C7CF6"/>
    <w:rsid w:val="006D011F"/>
    <w:rsid w:val="006D03F2"/>
    <w:rsid w:val="006D0571"/>
    <w:rsid w:val="006D087B"/>
    <w:rsid w:val="006D08F8"/>
    <w:rsid w:val="006D0A18"/>
    <w:rsid w:val="006D0A55"/>
    <w:rsid w:val="006D0DA0"/>
    <w:rsid w:val="006D0F86"/>
    <w:rsid w:val="006D0FE3"/>
    <w:rsid w:val="006D12D1"/>
    <w:rsid w:val="006D135D"/>
    <w:rsid w:val="006D13A6"/>
    <w:rsid w:val="006D15C3"/>
    <w:rsid w:val="006D1842"/>
    <w:rsid w:val="006D1CE4"/>
    <w:rsid w:val="006D241A"/>
    <w:rsid w:val="006D24A0"/>
    <w:rsid w:val="006D2638"/>
    <w:rsid w:val="006D2A42"/>
    <w:rsid w:val="006D2ACA"/>
    <w:rsid w:val="006D2C02"/>
    <w:rsid w:val="006D2E43"/>
    <w:rsid w:val="006D2FF6"/>
    <w:rsid w:val="006D32AB"/>
    <w:rsid w:val="006D3355"/>
    <w:rsid w:val="006D3602"/>
    <w:rsid w:val="006D36F0"/>
    <w:rsid w:val="006D3810"/>
    <w:rsid w:val="006D3A7B"/>
    <w:rsid w:val="006D48F3"/>
    <w:rsid w:val="006D494E"/>
    <w:rsid w:val="006D4A70"/>
    <w:rsid w:val="006D4AC7"/>
    <w:rsid w:val="006D4D64"/>
    <w:rsid w:val="006D4FB8"/>
    <w:rsid w:val="006D5071"/>
    <w:rsid w:val="006D5227"/>
    <w:rsid w:val="006D53C3"/>
    <w:rsid w:val="006D57F1"/>
    <w:rsid w:val="006D594A"/>
    <w:rsid w:val="006D5A6C"/>
    <w:rsid w:val="006D5AB7"/>
    <w:rsid w:val="006D5C2D"/>
    <w:rsid w:val="006D610B"/>
    <w:rsid w:val="006D6254"/>
    <w:rsid w:val="006D63DB"/>
    <w:rsid w:val="006D6775"/>
    <w:rsid w:val="006D6A32"/>
    <w:rsid w:val="006D6A9A"/>
    <w:rsid w:val="006D6AF8"/>
    <w:rsid w:val="006D78D2"/>
    <w:rsid w:val="006D7E82"/>
    <w:rsid w:val="006E024F"/>
    <w:rsid w:val="006E0373"/>
    <w:rsid w:val="006E0668"/>
    <w:rsid w:val="006E06DE"/>
    <w:rsid w:val="006E0753"/>
    <w:rsid w:val="006E082B"/>
    <w:rsid w:val="006E0B0D"/>
    <w:rsid w:val="006E0BCC"/>
    <w:rsid w:val="006E110F"/>
    <w:rsid w:val="006E1622"/>
    <w:rsid w:val="006E17AC"/>
    <w:rsid w:val="006E19EC"/>
    <w:rsid w:val="006E1D59"/>
    <w:rsid w:val="006E1FAA"/>
    <w:rsid w:val="006E300F"/>
    <w:rsid w:val="006E30CD"/>
    <w:rsid w:val="006E327A"/>
    <w:rsid w:val="006E34AB"/>
    <w:rsid w:val="006E37DE"/>
    <w:rsid w:val="006E3B0F"/>
    <w:rsid w:val="006E3E53"/>
    <w:rsid w:val="006E3F9D"/>
    <w:rsid w:val="006E408D"/>
    <w:rsid w:val="006E448E"/>
    <w:rsid w:val="006E4776"/>
    <w:rsid w:val="006E4BAD"/>
    <w:rsid w:val="006E4DEB"/>
    <w:rsid w:val="006E54B2"/>
    <w:rsid w:val="006E5808"/>
    <w:rsid w:val="006E5B67"/>
    <w:rsid w:val="006E6177"/>
    <w:rsid w:val="006E6297"/>
    <w:rsid w:val="006E6396"/>
    <w:rsid w:val="006E6773"/>
    <w:rsid w:val="006E6B70"/>
    <w:rsid w:val="006E6D21"/>
    <w:rsid w:val="006E71DB"/>
    <w:rsid w:val="006E7237"/>
    <w:rsid w:val="006E72DA"/>
    <w:rsid w:val="006E7362"/>
    <w:rsid w:val="006E73D8"/>
    <w:rsid w:val="006E79BA"/>
    <w:rsid w:val="006F015E"/>
    <w:rsid w:val="006F02E0"/>
    <w:rsid w:val="006F06FC"/>
    <w:rsid w:val="006F091E"/>
    <w:rsid w:val="006F0DD9"/>
    <w:rsid w:val="006F0EDE"/>
    <w:rsid w:val="006F1099"/>
    <w:rsid w:val="006F111B"/>
    <w:rsid w:val="006F11E1"/>
    <w:rsid w:val="006F129B"/>
    <w:rsid w:val="006F1411"/>
    <w:rsid w:val="006F176B"/>
    <w:rsid w:val="006F18CC"/>
    <w:rsid w:val="006F1D5D"/>
    <w:rsid w:val="006F1D5E"/>
    <w:rsid w:val="006F1E7C"/>
    <w:rsid w:val="006F1EA7"/>
    <w:rsid w:val="006F1FF4"/>
    <w:rsid w:val="006F26BA"/>
    <w:rsid w:val="006F26BE"/>
    <w:rsid w:val="006F27A0"/>
    <w:rsid w:val="006F2931"/>
    <w:rsid w:val="006F2BA3"/>
    <w:rsid w:val="006F2BC0"/>
    <w:rsid w:val="006F35FA"/>
    <w:rsid w:val="006F38E6"/>
    <w:rsid w:val="006F3DD1"/>
    <w:rsid w:val="006F41F4"/>
    <w:rsid w:val="006F422C"/>
    <w:rsid w:val="006F4481"/>
    <w:rsid w:val="006F45A2"/>
    <w:rsid w:val="006F49B8"/>
    <w:rsid w:val="006F502A"/>
    <w:rsid w:val="006F50D8"/>
    <w:rsid w:val="006F532C"/>
    <w:rsid w:val="006F59FD"/>
    <w:rsid w:val="006F5D46"/>
    <w:rsid w:val="006F6083"/>
    <w:rsid w:val="006F639D"/>
    <w:rsid w:val="006F65C3"/>
    <w:rsid w:val="006F6650"/>
    <w:rsid w:val="006F6880"/>
    <w:rsid w:val="006F6EC3"/>
    <w:rsid w:val="006F6FF7"/>
    <w:rsid w:val="006F708B"/>
    <w:rsid w:val="006F71C1"/>
    <w:rsid w:val="006F7496"/>
    <w:rsid w:val="006F75EA"/>
    <w:rsid w:val="006F7822"/>
    <w:rsid w:val="006F7BB0"/>
    <w:rsid w:val="006F7CE2"/>
    <w:rsid w:val="00700309"/>
    <w:rsid w:val="007006F1"/>
    <w:rsid w:val="007006FD"/>
    <w:rsid w:val="007009D7"/>
    <w:rsid w:val="00700CF9"/>
    <w:rsid w:val="00700F66"/>
    <w:rsid w:val="007014C6"/>
    <w:rsid w:val="00701C24"/>
    <w:rsid w:val="007020F9"/>
    <w:rsid w:val="00702445"/>
    <w:rsid w:val="007024D2"/>
    <w:rsid w:val="00702637"/>
    <w:rsid w:val="0070282D"/>
    <w:rsid w:val="00702C1E"/>
    <w:rsid w:val="00702F6F"/>
    <w:rsid w:val="00702FD4"/>
    <w:rsid w:val="0070307B"/>
    <w:rsid w:val="007032A5"/>
    <w:rsid w:val="0070352F"/>
    <w:rsid w:val="007035A2"/>
    <w:rsid w:val="00703663"/>
    <w:rsid w:val="00703916"/>
    <w:rsid w:val="0070395A"/>
    <w:rsid w:val="007039A4"/>
    <w:rsid w:val="00703AF6"/>
    <w:rsid w:val="00703BAD"/>
    <w:rsid w:val="00703BB8"/>
    <w:rsid w:val="00704005"/>
    <w:rsid w:val="007049A9"/>
    <w:rsid w:val="00704E74"/>
    <w:rsid w:val="007052E7"/>
    <w:rsid w:val="00705833"/>
    <w:rsid w:val="00705A4B"/>
    <w:rsid w:val="00705BA3"/>
    <w:rsid w:val="00705CC7"/>
    <w:rsid w:val="00705F10"/>
    <w:rsid w:val="007060BB"/>
    <w:rsid w:val="007061CA"/>
    <w:rsid w:val="00706223"/>
    <w:rsid w:val="00706468"/>
    <w:rsid w:val="00706811"/>
    <w:rsid w:val="00706BE1"/>
    <w:rsid w:val="00706C80"/>
    <w:rsid w:val="00706E38"/>
    <w:rsid w:val="00706F7F"/>
    <w:rsid w:val="007070AD"/>
    <w:rsid w:val="00707B99"/>
    <w:rsid w:val="00707CA0"/>
    <w:rsid w:val="007102E6"/>
    <w:rsid w:val="00710648"/>
    <w:rsid w:val="00711581"/>
    <w:rsid w:val="007115AE"/>
    <w:rsid w:val="0071173F"/>
    <w:rsid w:val="00711AFE"/>
    <w:rsid w:val="00711D95"/>
    <w:rsid w:val="00711F2C"/>
    <w:rsid w:val="007121D3"/>
    <w:rsid w:val="00712418"/>
    <w:rsid w:val="00712612"/>
    <w:rsid w:val="00712682"/>
    <w:rsid w:val="00712A74"/>
    <w:rsid w:val="00712CBA"/>
    <w:rsid w:val="007131C3"/>
    <w:rsid w:val="007132FC"/>
    <w:rsid w:val="0071345B"/>
    <w:rsid w:val="00713B4B"/>
    <w:rsid w:val="00713CF8"/>
    <w:rsid w:val="007141B9"/>
    <w:rsid w:val="007142BD"/>
    <w:rsid w:val="00714509"/>
    <w:rsid w:val="00714542"/>
    <w:rsid w:val="0071474D"/>
    <w:rsid w:val="007149B1"/>
    <w:rsid w:val="00714A31"/>
    <w:rsid w:val="00714B82"/>
    <w:rsid w:val="00714D24"/>
    <w:rsid w:val="00714F4E"/>
    <w:rsid w:val="00715449"/>
    <w:rsid w:val="00715599"/>
    <w:rsid w:val="00715655"/>
    <w:rsid w:val="0071566A"/>
    <w:rsid w:val="00715ABF"/>
    <w:rsid w:val="00715F57"/>
    <w:rsid w:val="00716564"/>
    <w:rsid w:val="007166CD"/>
    <w:rsid w:val="0071673D"/>
    <w:rsid w:val="0071676D"/>
    <w:rsid w:val="007167F3"/>
    <w:rsid w:val="00716A7E"/>
    <w:rsid w:val="00716C63"/>
    <w:rsid w:val="007175CD"/>
    <w:rsid w:val="00720627"/>
    <w:rsid w:val="00720980"/>
    <w:rsid w:val="00720AB2"/>
    <w:rsid w:val="00720B45"/>
    <w:rsid w:val="0072102F"/>
    <w:rsid w:val="007210BB"/>
    <w:rsid w:val="00721294"/>
    <w:rsid w:val="007212A1"/>
    <w:rsid w:val="007213B8"/>
    <w:rsid w:val="00721501"/>
    <w:rsid w:val="00721C7C"/>
    <w:rsid w:val="00721DE5"/>
    <w:rsid w:val="0072231E"/>
    <w:rsid w:val="00722534"/>
    <w:rsid w:val="00722A60"/>
    <w:rsid w:val="00722E0D"/>
    <w:rsid w:val="00722E15"/>
    <w:rsid w:val="00722EAA"/>
    <w:rsid w:val="007239AD"/>
    <w:rsid w:val="00723BB4"/>
    <w:rsid w:val="0072420A"/>
    <w:rsid w:val="00724417"/>
    <w:rsid w:val="00724602"/>
    <w:rsid w:val="00724BD6"/>
    <w:rsid w:val="00724D21"/>
    <w:rsid w:val="0072546E"/>
    <w:rsid w:val="007257F1"/>
    <w:rsid w:val="00726848"/>
    <w:rsid w:val="00726AB3"/>
    <w:rsid w:val="00726EB6"/>
    <w:rsid w:val="00726F11"/>
    <w:rsid w:val="0072701A"/>
    <w:rsid w:val="007276D6"/>
    <w:rsid w:val="0072787B"/>
    <w:rsid w:val="00727E3E"/>
    <w:rsid w:val="00730027"/>
    <w:rsid w:val="0073058D"/>
    <w:rsid w:val="0073086F"/>
    <w:rsid w:val="00730AEC"/>
    <w:rsid w:val="00730C82"/>
    <w:rsid w:val="007314A1"/>
    <w:rsid w:val="00731A39"/>
    <w:rsid w:val="00731A64"/>
    <w:rsid w:val="00731C27"/>
    <w:rsid w:val="00731D21"/>
    <w:rsid w:val="0073205D"/>
    <w:rsid w:val="00732342"/>
    <w:rsid w:val="0073252C"/>
    <w:rsid w:val="00732595"/>
    <w:rsid w:val="00732618"/>
    <w:rsid w:val="0073268E"/>
    <w:rsid w:val="007328B3"/>
    <w:rsid w:val="00732B9F"/>
    <w:rsid w:val="00732BBE"/>
    <w:rsid w:val="00732BCF"/>
    <w:rsid w:val="00732FB2"/>
    <w:rsid w:val="007333B6"/>
    <w:rsid w:val="007338D9"/>
    <w:rsid w:val="00733BFA"/>
    <w:rsid w:val="00733E29"/>
    <w:rsid w:val="00734256"/>
    <w:rsid w:val="00734745"/>
    <w:rsid w:val="007349A9"/>
    <w:rsid w:val="00734AEA"/>
    <w:rsid w:val="00734E4C"/>
    <w:rsid w:val="00735228"/>
    <w:rsid w:val="007353B4"/>
    <w:rsid w:val="007354DC"/>
    <w:rsid w:val="007354ED"/>
    <w:rsid w:val="00735523"/>
    <w:rsid w:val="007357E2"/>
    <w:rsid w:val="00735852"/>
    <w:rsid w:val="0073590A"/>
    <w:rsid w:val="0073590F"/>
    <w:rsid w:val="00735BD1"/>
    <w:rsid w:val="00735E65"/>
    <w:rsid w:val="00735E82"/>
    <w:rsid w:val="00735E9C"/>
    <w:rsid w:val="0073604E"/>
    <w:rsid w:val="007361C5"/>
    <w:rsid w:val="007363D9"/>
    <w:rsid w:val="007363F5"/>
    <w:rsid w:val="00736445"/>
    <w:rsid w:val="00736643"/>
    <w:rsid w:val="0073726D"/>
    <w:rsid w:val="007373CF"/>
    <w:rsid w:val="007373E7"/>
    <w:rsid w:val="00737AEA"/>
    <w:rsid w:val="00737CB5"/>
    <w:rsid w:val="00737DEB"/>
    <w:rsid w:val="0074007C"/>
    <w:rsid w:val="00740202"/>
    <w:rsid w:val="00740682"/>
    <w:rsid w:val="0074071F"/>
    <w:rsid w:val="0074089D"/>
    <w:rsid w:val="007410D0"/>
    <w:rsid w:val="0074122A"/>
    <w:rsid w:val="00741654"/>
    <w:rsid w:val="0074178F"/>
    <w:rsid w:val="00741893"/>
    <w:rsid w:val="00741B2B"/>
    <w:rsid w:val="00742036"/>
    <w:rsid w:val="00742605"/>
    <w:rsid w:val="00742932"/>
    <w:rsid w:val="00742BB0"/>
    <w:rsid w:val="00742E06"/>
    <w:rsid w:val="00742E22"/>
    <w:rsid w:val="007433A8"/>
    <w:rsid w:val="00743493"/>
    <w:rsid w:val="007436A6"/>
    <w:rsid w:val="00743707"/>
    <w:rsid w:val="0074373D"/>
    <w:rsid w:val="00743769"/>
    <w:rsid w:val="0074376F"/>
    <w:rsid w:val="007438E3"/>
    <w:rsid w:val="00743B2F"/>
    <w:rsid w:val="00743EC5"/>
    <w:rsid w:val="00743F90"/>
    <w:rsid w:val="00743FA2"/>
    <w:rsid w:val="0074448D"/>
    <w:rsid w:val="007448B2"/>
    <w:rsid w:val="00744995"/>
    <w:rsid w:val="00744DDA"/>
    <w:rsid w:val="00745233"/>
    <w:rsid w:val="00745616"/>
    <w:rsid w:val="0074596C"/>
    <w:rsid w:val="00745CB4"/>
    <w:rsid w:val="00745D1F"/>
    <w:rsid w:val="0074629F"/>
    <w:rsid w:val="0074657C"/>
    <w:rsid w:val="0074683D"/>
    <w:rsid w:val="00747021"/>
    <w:rsid w:val="0074716D"/>
    <w:rsid w:val="00747349"/>
    <w:rsid w:val="00747553"/>
    <w:rsid w:val="007475BB"/>
    <w:rsid w:val="0074775C"/>
    <w:rsid w:val="00747893"/>
    <w:rsid w:val="00747C13"/>
    <w:rsid w:val="00747C30"/>
    <w:rsid w:val="00747D5C"/>
    <w:rsid w:val="00747DA3"/>
    <w:rsid w:val="00747E4E"/>
    <w:rsid w:val="00747EA7"/>
    <w:rsid w:val="00750003"/>
    <w:rsid w:val="007503DC"/>
    <w:rsid w:val="007503E4"/>
    <w:rsid w:val="007503F5"/>
    <w:rsid w:val="00750537"/>
    <w:rsid w:val="00750679"/>
    <w:rsid w:val="00750EEA"/>
    <w:rsid w:val="0075136E"/>
    <w:rsid w:val="00751E2D"/>
    <w:rsid w:val="00751F29"/>
    <w:rsid w:val="007525AE"/>
    <w:rsid w:val="00752B9B"/>
    <w:rsid w:val="00752DB4"/>
    <w:rsid w:val="00752F55"/>
    <w:rsid w:val="00752FAF"/>
    <w:rsid w:val="007531FD"/>
    <w:rsid w:val="0075331F"/>
    <w:rsid w:val="007534FB"/>
    <w:rsid w:val="0075354D"/>
    <w:rsid w:val="007535AD"/>
    <w:rsid w:val="00753809"/>
    <w:rsid w:val="00753C0C"/>
    <w:rsid w:val="00753CBE"/>
    <w:rsid w:val="007546B2"/>
    <w:rsid w:val="00754863"/>
    <w:rsid w:val="00754AF4"/>
    <w:rsid w:val="00754CB2"/>
    <w:rsid w:val="00754D41"/>
    <w:rsid w:val="0075508E"/>
    <w:rsid w:val="0075516B"/>
    <w:rsid w:val="00755A0C"/>
    <w:rsid w:val="00756345"/>
    <w:rsid w:val="00756355"/>
    <w:rsid w:val="00756845"/>
    <w:rsid w:val="00756EF1"/>
    <w:rsid w:val="00756F27"/>
    <w:rsid w:val="00757091"/>
    <w:rsid w:val="007571D2"/>
    <w:rsid w:val="0075723F"/>
    <w:rsid w:val="00757509"/>
    <w:rsid w:val="007578EB"/>
    <w:rsid w:val="00760067"/>
    <w:rsid w:val="007603FD"/>
    <w:rsid w:val="00760418"/>
    <w:rsid w:val="00760837"/>
    <w:rsid w:val="00760B45"/>
    <w:rsid w:val="00760E9E"/>
    <w:rsid w:val="00761135"/>
    <w:rsid w:val="00761E89"/>
    <w:rsid w:val="00761EC6"/>
    <w:rsid w:val="00762285"/>
    <w:rsid w:val="00762894"/>
    <w:rsid w:val="00762EDA"/>
    <w:rsid w:val="007631C3"/>
    <w:rsid w:val="007631F2"/>
    <w:rsid w:val="00763443"/>
    <w:rsid w:val="007634E1"/>
    <w:rsid w:val="007635D7"/>
    <w:rsid w:val="00763C4D"/>
    <w:rsid w:val="00763D7A"/>
    <w:rsid w:val="0076420C"/>
    <w:rsid w:val="007647C7"/>
    <w:rsid w:val="00764A21"/>
    <w:rsid w:val="00764E62"/>
    <w:rsid w:val="00764F08"/>
    <w:rsid w:val="0076588F"/>
    <w:rsid w:val="007658F8"/>
    <w:rsid w:val="00765A56"/>
    <w:rsid w:val="00765D9D"/>
    <w:rsid w:val="00765E90"/>
    <w:rsid w:val="007661ED"/>
    <w:rsid w:val="0076636C"/>
    <w:rsid w:val="00766778"/>
    <w:rsid w:val="007667DC"/>
    <w:rsid w:val="0076687A"/>
    <w:rsid w:val="00766C08"/>
    <w:rsid w:val="00766CD8"/>
    <w:rsid w:val="0076782D"/>
    <w:rsid w:val="00767922"/>
    <w:rsid w:val="00767E5D"/>
    <w:rsid w:val="00767F23"/>
    <w:rsid w:val="0077081C"/>
    <w:rsid w:val="00770995"/>
    <w:rsid w:val="00770D8D"/>
    <w:rsid w:val="0077118B"/>
    <w:rsid w:val="007711E8"/>
    <w:rsid w:val="00771321"/>
    <w:rsid w:val="0077136C"/>
    <w:rsid w:val="00771611"/>
    <w:rsid w:val="007716C5"/>
    <w:rsid w:val="00771B4D"/>
    <w:rsid w:val="00771CC1"/>
    <w:rsid w:val="00771DC7"/>
    <w:rsid w:val="00771F37"/>
    <w:rsid w:val="0077257B"/>
    <w:rsid w:val="007726DD"/>
    <w:rsid w:val="00772A6C"/>
    <w:rsid w:val="00772ABD"/>
    <w:rsid w:val="00772C22"/>
    <w:rsid w:val="00772D23"/>
    <w:rsid w:val="00772D36"/>
    <w:rsid w:val="00772F7C"/>
    <w:rsid w:val="007733CF"/>
    <w:rsid w:val="00773729"/>
    <w:rsid w:val="00773819"/>
    <w:rsid w:val="00773B34"/>
    <w:rsid w:val="00774155"/>
    <w:rsid w:val="007742C2"/>
    <w:rsid w:val="0077445A"/>
    <w:rsid w:val="007747FC"/>
    <w:rsid w:val="007748BD"/>
    <w:rsid w:val="00774CC5"/>
    <w:rsid w:val="00774DA4"/>
    <w:rsid w:val="00775038"/>
    <w:rsid w:val="007752DC"/>
    <w:rsid w:val="00775373"/>
    <w:rsid w:val="00775947"/>
    <w:rsid w:val="0077599B"/>
    <w:rsid w:val="00775D12"/>
    <w:rsid w:val="00775D58"/>
    <w:rsid w:val="00775DA7"/>
    <w:rsid w:val="007766DA"/>
    <w:rsid w:val="007767AF"/>
    <w:rsid w:val="007769D5"/>
    <w:rsid w:val="007769F0"/>
    <w:rsid w:val="00776A2F"/>
    <w:rsid w:val="00776C67"/>
    <w:rsid w:val="00776EEA"/>
    <w:rsid w:val="00777380"/>
    <w:rsid w:val="007801DA"/>
    <w:rsid w:val="0078028C"/>
    <w:rsid w:val="007802CF"/>
    <w:rsid w:val="007803E8"/>
    <w:rsid w:val="007808EC"/>
    <w:rsid w:val="007809C6"/>
    <w:rsid w:val="00780AC5"/>
    <w:rsid w:val="00780BE6"/>
    <w:rsid w:val="00780CF4"/>
    <w:rsid w:val="00780E4C"/>
    <w:rsid w:val="0078110E"/>
    <w:rsid w:val="007813A5"/>
    <w:rsid w:val="00781487"/>
    <w:rsid w:val="007814CC"/>
    <w:rsid w:val="007816AF"/>
    <w:rsid w:val="00781814"/>
    <w:rsid w:val="0078187B"/>
    <w:rsid w:val="00781A02"/>
    <w:rsid w:val="00781BDB"/>
    <w:rsid w:val="0078201B"/>
    <w:rsid w:val="0078238C"/>
    <w:rsid w:val="0078240A"/>
    <w:rsid w:val="00782864"/>
    <w:rsid w:val="007829D8"/>
    <w:rsid w:val="00782C56"/>
    <w:rsid w:val="00782E90"/>
    <w:rsid w:val="007833F0"/>
    <w:rsid w:val="007838FA"/>
    <w:rsid w:val="00783E80"/>
    <w:rsid w:val="00783F74"/>
    <w:rsid w:val="00784565"/>
    <w:rsid w:val="00784604"/>
    <w:rsid w:val="00784774"/>
    <w:rsid w:val="0078486D"/>
    <w:rsid w:val="00784A4A"/>
    <w:rsid w:val="00784AA5"/>
    <w:rsid w:val="00784C91"/>
    <w:rsid w:val="00784DA3"/>
    <w:rsid w:val="00784F10"/>
    <w:rsid w:val="0078509E"/>
    <w:rsid w:val="00785193"/>
    <w:rsid w:val="0078526B"/>
    <w:rsid w:val="00785617"/>
    <w:rsid w:val="00785BF4"/>
    <w:rsid w:val="007861C3"/>
    <w:rsid w:val="00786534"/>
    <w:rsid w:val="00786636"/>
    <w:rsid w:val="00786798"/>
    <w:rsid w:val="00786830"/>
    <w:rsid w:val="007869B5"/>
    <w:rsid w:val="00786D93"/>
    <w:rsid w:val="007870F8"/>
    <w:rsid w:val="007908A5"/>
    <w:rsid w:val="00790919"/>
    <w:rsid w:val="00790B64"/>
    <w:rsid w:val="00790BCF"/>
    <w:rsid w:val="00790EB5"/>
    <w:rsid w:val="00791212"/>
    <w:rsid w:val="00791437"/>
    <w:rsid w:val="00791524"/>
    <w:rsid w:val="007915FC"/>
    <w:rsid w:val="00791651"/>
    <w:rsid w:val="00791A18"/>
    <w:rsid w:val="00791BCA"/>
    <w:rsid w:val="00791FC8"/>
    <w:rsid w:val="00792081"/>
    <w:rsid w:val="00792309"/>
    <w:rsid w:val="00792342"/>
    <w:rsid w:val="007923F0"/>
    <w:rsid w:val="007923FE"/>
    <w:rsid w:val="007928C4"/>
    <w:rsid w:val="00792BE0"/>
    <w:rsid w:val="007930FD"/>
    <w:rsid w:val="0079351A"/>
    <w:rsid w:val="00793760"/>
    <w:rsid w:val="0079394C"/>
    <w:rsid w:val="00793AFE"/>
    <w:rsid w:val="0079436A"/>
    <w:rsid w:val="00794895"/>
    <w:rsid w:val="00794C7E"/>
    <w:rsid w:val="00794D5C"/>
    <w:rsid w:val="00794DBF"/>
    <w:rsid w:val="00795066"/>
    <w:rsid w:val="007951AA"/>
    <w:rsid w:val="00795230"/>
    <w:rsid w:val="0079530B"/>
    <w:rsid w:val="0079534B"/>
    <w:rsid w:val="00795E8A"/>
    <w:rsid w:val="00795F19"/>
    <w:rsid w:val="007960B3"/>
    <w:rsid w:val="00796B8D"/>
    <w:rsid w:val="007978B8"/>
    <w:rsid w:val="007979EA"/>
    <w:rsid w:val="00797BA4"/>
    <w:rsid w:val="00797BBF"/>
    <w:rsid w:val="00797C32"/>
    <w:rsid w:val="00797C5E"/>
    <w:rsid w:val="007A01B6"/>
    <w:rsid w:val="007A0B7C"/>
    <w:rsid w:val="007A0D71"/>
    <w:rsid w:val="007A138E"/>
    <w:rsid w:val="007A1548"/>
    <w:rsid w:val="007A189E"/>
    <w:rsid w:val="007A1B12"/>
    <w:rsid w:val="007A1C93"/>
    <w:rsid w:val="007A2015"/>
    <w:rsid w:val="007A2027"/>
    <w:rsid w:val="007A224D"/>
    <w:rsid w:val="007A227F"/>
    <w:rsid w:val="007A2297"/>
    <w:rsid w:val="007A27D6"/>
    <w:rsid w:val="007A291C"/>
    <w:rsid w:val="007A2AB0"/>
    <w:rsid w:val="007A2CAE"/>
    <w:rsid w:val="007A2E8D"/>
    <w:rsid w:val="007A2ECC"/>
    <w:rsid w:val="007A2F33"/>
    <w:rsid w:val="007A3239"/>
    <w:rsid w:val="007A3966"/>
    <w:rsid w:val="007A42B7"/>
    <w:rsid w:val="007A48CD"/>
    <w:rsid w:val="007A4E44"/>
    <w:rsid w:val="007A5440"/>
    <w:rsid w:val="007A5A10"/>
    <w:rsid w:val="007A5CE4"/>
    <w:rsid w:val="007A5E0F"/>
    <w:rsid w:val="007A5F24"/>
    <w:rsid w:val="007A5FEB"/>
    <w:rsid w:val="007A610A"/>
    <w:rsid w:val="007A63CD"/>
    <w:rsid w:val="007A6627"/>
    <w:rsid w:val="007A68D3"/>
    <w:rsid w:val="007A6952"/>
    <w:rsid w:val="007A6C11"/>
    <w:rsid w:val="007A6EC6"/>
    <w:rsid w:val="007A70E7"/>
    <w:rsid w:val="007A73A3"/>
    <w:rsid w:val="007A75B9"/>
    <w:rsid w:val="007A76E7"/>
    <w:rsid w:val="007A79E9"/>
    <w:rsid w:val="007A7FCF"/>
    <w:rsid w:val="007B002E"/>
    <w:rsid w:val="007B00AF"/>
    <w:rsid w:val="007B1073"/>
    <w:rsid w:val="007B176C"/>
    <w:rsid w:val="007B1A3D"/>
    <w:rsid w:val="007B1AAD"/>
    <w:rsid w:val="007B1AD7"/>
    <w:rsid w:val="007B1DDD"/>
    <w:rsid w:val="007B1ED1"/>
    <w:rsid w:val="007B23C9"/>
    <w:rsid w:val="007B2854"/>
    <w:rsid w:val="007B2C1C"/>
    <w:rsid w:val="007B2C6E"/>
    <w:rsid w:val="007B3709"/>
    <w:rsid w:val="007B3852"/>
    <w:rsid w:val="007B3932"/>
    <w:rsid w:val="007B3949"/>
    <w:rsid w:val="007B3A17"/>
    <w:rsid w:val="007B3BDB"/>
    <w:rsid w:val="007B3CE7"/>
    <w:rsid w:val="007B3D04"/>
    <w:rsid w:val="007B3D40"/>
    <w:rsid w:val="007B3F5C"/>
    <w:rsid w:val="007B4245"/>
    <w:rsid w:val="007B43E4"/>
    <w:rsid w:val="007B448E"/>
    <w:rsid w:val="007B4B11"/>
    <w:rsid w:val="007B4B39"/>
    <w:rsid w:val="007B536B"/>
    <w:rsid w:val="007B537F"/>
    <w:rsid w:val="007B5B0A"/>
    <w:rsid w:val="007B6332"/>
    <w:rsid w:val="007B63BF"/>
    <w:rsid w:val="007B64BE"/>
    <w:rsid w:val="007B6761"/>
    <w:rsid w:val="007B6BBA"/>
    <w:rsid w:val="007B6D9D"/>
    <w:rsid w:val="007B7106"/>
    <w:rsid w:val="007B71D4"/>
    <w:rsid w:val="007B73CC"/>
    <w:rsid w:val="007B74C1"/>
    <w:rsid w:val="007B7B84"/>
    <w:rsid w:val="007B7C01"/>
    <w:rsid w:val="007B7E0D"/>
    <w:rsid w:val="007C027E"/>
    <w:rsid w:val="007C03E3"/>
    <w:rsid w:val="007C0586"/>
    <w:rsid w:val="007C06DF"/>
    <w:rsid w:val="007C0717"/>
    <w:rsid w:val="007C0790"/>
    <w:rsid w:val="007C08AF"/>
    <w:rsid w:val="007C0D00"/>
    <w:rsid w:val="007C0ED9"/>
    <w:rsid w:val="007C2055"/>
    <w:rsid w:val="007C21F6"/>
    <w:rsid w:val="007C226C"/>
    <w:rsid w:val="007C2307"/>
    <w:rsid w:val="007C26C9"/>
    <w:rsid w:val="007C2871"/>
    <w:rsid w:val="007C2A06"/>
    <w:rsid w:val="007C2BCE"/>
    <w:rsid w:val="007C2D93"/>
    <w:rsid w:val="007C2E67"/>
    <w:rsid w:val="007C31F0"/>
    <w:rsid w:val="007C345D"/>
    <w:rsid w:val="007C356B"/>
    <w:rsid w:val="007C3861"/>
    <w:rsid w:val="007C387F"/>
    <w:rsid w:val="007C38D7"/>
    <w:rsid w:val="007C3B3F"/>
    <w:rsid w:val="007C4254"/>
    <w:rsid w:val="007C4303"/>
    <w:rsid w:val="007C4315"/>
    <w:rsid w:val="007C44DD"/>
    <w:rsid w:val="007C47CA"/>
    <w:rsid w:val="007C490E"/>
    <w:rsid w:val="007C49BD"/>
    <w:rsid w:val="007C4A8E"/>
    <w:rsid w:val="007C4C62"/>
    <w:rsid w:val="007C4CBC"/>
    <w:rsid w:val="007C4D21"/>
    <w:rsid w:val="007C514F"/>
    <w:rsid w:val="007C531D"/>
    <w:rsid w:val="007C5635"/>
    <w:rsid w:val="007C5D44"/>
    <w:rsid w:val="007C649B"/>
    <w:rsid w:val="007C65DF"/>
    <w:rsid w:val="007C6642"/>
    <w:rsid w:val="007C69A5"/>
    <w:rsid w:val="007C6B71"/>
    <w:rsid w:val="007C6BF2"/>
    <w:rsid w:val="007C6E22"/>
    <w:rsid w:val="007C7029"/>
    <w:rsid w:val="007C75EB"/>
    <w:rsid w:val="007C7EC1"/>
    <w:rsid w:val="007D03BB"/>
    <w:rsid w:val="007D09B3"/>
    <w:rsid w:val="007D0ACC"/>
    <w:rsid w:val="007D0FC3"/>
    <w:rsid w:val="007D1359"/>
    <w:rsid w:val="007D146D"/>
    <w:rsid w:val="007D1643"/>
    <w:rsid w:val="007D16F9"/>
    <w:rsid w:val="007D1C6F"/>
    <w:rsid w:val="007D1C9C"/>
    <w:rsid w:val="007D226B"/>
    <w:rsid w:val="007D2412"/>
    <w:rsid w:val="007D29C8"/>
    <w:rsid w:val="007D2B5E"/>
    <w:rsid w:val="007D301B"/>
    <w:rsid w:val="007D3221"/>
    <w:rsid w:val="007D3378"/>
    <w:rsid w:val="007D3550"/>
    <w:rsid w:val="007D38D4"/>
    <w:rsid w:val="007D3F96"/>
    <w:rsid w:val="007D3FE2"/>
    <w:rsid w:val="007D400E"/>
    <w:rsid w:val="007D49C1"/>
    <w:rsid w:val="007D49FE"/>
    <w:rsid w:val="007D4DC8"/>
    <w:rsid w:val="007D5194"/>
    <w:rsid w:val="007D523F"/>
    <w:rsid w:val="007D5569"/>
    <w:rsid w:val="007D56B5"/>
    <w:rsid w:val="007D5E67"/>
    <w:rsid w:val="007D626E"/>
    <w:rsid w:val="007D6618"/>
    <w:rsid w:val="007D6A25"/>
    <w:rsid w:val="007D6C29"/>
    <w:rsid w:val="007D7227"/>
    <w:rsid w:val="007D729A"/>
    <w:rsid w:val="007D7348"/>
    <w:rsid w:val="007D750E"/>
    <w:rsid w:val="007D7BD0"/>
    <w:rsid w:val="007D7F46"/>
    <w:rsid w:val="007E02C7"/>
    <w:rsid w:val="007E0832"/>
    <w:rsid w:val="007E0841"/>
    <w:rsid w:val="007E0A6E"/>
    <w:rsid w:val="007E0D9E"/>
    <w:rsid w:val="007E11A3"/>
    <w:rsid w:val="007E12D3"/>
    <w:rsid w:val="007E1368"/>
    <w:rsid w:val="007E1D1C"/>
    <w:rsid w:val="007E26EE"/>
    <w:rsid w:val="007E28A0"/>
    <w:rsid w:val="007E2900"/>
    <w:rsid w:val="007E296F"/>
    <w:rsid w:val="007E2CD0"/>
    <w:rsid w:val="007E2D53"/>
    <w:rsid w:val="007E2F97"/>
    <w:rsid w:val="007E3191"/>
    <w:rsid w:val="007E394E"/>
    <w:rsid w:val="007E3F70"/>
    <w:rsid w:val="007E3FAC"/>
    <w:rsid w:val="007E40CE"/>
    <w:rsid w:val="007E42C4"/>
    <w:rsid w:val="007E43A0"/>
    <w:rsid w:val="007E43D1"/>
    <w:rsid w:val="007E43D6"/>
    <w:rsid w:val="007E4473"/>
    <w:rsid w:val="007E46A0"/>
    <w:rsid w:val="007E4709"/>
    <w:rsid w:val="007E4EBD"/>
    <w:rsid w:val="007E59F2"/>
    <w:rsid w:val="007E5ACB"/>
    <w:rsid w:val="007E5C15"/>
    <w:rsid w:val="007E5CA4"/>
    <w:rsid w:val="007E5FB7"/>
    <w:rsid w:val="007E620F"/>
    <w:rsid w:val="007E6786"/>
    <w:rsid w:val="007E6A98"/>
    <w:rsid w:val="007E7142"/>
    <w:rsid w:val="007E7616"/>
    <w:rsid w:val="007E775E"/>
    <w:rsid w:val="007E7F01"/>
    <w:rsid w:val="007F03B8"/>
    <w:rsid w:val="007F064C"/>
    <w:rsid w:val="007F097D"/>
    <w:rsid w:val="007F0AC7"/>
    <w:rsid w:val="007F0D45"/>
    <w:rsid w:val="007F0EE0"/>
    <w:rsid w:val="007F0F10"/>
    <w:rsid w:val="007F10FC"/>
    <w:rsid w:val="007F1293"/>
    <w:rsid w:val="007F1423"/>
    <w:rsid w:val="007F1604"/>
    <w:rsid w:val="007F18CA"/>
    <w:rsid w:val="007F18D2"/>
    <w:rsid w:val="007F1E08"/>
    <w:rsid w:val="007F1F01"/>
    <w:rsid w:val="007F2578"/>
    <w:rsid w:val="007F27F4"/>
    <w:rsid w:val="007F2B8E"/>
    <w:rsid w:val="007F2C3D"/>
    <w:rsid w:val="007F2C69"/>
    <w:rsid w:val="007F2DFA"/>
    <w:rsid w:val="007F2FDC"/>
    <w:rsid w:val="007F3225"/>
    <w:rsid w:val="007F37AD"/>
    <w:rsid w:val="007F3C4F"/>
    <w:rsid w:val="007F4401"/>
    <w:rsid w:val="007F4428"/>
    <w:rsid w:val="007F476F"/>
    <w:rsid w:val="007F48BC"/>
    <w:rsid w:val="007F4A29"/>
    <w:rsid w:val="007F5881"/>
    <w:rsid w:val="007F5CDF"/>
    <w:rsid w:val="007F5F03"/>
    <w:rsid w:val="007F60BD"/>
    <w:rsid w:val="007F654C"/>
    <w:rsid w:val="007F6F76"/>
    <w:rsid w:val="007F7269"/>
    <w:rsid w:val="007F749F"/>
    <w:rsid w:val="007F77F5"/>
    <w:rsid w:val="007F78A5"/>
    <w:rsid w:val="007F790E"/>
    <w:rsid w:val="0080049B"/>
    <w:rsid w:val="00800727"/>
    <w:rsid w:val="00800C31"/>
    <w:rsid w:val="00800D34"/>
    <w:rsid w:val="00800E94"/>
    <w:rsid w:val="0080109F"/>
    <w:rsid w:val="00801308"/>
    <w:rsid w:val="0080147E"/>
    <w:rsid w:val="008014F3"/>
    <w:rsid w:val="00801617"/>
    <w:rsid w:val="008018C5"/>
    <w:rsid w:val="00801CE4"/>
    <w:rsid w:val="00801F39"/>
    <w:rsid w:val="00801F58"/>
    <w:rsid w:val="00801F77"/>
    <w:rsid w:val="008020D2"/>
    <w:rsid w:val="00802B9D"/>
    <w:rsid w:val="00802D2C"/>
    <w:rsid w:val="00802DA8"/>
    <w:rsid w:val="00802FEC"/>
    <w:rsid w:val="008032B5"/>
    <w:rsid w:val="0080333D"/>
    <w:rsid w:val="0080340F"/>
    <w:rsid w:val="00803500"/>
    <w:rsid w:val="0080370C"/>
    <w:rsid w:val="00803D2C"/>
    <w:rsid w:val="00803F83"/>
    <w:rsid w:val="0080425B"/>
    <w:rsid w:val="0080444C"/>
    <w:rsid w:val="00804549"/>
    <w:rsid w:val="00804867"/>
    <w:rsid w:val="00804D78"/>
    <w:rsid w:val="00805278"/>
    <w:rsid w:val="0080573D"/>
    <w:rsid w:val="00805819"/>
    <w:rsid w:val="00805845"/>
    <w:rsid w:val="008059D9"/>
    <w:rsid w:val="00805CEB"/>
    <w:rsid w:val="00806055"/>
    <w:rsid w:val="008061C6"/>
    <w:rsid w:val="0080638D"/>
    <w:rsid w:val="008067C5"/>
    <w:rsid w:val="008068D9"/>
    <w:rsid w:val="008071A4"/>
    <w:rsid w:val="00807219"/>
    <w:rsid w:val="008077A7"/>
    <w:rsid w:val="00807877"/>
    <w:rsid w:val="00807910"/>
    <w:rsid w:val="0080799C"/>
    <w:rsid w:val="00807FBE"/>
    <w:rsid w:val="0081006C"/>
    <w:rsid w:val="008100A5"/>
    <w:rsid w:val="008100DC"/>
    <w:rsid w:val="008103AC"/>
    <w:rsid w:val="008107D7"/>
    <w:rsid w:val="00810947"/>
    <w:rsid w:val="00810E61"/>
    <w:rsid w:val="00810EBA"/>
    <w:rsid w:val="00811037"/>
    <w:rsid w:val="0081188E"/>
    <w:rsid w:val="00811FC2"/>
    <w:rsid w:val="00812228"/>
    <w:rsid w:val="0081228A"/>
    <w:rsid w:val="00812299"/>
    <w:rsid w:val="00812411"/>
    <w:rsid w:val="00812722"/>
    <w:rsid w:val="00812A60"/>
    <w:rsid w:val="00812ABA"/>
    <w:rsid w:val="00812AD9"/>
    <w:rsid w:val="00812DA9"/>
    <w:rsid w:val="00812E63"/>
    <w:rsid w:val="00812FCD"/>
    <w:rsid w:val="008130C9"/>
    <w:rsid w:val="008134FE"/>
    <w:rsid w:val="00813576"/>
    <w:rsid w:val="00813690"/>
    <w:rsid w:val="008137F1"/>
    <w:rsid w:val="00813856"/>
    <w:rsid w:val="00813BC6"/>
    <w:rsid w:val="00813C18"/>
    <w:rsid w:val="00813CA7"/>
    <w:rsid w:val="00813F96"/>
    <w:rsid w:val="00814102"/>
    <w:rsid w:val="00814311"/>
    <w:rsid w:val="008143E9"/>
    <w:rsid w:val="00814522"/>
    <w:rsid w:val="00814628"/>
    <w:rsid w:val="0081489C"/>
    <w:rsid w:val="008149E9"/>
    <w:rsid w:val="00814C46"/>
    <w:rsid w:val="00814EFF"/>
    <w:rsid w:val="008150D4"/>
    <w:rsid w:val="0081533A"/>
    <w:rsid w:val="00815390"/>
    <w:rsid w:val="00816138"/>
    <w:rsid w:val="008166DC"/>
    <w:rsid w:val="00816B41"/>
    <w:rsid w:val="00816DDE"/>
    <w:rsid w:val="008170FC"/>
    <w:rsid w:val="008175FB"/>
    <w:rsid w:val="0081766C"/>
    <w:rsid w:val="0081791D"/>
    <w:rsid w:val="00817D43"/>
    <w:rsid w:val="008200E8"/>
    <w:rsid w:val="008201AA"/>
    <w:rsid w:val="00820586"/>
    <w:rsid w:val="008209A8"/>
    <w:rsid w:val="00820C1F"/>
    <w:rsid w:val="00820D3A"/>
    <w:rsid w:val="00821535"/>
    <w:rsid w:val="00822338"/>
    <w:rsid w:val="008223B8"/>
    <w:rsid w:val="008224B5"/>
    <w:rsid w:val="0082252D"/>
    <w:rsid w:val="0082279A"/>
    <w:rsid w:val="00822E4A"/>
    <w:rsid w:val="008233C0"/>
    <w:rsid w:val="0082372B"/>
    <w:rsid w:val="008239F7"/>
    <w:rsid w:val="00823D99"/>
    <w:rsid w:val="00823FC9"/>
    <w:rsid w:val="00824272"/>
    <w:rsid w:val="00824649"/>
    <w:rsid w:val="00824657"/>
    <w:rsid w:val="00824E3F"/>
    <w:rsid w:val="0082502A"/>
    <w:rsid w:val="0082525D"/>
    <w:rsid w:val="008259E6"/>
    <w:rsid w:val="008260B5"/>
    <w:rsid w:val="008264A6"/>
    <w:rsid w:val="008264AE"/>
    <w:rsid w:val="008267EB"/>
    <w:rsid w:val="00826B7E"/>
    <w:rsid w:val="00826C9B"/>
    <w:rsid w:val="00826F54"/>
    <w:rsid w:val="00827450"/>
    <w:rsid w:val="008274CE"/>
    <w:rsid w:val="008274F7"/>
    <w:rsid w:val="00827517"/>
    <w:rsid w:val="0082797D"/>
    <w:rsid w:val="00827A78"/>
    <w:rsid w:val="00827AC6"/>
    <w:rsid w:val="00827B2D"/>
    <w:rsid w:val="00827BF7"/>
    <w:rsid w:val="00827D45"/>
    <w:rsid w:val="00830290"/>
    <w:rsid w:val="0083092A"/>
    <w:rsid w:val="00830A94"/>
    <w:rsid w:val="00830F5F"/>
    <w:rsid w:val="00831157"/>
    <w:rsid w:val="00831358"/>
    <w:rsid w:val="008316E2"/>
    <w:rsid w:val="00831DC6"/>
    <w:rsid w:val="00831F16"/>
    <w:rsid w:val="008322A6"/>
    <w:rsid w:val="008322A8"/>
    <w:rsid w:val="00832C7F"/>
    <w:rsid w:val="00832CB5"/>
    <w:rsid w:val="0083307C"/>
    <w:rsid w:val="0083337D"/>
    <w:rsid w:val="008333EF"/>
    <w:rsid w:val="00833405"/>
    <w:rsid w:val="0083382D"/>
    <w:rsid w:val="00833AB9"/>
    <w:rsid w:val="00833B5C"/>
    <w:rsid w:val="00834090"/>
    <w:rsid w:val="00834104"/>
    <w:rsid w:val="0083412F"/>
    <w:rsid w:val="00834368"/>
    <w:rsid w:val="00834A6E"/>
    <w:rsid w:val="008351F1"/>
    <w:rsid w:val="00835276"/>
    <w:rsid w:val="0083552A"/>
    <w:rsid w:val="00835BA2"/>
    <w:rsid w:val="00835C25"/>
    <w:rsid w:val="00835CA0"/>
    <w:rsid w:val="00835D12"/>
    <w:rsid w:val="008362BC"/>
    <w:rsid w:val="008363CC"/>
    <w:rsid w:val="00836487"/>
    <w:rsid w:val="008364CA"/>
    <w:rsid w:val="00836A7E"/>
    <w:rsid w:val="00836B06"/>
    <w:rsid w:val="00836CF2"/>
    <w:rsid w:val="00836F43"/>
    <w:rsid w:val="00836F83"/>
    <w:rsid w:val="0083727E"/>
    <w:rsid w:val="00837382"/>
    <w:rsid w:val="00837435"/>
    <w:rsid w:val="00837F1A"/>
    <w:rsid w:val="008404FD"/>
    <w:rsid w:val="0084061C"/>
    <w:rsid w:val="00840666"/>
    <w:rsid w:val="008406B1"/>
    <w:rsid w:val="00840B6A"/>
    <w:rsid w:val="00840D79"/>
    <w:rsid w:val="00840F77"/>
    <w:rsid w:val="00840FA4"/>
    <w:rsid w:val="008412CC"/>
    <w:rsid w:val="008416B8"/>
    <w:rsid w:val="008416E1"/>
    <w:rsid w:val="00841A79"/>
    <w:rsid w:val="00841B8D"/>
    <w:rsid w:val="00841C79"/>
    <w:rsid w:val="008425FE"/>
    <w:rsid w:val="0084276D"/>
    <w:rsid w:val="008428CC"/>
    <w:rsid w:val="00842C17"/>
    <w:rsid w:val="00842DD4"/>
    <w:rsid w:val="00842DFE"/>
    <w:rsid w:val="00842EDD"/>
    <w:rsid w:val="008430B4"/>
    <w:rsid w:val="0084351F"/>
    <w:rsid w:val="00843982"/>
    <w:rsid w:val="00843C2A"/>
    <w:rsid w:val="00843C53"/>
    <w:rsid w:val="00843EB8"/>
    <w:rsid w:val="00843ED4"/>
    <w:rsid w:val="008440D5"/>
    <w:rsid w:val="0084423B"/>
    <w:rsid w:val="008445C2"/>
    <w:rsid w:val="008445FC"/>
    <w:rsid w:val="008450AB"/>
    <w:rsid w:val="00845241"/>
    <w:rsid w:val="0084525F"/>
    <w:rsid w:val="0084534A"/>
    <w:rsid w:val="0084539D"/>
    <w:rsid w:val="00845A37"/>
    <w:rsid w:val="00845DFA"/>
    <w:rsid w:val="00845FBA"/>
    <w:rsid w:val="008465A8"/>
    <w:rsid w:val="00846660"/>
    <w:rsid w:val="0084675B"/>
    <w:rsid w:val="008468FC"/>
    <w:rsid w:val="00846CA6"/>
    <w:rsid w:val="0084760E"/>
    <w:rsid w:val="0084764F"/>
    <w:rsid w:val="008477DA"/>
    <w:rsid w:val="00847821"/>
    <w:rsid w:val="00847A19"/>
    <w:rsid w:val="00847BEF"/>
    <w:rsid w:val="00847CE6"/>
    <w:rsid w:val="00847E5B"/>
    <w:rsid w:val="008503AE"/>
    <w:rsid w:val="008503B4"/>
    <w:rsid w:val="0085079E"/>
    <w:rsid w:val="00850B39"/>
    <w:rsid w:val="00850C37"/>
    <w:rsid w:val="008510A5"/>
    <w:rsid w:val="00851102"/>
    <w:rsid w:val="00851204"/>
    <w:rsid w:val="0085170F"/>
    <w:rsid w:val="00851A14"/>
    <w:rsid w:val="00851EB8"/>
    <w:rsid w:val="008525BD"/>
    <w:rsid w:val="00852AE5"/>
    <w:rsid w:val="00852C87"/>
    <w:rsid w:val="0085327A"/>
    <w:rsid w:val="00853A71"/>
    <w:rsid w:val="00853F50"/>
    <w:rsid w:val="00854322"/>
    <w:rsid w:val="0085453E"/>
    <w:rsid w:val="00854692"/>
    <w:rsid w:val="00855218"/>
    <w:rsid w:val="008552CB"/>
    <w:rsid w:val="008554C6"/>
    <w:rsid w:val="0085597B"/>
    <w:rsid w:val="00855C27"/>
    <w:rsid w:val="00855DD9"/>
    <w:rsid w:val="00856067"/>
    <w:rsid w:val="00856985"/>
    <w:rsid w:val="0085698E"/>
    <w:rsid w:val="00856C9C"/>
    <w:rsid w:val="00856F36"/>
    <w:rsid w:val="00857550"/>
    <w:rsid w:val="00857641"/>
    <w:rsid w:val="00857736"/>
    <w:rsid w:val="0085777B"/>
    <w:rsid w:val="00857AC7"/>
    <w:rsid w:val="00857AED"/>
    <w:rsid w:val="00857E2E"/>
    <w:rsid w:val="00857FB2"/>
    <w:rsid w:val="008606AA"/>
    <w:rsid w:val="00860822"/>
    <w:rsid w:val="0086082E"/>
    <w:rsid w:val="00860B4B"/>
    <w:rsid w:val="00860EC5"/>
    <w:rsid w:val="008618AC"/>
    <w:rsid w:val="00861AC4"/>
    <w:rsid w:val="0086213D"/>
    <w:rsid w:val="00862430"/>
    <w:rsid w:val="00862477"/>
    <w:rsid w:val="00862611"/>
    <w:rsid w:val="0086294B"/>
    <w:rsid w:val="008629AD"/>
    <w:rsid w:val="00862A83"/>
    <w:rsid w:val="00862CD1"/>
    <w:rsid w:val="00862F1D"/>
    <w:rsid w:val="00862F8D"/>
    <w:rsid w:val="00862FD0"/>
    <w:rsid w:val="0086322A"/>
    <w:rsid w:val="008633E2"/>
    <w:rsid w:val="008634CF"/>
    <w:rsid w:val="008638ED"/>
    <w:rsid w:val="008639A0"/>
    <w:rsid w:val="00863AB3"/>
    <w:rsid w:val="00864120"/>
    <w:rsid w:val="0086465B"/>
    <w:rsid w:val="0086496B"/>
    <w:rsid w:val="00864C7A"/>
    <w:rsid w:val="00864DBC"/>
    <w:rsid w:val="00865009"/>
    <w:rsid w:val="00865099"/>
    <w:rsid w:val="008651E9"/>
    <w:rsid w:val="0086527D"/>
    <w:rsid w:val="0086569F"/>
    <w:rsid w:val="00866349"/>
    <w:rsid w:val="0086652E"/>
    <w:rsid w:val="00867010"/>
    <w:rsid w:val="00867242"/>
    <w:rsid w:val="008677D4"/>
    <w:rsid w:val="00867A21"/>
    <w:rsid w:val="00867C19"/>
    <w:rsid w:val="00867D25"/>
    <w:rsid w:val="00870145"/>
    <w:rsid w:val="0087027E"/>
    <w:rsid w:val="008707E4"/>
    <w:rsid w:val="008708C6"/>
    <w:rsid w:val="00870BA0"/>
    <w:rsid w:val="00870DA9"/>
    <w:rsid w:val="00871530"/>
    <w:rsid w:val="00871676"/>
    <w:rsid w:val="00871CC7"/>
    <w:rsid w:val="00871E23"/>
    <w:rsid w:val="00872299"/>
    <w:rsid w:val="0087252F"/>
    <w:rsid w:val="00872860"/>
    <w:rsid w:val="00872EB4"/>
    <w:rsid w:val="00872F7A"/>
    <w:rsid w:val="0087318E"/>
    <w:rsid w:val="008736CF"/>
    <w:rsid w:val="00873846"/>
    <w:rsid w:val="0087396D"/>
    <w:rsid w:val="00874AEA"/>
    <w:rsid w:val="00874C2C"/>
    <w:rsid w:val="008754B8"/>
    <w:rsid w:val="008754ED"/>
    <w:rsid w:val="008766CF"/>
    <w:rsid w:val="0087679E"/>
    <w:rsid w:val="00876A5D"/>
    <w:rsid w:val="00876BC9"/>
    <w:rsid w:val="00876F16"/>
    <w:rsid w:val="00877044"/>
    <w:rsid w:val="008770E5"/>
    <w:rsid w:val="00877279"/>
    <w:rsid w:val="0087727B"/>
    <w:rsid w:val="00877450"/>
    <w:rsid w:val="00877FDE"/>
    <w:rsid w:val="00880556"/>
    <w:rsid w:val="00881030"/>
    <w:rsid w:val="0088106C"/>
    <w:rsid w:val="00881517"/>
    <w:rsid w:val="00881849"/>
    <w:rsid w:val="00881C44"/>
    <w:rsid w:val="00882004"/>
    <w:rsid w:val="00882230"/>
    <w:rsid w:val="0088258B"/>
    <w:rsid w:val="008829DE"/>
    <w:rsid w:val="00882B70"/>
    <w:rsid w:val="00882C51"/>
    <w:rsid w:val="00882F5A"/>
    <w:rsid w:val="0088340B"/>
    <w:rsid w:val="008836F1"/>
    <w:rsid w:val="00883809"/>
    <w:rsid w:val="008840C5"/>
    <w:rsid w:val="00884484"/>
    <w:rsid w:val="008847A6"/>
    <w:rsid w:val="00884DDD"/>
    <w:rsid w:val="0088512F"/>
    <w:rsid w:val="008851E2"/>
    <w:rsid w:val="00885594"/>
    <w:rsid w:val="0088563F"/>
    <w:rsid w:val="00885704"/>
    <w:rsid w:val="00885803"/>
    <w:rsid w:val="008860B5"/>
    <w:rsid w:val="008866B0"/>
    <w:rsid w:val="00886AF0"/>
    <w:rsid w:val="008870DF"/>
    <w:rsid w:val="00887A9D"/>
    <w:rsid w:val="00890890"/>
    <w:rsid w:val="008909F7"/>
    <w:rsid w:val="00890DD4"/>
    <w:rsid w:val="00890DDA"/>
    <w:rsid w:val="0089101F"/>
    <w:rsid w:val="00891417"/>
    <w:rsid w:val="0089149D"/>
    <w:rsid w:val="00891830"/>
    <w:rsid w:val="0089208C"/>
    <w:rsid w:val="008921E2"/>
    <w:rsid w:val="00892866"/>
    <w:rsid w:val="00892B11"/>
    <w:rsid w:val="00892E1F"/>
    <w:rsid w:val="0089304C"/>
    <w:rsid w:val="00893235"/>
    <w:rsid w:val="00893598"/>
    <w:rsid w:val="00893C3B"/>
    <w:rsid w:val="00893FF9"/>
    <w:rsid w:val="00894131"/>
    <w:rsid w:val="008947D0"/>
    <w:rsid w:val="00894927"/>
    <w:rsid w:val="00894AD4"/>
    <w:rsid w:val="00894C17"/>
    <w:rsid w:val="00894DAC"/>
    <w:rsid w:val="008950BC"/>
    <w:rsid w:val="008958F1"/>
    <w:rsid w:val="00895A40"/>
    <w:rsid w:val="00895CF0"/>
    <w:rsid w:val="00895D0F"/>
    <w:rsid w:val="00895F27"/>
    <w:rsid w:val="008960E1"/>
    <w:rsid w:val="0089628D"/>
    <w:rsid w:val="00896330"/>
    <w:rsid w:val="008966B2"/>
    <w:rsid w:val="008966E2"/>
    <w:rsid w:val="00896AEB"/>
    <w:rsid w:val="00896B60"/>
    <w:rsid w:val="00896E6A"/>
    <w:rsid w:val="0089708F"/>
    <w:rsid w:val="0089713A"/>
    <w:rsid w:val="0089751B"/>
    <w:rsid w:val="008975EE"/>
    <w:rsid w:val="00897D1F"/>
    <w:rsid w:val="008A014A"/>
    <w:rsid w:val="008A02CB"/>
    <w:rsid w:val="008A05C7"/>
    <w:rsid w:val="008A07AC"/>
    <w:rsid w:val="008A07E7"/>
    <w:rsid w:val="008A0A56"/>
    <w:rsid w:val="008A0A5A"/>
    <w:rsid w:val="008A0A96"/>
    <w:rsid w:val="008A0B3A"/>
    <w:rsid w:val="008A171C"/>
    <w:rsid w:val="008A1722"/>
    <w:rsid w:val="008A1818"/>
    <w:rsid w:val="008A1934"/>
    <w:rsid w:val="008A1C5A"/>
    <w:rsid w:val="008A1E11"/>
    <w:rsid w:val="008A1F13"/>
    <w:rsid w:val="008A1F90"/>
    <w:rsid w:val="008A2285"/>
    <w:rsid w:val="008A2348"/>
    <w:rsid w:val="008A2388"/>
    <w:rsid w:val="008A23F5"/>
    <w:rsid w:val="008A261F"/>
    <w:rsid w:val="008A2785"/>
    <w:rsid w:val="008A2934"/>
    <w:rsid w:val="008A2D8D"/>
    <w:rsid w:val="008A3A34"/>
    <w:rsid w:val="008A3A56"/>
    <w:rsid w:val="008A3A86"/>
    <w:rsid w:val="008A3F5E"/>
    <w:rsid w:val="008A4513"/>
    <w:rsid w:val="008A467D"/>
    <w:rsid w:val="008A4793"/>
    <w:rsid w:val="008A487A"/>
    <w:rsid w:val="008A4893"/>
    <w:rsid w:val="008A4B0B"/>
    <w:rsid w:val="008A4B8C"/>
    <w:rsid w:val="008A4BB0"/>
    <w:rsid w:val="008A4D12"/>
    <w:rsid w:val="008A547D"/>
    <w:rsid w:val="008A5560"/>
    <w:rsid w:val="008A56A7"/>
    <w:rsid w:val="008A5911"/>
    <w:rsid w:val="008A5C79"/>
    <w:rsid w:val="008A5DFA"/>
    <w:rsid w:val="008A5F1A"/>
    <w:rsid w:val="008A5FFA"/>
    <w:rsid w:val="008A6173"/>
    <w:rsid w:val="008A62DD"/>
    <w:rsid w:val="008A659D"/>
    <w:rsid w:val="008A6718"/>
    <w:rsid w:val="008A6889"/>
    <w:rsid w:val="008A6902"/>
    <w:rsid w:val="008A69C4"/>
    <w:rsid w:val="008A6EB7"/>
    <w:rsid w:val="008A6F0E"/>
    <w:rsid w:val="008A7065"/>
    <w:rsid w:val="008A7234"/>
    <w:rsid w:val="008A74EE"/>
    <w:rsid w:val="008A756D"/>
    <w:rsid w:val="008A763D"/>
    <w:rsid w:val="008A78E0"/>
    <w:rsid w:val="008A7E1E"/>
    <w:rsid w:val="008A7E22"/>
    <w:rsid w:val="008A7EC4"/>
    <w:rsid w:val="008B001E"/>
    <w:rsid w:val="008B0189"/>
    <w:rsid w:val="008B0272"/>
    <w:rsid w:val="008B0895"/>
    <w:rsid w:val="008B0EEF"/>
    <w:rsid w:val="008B1141"/>
    <w:rsid w:val="008B15D0"/>
    <w:rsid w:val="008B181B"/>
    <w:rsid w:val="008B214A"/>
    <w:rsid w:val="008B2157"/>
    <w:rsid w:val="008B2234"/>
    <w:rsid w:val="008B25B0"/>
    <w:rsid w:val="008B28D0"/>
    <w:rsid w:val="008B2D39"/>
    <w:rsid w:val="008B3438"/>
    <w:rsid w:val="008B3569"/>
    <w:rsid w:val="008B3FAB"/>
    <w:rsid w:val="008B42F9"/>
    <w:rsid w:val="008B447C"/>
    <w:rsid w:val="008B4838"/>
    <w:rsid w:val="008B4A95"/>
    <w:rsid w:val="008B5003"/>
    <w:rsid w:val="008B56CC"/>
    <w:rsid w:val="008B5861"/>
    <w:rsid w:val="008B59B9"/>
    <w:rsid w:val="008B5DBB"/>
    <w:rsid w:val="008B630C"/>
    <w:rsid w:val="008B6398"/>
    <w:rsid w:val="008B6959"/>
    <w:rsid w:val="008B71A3"/>
    <w:rsid w:val="008B72AF"/>
    <w:rsid w:val="008B78A3"/>
    <w:rsid w:val="008B7A21"/>
    <w:rsid w:val="008B7E1D"/>
    <w:rsid w:val="008B7EA7"/>
    <w:rsid w:val="008B7EA9"/>
    <w:rsid w:val="008C0033"/>
    <w:rsid w:val="008C00D8"/>
    <w:rsid w:val="008C01AB"/>
    <w:rsid w:val="008C01DE"/>
    <w:rsid w:val="008C02D4"/>
    <w:rsid w:val="008C07A9"/>
    <w:rsid w:val="008C07C2"/>
    <w:rsid w:val="008C18BB"/>
    <w:rsid w:val="008C1FDD"/>
    <w:rsid w:val="008C2221"/>
    <w:rsid w:val="008C2323"/>
    <w:rsid w:val="008C2446"/>
    <w:rsid w:val="008C293A"/>
    <w:rsid w:val="008C2D0B"/>
    <w:rsid w:val="008C2F7C"/>
    <w:rsid w:val="008C2FBC"/>
    <w:rsid w:val="008C30EB"/>
    <w:rsid w:val="008C322F"/>
    <w:rsid w:val="008C3338"/>
    <w:rsid w:val="008C356A"/>
    <w:rsid w:val="008C3588"/>
    <w:rsid w:val="008C38D5"/>
    <w:rsid w:val="008C38F4"/>
    <w:rsid w:val="008C3A44"/>
    <w:rsid w:val="008C3CFE"/>
    <w:rsid w:val="008C3E67"/>
    <w:rsid w:val="008C3F0D"/>
    <w:rsid w:val="008C4075"/>
    <w:rsid w:val="008C4505"/>
    <w:rsid w:val="008C45AB"/>
    <w:rsid w:val="008C4702"/>
    <w:rsid w:val="008C4761"/>
    <w:rsid w:val="008C4765"/>
    <w:rsid w:val="008C4B7E"/>
    <w:rsid w:val="008C4CFB"/>
    <w:rsid w:val="008C4D82"/>
    <w:rsid w:val="008C5465"/>
    <w:rsid w:val="008C5687"/>
    <w:rsid w:val="008C5726"/>
    <w:rsid w:val="008C574F"/>
    <w:rsid w:val="008C5B39"/>
    <w:rsid w:val="008C5B51"/>
    <w:rsid w:val="008C5DBA"/>
    <w:rsid w:val="008C6240"/>
    <w:rsid w:val="008C6437"/>
    <w:rsid w:val="008C6710"/>
    <w:rsid w:val="008C6955"/>
    <w:rsid w:val="008C6D07"/>
    <w:rsid w:val="008C6EAB"/>
    <w:rsid w:val="008C7016"/>
    <w:rsid w:val="008C7346"/>
    <w:rsid w:val="008C758F"/>
    <w:rsid w:val="008C7A3A"/>
    <w:rsid w:val="008C7B65"/>
    <w:rsid w:val="008C7EA4"/>
    <w:rsid w:val="008C7FF0"/>
    <w:rsid w:val="008D0A74"/>
    <w:rsid w:val="008D0DE2"/>
    <w:rsid w:val="008D19D1"/>
    <w:rsid w:val="008D20C1"/>
    <w:rsid w:val="008D28D5"/>
    <w:rsid w:val="008D2FC1"/>
    <w:rsid w:val="008D31C5"/>
    <w:rsid w:val="008D31DC"/>
    <w:rsid w:val="008D3535"/>
    <w:rsid w:val="008D35A1"/>
    <w:rsid w:val="008D4187"/>
    <w:rsid w:val="008D470B"/>
    <w:rsid w:val="008D4892"/>
    <w:rsid w:val="008D491A"/>
    <w:rsid w:val="008D4941"/>
    <w:rsid w:val="008D49A9"/>
    <w:rsid w:val="008D4C10"/>
    <w:rsid w:val="008D50F4"/>
    <w:rsid w:val="008D5D98"/>
    <w:rsid w:val="008D5E2F"/>
    <w:rsid w:val="008D634C"/>
    <w:rsid w:val="008D6AC5"/>
    <w:rsid w:val="008D6BC4"/>
    <w:rsid w:val="008D7EED"/>
    <w:rsid w:val="008E0D9A"/>
    <w:rsid w:val="008E1427"/>
    <w:rsid w:val="008E18B7"/>
    <w:rsid w:val="008E18C7"/>
    <w:rsid w:val="008E1CD6"/>
    <w:rsid w:val="008E1D1B"/>
    <w:rsid w:val="008E1E34"/>
    <w:rsid w:val="008E2076"/>
    <w:rsid w:val="008E21D7"/>
    <w:rsid w:val="008E2310"/>
    <w:rsid w:val="008E2929"/>
    <w:rsid w:val="008E34CB"/>
    <w:rsid w:val="008E36B7"/>
    <w:rsid w:val="008E3C7C"/>
    <w:rsid w:val="008E3D97"/>
    <w:rsid w:val="008E420D"/>
    <w:rsid w:val="008E47CA"/>
    <w:rsid w:val="008E4BB1"/>
    <w:rsid w:val="008E5000"/>
    <w:rsid w:val="008E50DC"/>
    <w:rsid w:val="008E5619"/>
    <w:rsid w:val="008E56E3"/>
    <w:rsid w:val="008E56FE"/>
    <w:rsid w:val="008E595D"/>
    <w:rsid w:val="008E6428"/>
    <w:rsid w:val="008E644A"/>
    <w:rsid w:val="008E6499"/>
    <w:rsid w:val="008E6708"/>
    <w:rsid w:val="008E6873"/>
    <w:rsid w:val="008E7340"/>
    <w:rsid w:val="008E775B"/>
    <w:rsid w:val="008E78DA"/>
    <w:rsid w:val="008E7FCB"/>
    <w:rsid w:val="008F0061"/>
    <w:rsid w:val="008F0185"/>
    <w:rsid w:val="008F04CF"/>
    <w:rsid w:val="008F052F"/>
    <w:rsid w:val="008F06DC"/>
    <w:rsid w:val="008F0CE7"/>
    <w:rsid w:val="008F15F6"/>
    <w:rsid w:val="008F1633"/>
    <w:rsid w:val="008F16B0"/>
    <w:rsid w:val="008F177B"/>
    <w:rsid w:val="008F17FA"/>
    <w:rsid w:val="008F1B62"/>
    <w:rsid w:val="008F2047"/>
    <w:rsid w:val="008F2161"/>
    <w:rsid w:val="008F2233"/>
    <w:rsid w:val="008F227C"/>
    <w:rsid w:val="008F2296"/>
    <w:rsid w:val="008F23A2"/>
    <w:rsid w:val="008F2576"/>
    <w:rsid w:val="008F2956"/>
    <w:rsid w:val="008F2BC8"/>
    <w:rsid w:val="008F2CC4"/>
    <w:rsid w:val="008F2E33"/>
    <w:rsid w:val="008F31EF"/>
    <w:rsid w:val="008F33B5"/>
    <w:rsid w:val="008F34DD"/>
    <w:rsid w:val="008F3646"/>
    <w:rsid w:val="008F369B"/>
    <w:rsid w:val="008F376B"/>
    <w:rsid w:val="008F37CB"/>
    <w:rsid w:val="008F39B8"/>
    <w:rsid w:val="008F3DC6"/>
    <w:rsid w:val="008F4158"/>
    <w:rsid w:val="008F4287"/>
    <w:rsid w:val="008F48DC"/>
    <w:rsid w:val="008F4AE2"/>
    <w:rsid w:val="008F4D22"/>
    <w:rsid w:val="008F4F66"/>
    <w:rsid w:val="008F5191"/>
    <w:rsid w:val="008F5886"/>
    <w:rsid w:val="008F5AAB"/>
    <w:rsid w:val="008F5C9D"/>
    <w:rsid w:val="008F5D33"/>
    <w:rsid w:val="008F650F"/>
    <w:rsid w:val="008F698E"/>
    <w:rsid w:val="008F6AB2"/>
    <w:rsid w:val="008F6DF5"/>
    <w:rsid w:val="008F6E60"/>
    <w:rsid w:val="008F727E"/>
    <w:rsid w:val="008F73F2"/>
    <w:rsid w:val="008F74D7"/>
    <w:rsid w:val="008F7570"/>
    <w:rsid w:val="008F7655"/>
    <w:rsid w:val="008F7700"/>
    <w:rsid w:val="008F77BB"/>
    <w:rsid w:val="008F7B5B"/>
    <w:rsid w:val="008F7B93"/>
    <w:rsid w:val="008F7C7A"/>
    <w:rsid w:val="008F7DD3"/>
    <w:rsid w:val="008F7E37"/>
    <w:rsid w:val="008F7E4B"/>
    <w:rsid w:val="008F7F5E"/>
    <w:rsid w:val="00900073"/>
    <w:rsid w:val="0090019B"/>
    <w:rsid w:val="00900589"/>
    <w:rsid w:val="009006B7"/>
    <w:rsid w:val="009006DE"/>
    <w:rsid w:val="00900817"/>
    <w:rsid w:val="009008CC"/>
    <w:rsid w:val="00900935"/>
    <w:rsid w:val="00900ABC"/>
    <w:rsid w:val="00900E57"/>
    <w:rsid w:val="00900F24"/>
    <w:rsid w:val="00901162"/>
    <w:rsid w:val="0090136F"/>
    <w:rsid w:val="009013ED"/>
    <w:rsid w:val="00901424"/>
    <w:rsid w:val="0090159E"/>
    <w:rsid w:val="00901906"/>
    <w:rsid w:val="00901937"/>
    <w:rsid w:val="00901BD6"/>
    <w:rsid w:val="009020ED"/>
    <w:rsid w:val="009022B5"/>
    <w:rsid w:val="009022CF"/>
    <w:rsid w:val="009024AA"/>
    <w:rsid w:val="00902BD3"/>
    <w:rsid w:val="00902F60"/>
    <w:rsid w:val="00903354"/>
    <w:rsid w:val="0090366A"/>
    <w:rsid w:val="00903E00"/>
    <w:rsid w:val="00903E9A"/>
    <w:rsid w:val="009040F9"/>
    <w:rsid w:val="009041D1"/>
    <w:rsid w:val="00904283"/>
    <w:rsid w:val="00904347"/>
    <w:rsid w:val="00904505"/>
    <w:rsid w:val="0090453B"/>
    <w:rsid w:val="009049F6"/>
    <w:rsid w:val="00904BCF"/>
    <w:rsid w:val="00904DC9"/>
    <w:rsid w:val="00904F80"/>
    <w:rsid w:val="009056FF"/>
    <w:rsid w:val="00905D2A"/>
    <w:rsid w:val="0090625D"/>
    <w:rsid w:val="0090643E"/>
    <w:rsid w:val="00906459"/>
    <w:rsid w:val="00906753"/>
    <w:rsid w:val="00906D7B"/>
    <w:rsid w:val="00906EEE"/>
    <w:rsid w:val="009071D4"/>
    <w:rsid w:val="0090753A"/>
    <w:rsid w:val="0090757D"/>
    <w:rsid w:val="00907685"/>
    <w:rsid w:val="00907F88"/>
    <w:rsid w:val="009100E7"/>
    <w:rsid w:val="00910110"/>
    <w:rsid w:val="00910189"/>
    <w:rsid w:val="00910343"/>
    <w:rsid w:val="0091088C"/>
    <w:rsid w:val="0091125A"/>
    <w:rsid w:val="009118C3"/>
    <w:rsid w:val="00911CCD"/>
    <w:rsid w:val="009125EC"/>
    <w:rsid w:val="00912654"/>
    <w:rsid w:val="00912866"/>
    <w:rsid w:val="0091331F"/>
    <w:rsid w:val="00913710"/>
    <w:rsid w:val="00913D42"/>
    <w:rsid w:val="00914243"/>
    <w:rsid w:val="00914723"/>
    <w:rsid w:val="009148CD"/>
    <w:rsid w:val="009152B6"/>
    <w:rsid w:val="009157B7"/>
    <w:rsid w:val="00915825"/>
    <w:rsid w:val="00915CE6"/>
    <w:rsid w:val="00916121"/>
    <w:rsid w:val="0091612A"/>
    <w:rsid w:val="009171EB"/>
    <w:rsid w:val="009172F5"/>
    <w:rsid w:val="0091751C"/>
    <w:rsid w:val="0091792F"/>
    <w:rsid w:val="00917C2B"/>
    <w:rsid w:val="009201BB"/>
    <w:rsid w:val="00920283"/>
    <w:rsid w:val="0092043F"/>
    <w:rsid w:val="00920D2C"/>
    <w:rsid w:val="009210B5"/>
    <w:rsid w:val="009212E2"/>
    <w:rsid w:val="009215C3"/>
    <w:rsid w:val="0092196F"/>
    <w:rsid w:val="00921994"/>
    <w:rsid w:val="00921E64"/>
    <w:rsid w:val="00921E92"/>
    <w:rsid w:val="0092217F"/>
    <w:rsid w:val="0092229E"/>
    <w:rsid w:val="00922891"/>
    <w:rsid w:val="009228C1"/>
    <w:rsid w:val="0092292B"/>
    <w:rsid w:val="00922B9F"/>
    <w:rsid w:val="00922C6D"/>
    <w:rsid w:val="009236D8"/>
    <w:rsid w:val="0092387A"/>
    <w:rsid w:val="009238C0"/>
    <w:rsid w:val="00923AA7"/>
    <w:rsid w:val="00923E08"/>
    <w:rsid w:val="00923E75"/>
    <w:rsid w:val="00923F0B"/>
    <w:rsid w:val="00923F0E"/>
    <w:rsid w:val="0092489C"/>
    <w:rsid w:val="00924B56"/>
    <w:rsid w:val="00924F67"/>
    <w:rsid w:val="009251E5"/>
    <w:rsid w:val="00925719"/>
    <w:rsid w:val="00925791"/>
    <w:rsid w:val="00925C2A"/>
    <w:rsid w:val="00925FD0"/>
    <w:rsid w:val="00926451"/>
    <w:rsid w:val="009268CB"/>
    <w:rsid w:val="00926E55"/>
    <w:rsid w:val="0092763D"/>
    <w:rsid w:val="00927649"/>
    <w:rsid w:val="00927671"/>
    <w:rsid w:val="009276EB"/>
    <w:rsid w:val="00927BF7"/>
    <w:rsid w:val="00927D87"/>
    <w:rsid w:val="00930953"/>
    <w:rsid w:val="00930973"/>
    <w:rsid w:val="00930A98"/>
    <w:rsid w:val="00931149"/>
    <w:rsid w:val="009312B2"/>
    <w:rsid w:val="0093153B"/>
    <w:rsid w:val="00931BC0"/>
    <w:rsid w:val="00932378"/>
    <w:rsid w:val="00932523"/>
    <w:rsid w:val="0093280E"/>
    <w:rsid w:val="00932A8B"/>
    <w:rsid w:val="00932F68"/>
    <w:rsid w:val="00933087"/>
    <w:rsid w:val="0093349E"/>
    <w:rsid w:val="009337A2"/>
    <w:rsid w:val="00934088"/>
    <w:rsid w:val="009344D6"/>
    <w:rsid w:val="0093483C"/>
    <w:rsid w:val="00934B30"/>
    <w:rsid w:val="00934B93"/>
    <w:rsid w:val="00934BEE"/>
    <w:rsid w:val="00934C9D"/>
    <w:rsid w:val="00935247"/>
    <w:rsid w:val="00935573"/>
    <w:rsid w:val="009359AB"/>
    <w:rsid w:val="00935AC1"/>
    <w:rsid w:val="00935FE1"/>
    <w:rsid w:val="00936B14"/>
    <w:rsid w:val="00936E78"/>
    <w:rsid w:val="00937259"/>
    <w:rsid w:val="009377EA"/>
    <w:rsid w:val="00937874"/>
    <w:rsid w:val="00937C47"/>
    <w:rsid w:val="00937C4D"/>
    <w:rsid w:val="00937D06"/>
    <w:rsid w:val="00937EE2"/>
    <w:rsid w:val="00940354"/>
    <w:rsid w:val="00940404"/>
    <w:rsid w:val="009411C7"/>
    <w:rsid w:val="00941781"/>
    <w:rsid w:val="009424A7"/>
    <w:rsid w:val="0094294B"/>
    <w:rsid w:val="009429AA"/>
    <w:rsid w:val="00942CC5"/>
    <w:rsid w:val="00942E31"/>
    <w:rsid w:val="00943535"/>
    <w:rsid w:val="00943689"/>
    <w:rsid w:val="009439B2"/>
    <w:rsid w:val="00943A05"/>
    <w:rsid w:val="00943AF1"/>
    <w:rsid w:val="00943C43"/>
    <w:rsid w:val="009442F9"/>
    <w:rsid w:val="00945101"/>
    <w:rsid w:val="009452E3"/>
    <w:rsid w:val="0094545F"/>
    <w:rsid w:val="009455B2"/>
    <w:rsid w:val="009457DD"/>
    <w:rsid w:val="00945960"/>
    <w:rsid w:val="00945EB1"/>
    <w:rsid w:val="009464B5"/>
    <w:rsid w:val="009466D6"/>
    <w:rsid w:val="00946AD3"/>
    <w:rsid w:val="00946C43"/>
    <w:rsid w:val="00946EB6"/>
    <w:rsid w:val="00946FE2"/>
    <w:rsid w:val="0094717D"/>
    <w:rsid w:val="00947228"/>
    <w:rsid w:val="00947417"/>
    <w:rsid w:val="0094787C"/>
    <w:rsid w:val="009501BD"/>
    <w:rsid w:val="0095053A"/>
    <w:rsid w:val="00952259"/>
    <w:rsid w:val="00952613"/>
    <w:rsid w:val="00952E04"/>
    <w:rsid w:val="00952E1A"/>
    <w:rsid w:val="00952F6A"/>
    <w:rsid w:val="00953508"/>
    <w:rsid w:val="00953C09"/>
    <w:rsid w:val="00953F1A"/>
    <w:rsid w:val="00953FA7"/>
    <w:rsid w:val="00954217"/>
    <w:rsid w:val="009544C6"/>
    <w:rsid w:val="0095491B"/>
    <w:rsid w:val="00954930"/>
    <w:rsid w:val="00955443"/>
    <w:rsid w:val="00955FE8"/>
    <w:rsid w:val="00955FFA"/>
    <w:rsid w:val="00956B77"/>
    <w:rsid w:val="00956D46"/>
    <w:rsid w:val="00956F23"/>
    <w:rsid w:val="009576B9"/>
    <w:rsid w:val="009579F9"/>
    <w:rsid w:val="00957C97"/>
    <w:rsid w:val="00957CE0"/>
    <w:rsid w:val="00957D3A"/>
    <w:rsid w:val="00957EE1"/>
    <w:rsid w:val="00957F9B"/>
    <w:rsid w:val="009601CF"/>
    <w:rsid w:val="009604CD"/>
    <w:rsid w:val="00960564"/>
    <w:rsid w:val="009608C1"/>
    <w:rsid w:val="00960CA8"/>
    <w:rsid w:val="00960E59"/>
    <w:rsid w:val="00960EFC"/>
    <w:rsid w:val="0096117B"/>
    <w:rsid w:val="00961412"/>
    <w:rsid w:val="00961AE6"/>
    <w:rsid w:val="00961B07"/>
    <w:rsid w:val="00962092"/>
    <w:rsid w:val="009621FD"/>
    <w:rsid w:val="00962F01"/>
    <w:rsid w:val="00963199"/>
    <w:rsid w:val="009632EB"/>
    <w:rsid w:val="009632F6"/>
    <w:rsid w:val="009635D0"/>
    <w:rsid w:val="009639A5"/>
    <w:rsid w:val="00963E9F"/>
    <w:rsid w:val="00964124"/>
    <w:rsid w:val="00964406"/>
    <w:rsid w:val="00964429"/>
    <w:rsid w:val="009644B9"/>
    <w:rsid w:val="009645B5"/>
    <w:rsid w:val="009645E3"/>
    <w:rsid w:val="00964730"/>
    <w:rsid w:val="00964C17"/>
    <w:rsid w:val="00964EA3"/>
    <w:rsid w:val="00964F23"/>
    <w:rsid w:val="00965165"/>
    <w:rsid w:val="00965228"/>
    <w:rsid w:val="00965A7A"/>
    <w:rsid w:val="00966119"/>
    <w:rsid w:val="00966183"/>
    <w:rsid w:val="009661D5"/>
    <w:rsid w:val="00966208"/>
    <w:rsid w:val="009664DF"/>
    <w:rsid w:val="00966643"/>
    <w:rsid w:val="00966CD7"/>
    <w:rsid w:val="0096715B"/>
    <w:rsid w:val="009671CF"/>
    <w:rsid w:val="0096728D"/>
    <w:rsid w:val="00967331"/>
    <w:rsid w:val="00967474"/>
    <w:rsid w:val="00970264"/>
    <w:rsid w:val="00970265"/>
    <w:rsid w:val="0097131B"/>
    <w:rsid w:val="009716D3"/>
    <w:rsid w:val="00971B8C"/>
    <w:rsid w:val="00971C34"/>
    <w:rsid w:val="00972297"/>
    <w:rsid w:val="00972398"/>
    <w:rsid w:val="0097285F"/>
    <w:rsid w:val="00972B49"/>
    <w:rsid w:val="00972CA3"/>
    <w:rsid w:val="00972E38"/>
    <w:rsid w:val="009730F1"/>
    <w:rsid w:val="0097344D"/>
    <w:rsid w:val="00973A98"/>
    <w:rsid w:val="00973D21"/>
    <w:rsid w:val="00973E26"/>
    <w:rsid w:val="00973FA2"/>
    <w:rsid w:val="009740D6"/>
    <w:rsid w:val="00974191"/>
    <w:rsid w:val="00974435"/>
    <w:rsid w:val="009746CE"/>
    <w:rsid w:val="00974742"/>
    <w:rsid w:val="00974B2D"/>
    <w:rsid w:val="00974C2D"/>
    <w:rsid w:val="00974DD7"/>
    <w:rsid w:val="00974ED5"/>
    <w:rsid w:val="00975072"/>
    <w:rsid w:val="009750AF"/>
    <w:rsid w:val="0097515E"/>
    <w:rsid w:val="00975352"/>
    <w:rsid w:val="009757D7"/>
    <w:rsid w:val="00975CE1"/>
    <w:rsid w:val="00975F5A"/>
    <w:rsid w:val="00976126"/>
    <w:rsid w:val="00976199"/>
    <w:rsid w:val="009761D4"/>
    <w:rsid w:val="0097670F"/>
    <w:rsid w:val="0097697F"/>
    <w:rsid w:val="00976B32"/>
    <w:rsid w:val="00976D39"/>
    <w:rsid w:val="00976F38"/>
    <w:rsid w:val="0097706F"/>
    <w:rsid w:val="009776D8"/>
    <w:rsid w:val="00977903"/>
    <w:rsid w:val="0097795D"/>
    <w:rsid w:val="00977AC7"/>
    <w:rsid w:val="0098016E"/>
    <w:rsid w:val="00980245"/>
    <w:rsid w:val="0098038B"/>
    <w:rsid w:val="009809DF"/>
    <w:rsid w:val="00980F33"/>
    <w:rsid w:val="00980FCD"/>
    <w:rsid w:val="009812E7"/>
    <w:rsid w:val="009813C0"/>
    <w:rsid w:val="00981624"/>
    <w:rsid w:val="009818BA"/>
    <w:rsid w:val="009819B7"/>
    <w:rsid w:val="00981FAE"/>
    <w:rsid w:val="009824DA"/>
    <w:rsid w:val="00982555"/>
    <w:rsid w:val="00982C39"/>
    <w:rsid w:val="00982F77"/>
    <w:rsid w:val="00982FDB"/>
    <w:rsid w:val="009835A3"/>
    <w:rsid w:val="009836CC"/>
    <w:rsid w:val="00983870"/>
    <w:rsid w:val="00983ACA"/>
    <w:rsid w:val="00983C67"/>
    <w:rsid w:val="00983D43"/>
    <w:rsid w:val="00983EDB"/>
    <w:rsid w:val="00984234"/>
    <w:rsid w:val="009842D2"/>
    <w:rsid w:val="009843D5"/>
    <w:rsid w:val="00984510"/>
    <w:rsid w:val="00984BDB"/>
    <w:rsid w:val="00984E2E"/>
    <w:rsid w:val="00984ECD"/>
    <w:rsid w:val="00985AE7"/>
    <w:rsid w:val="00985CB1"/>
    <w:rsid w:val="00985E29"/>
    <w:rsid w:val="0098606E"/>
    <w:rsid w:val="00986481"/>
    <w:rsid w:val="009865B8"/>
    <w:rsid w:val="00986698"/>
    <w:rsid w:val="009867BC"/>
    <w:rsid w:val="00986970"/>
    <w:rsid w:val="00986EB2"/>
    <w:rsid w:val="00987086"/>
    <w:rsid w:val="00987116"/>
    <w:rsid w:val="009871EC"/>
    <w:rsid w:val="00987536"/>
    <w:rsid w:val="009876D4"/>
    <w:rsid w:val="0098785F"/>
    <w:rsid w:val="00987B48"/>
    <w:rsid w:val="00987B51"/>
    <w:rsid w:val="00987C52"/>
    <w:rsid w:val="00987D4C"/>
    <w:rsid w:val="00987D68"/>
    <w:rsid w:val="00987DA6"/>
    <w:rsid w:val="00987E47"/>
    <w:rsid w:val="0099004F"/>
    <w:rsid w:val="00990073"/>
    <w:rsid w:val="009900DC"/>
    <w:rsid w:val="00990242"/>
    <w:rsid w:val="009903EE"/>
    <w:rsid w:val="0099065F"/>
    <w:rsid w:val="00990686"/>
    <w:rsid w:val="009906D8"/>
    <w:rsid w:val="00990A68"/>
    <w:rsid w:val="00990AC5"/>
    <w:rsid w:val="00990D24"/>
    <w:rsid w:val="00990D57"/>
    <w:rsid w:val="0099114B"/>
    <w:rsid w:val="00991531"/>
    <w:rsid w:val="009916F9"/>
    <w:rsid w:val="0099183B"/>
    <w:rsid w:val="00991976"/>
    <w:rsid w:val="00992071"/>
    <w:rsid w:val="0099256C"/>
    <w:rsid w:val="00992786"/>
    <w:rsid w:val="00992863"/>
    <w:rsid w:val="00992B2D"/>
    <w:rsid w:val="00992C67"/>
    <w:rsid w:val="00993301"/>
    <w:rsid w:val="0099335B"/>
    <w:rsid w:val="009934C9"/>
    <w:rsid w:val="009936D7"/>
    <w:rsid w:val="009939F5"/>
    <w:rsid w:val="00993A9C"/>
    <w:rsid w:val="00993F97"/>
    <w:rsid w:val="00994A53"/>
    <w:rsid w:val="00994BF1"/>
    <w:rsid w:val="00994C9B"/>
    <w:rsid w:val="00994EF6"/>
    <w:rsid w:val="00994F27"/>
    <w:rsid w:val="00995070"/>
    <w:rsid w:val="009955BC"/>
    <w:rsid w:val="00995C6A"/>
    <w:rsid w:val="00995C93"/>
    <w:rsid w:val="00996216"/>
    <w:rsid w:val="00996574"/>
    <w:rsid w:val="009965CA"/>
    <w:rsid w:val="009966AB"/>
    <w:rsid w:val="00996AD9"/>
    <w:rsid w:val="00996C1B"/>
    <w:rsid w:val="00996D74"/>
    <w:rsid w:val="00997368"/>
    <w:rsid w:val="00997898"/>
    <w:rsid w:val="009978BD"/>
    <w:rsid w:val="009979F1"/>
    <w:rsid w:val="00997B03"/>
    <w:rsid w:val="00997BA9"/>
    <w:rsid w:val="00997E55"/>
    <w:rsid w:val="00997E65"/>
    <w:rsid w:val="00997F3D"/>
    <w:rsid w:val="009A03CB"/>
    <w:rsid w:val="009A05E5"/>
    <w:rsid w:val="009A07DA"/>
    <w:rsid w:val="009A0844"/>
    <w:rsid w:val="009A0B04"/>
    <w:rsid w:val="009A0B8C"/>
    <w:rsid w:val="009A0C3D"/>
    <w:rsid w:val="009A0E3F"/>
    <w:rsid w:val="009A0FF8"/>
    <w:rsid w:val="009A1516"/>
    <w:rsid w:val="009A15DD"/>
    <w:rsid w:val="009A1604"/>
    <w:rsid w:val="009A18A7"/>
    <w:rsid w:val="009A2B78"/>
    <w:rsid w:val="009A2D88"/>
    <w:rsid w:val="009A2DF1"/>
    <w:rsid w:val="009A32B2"/>
    <w:rsid w:val="009A349D"/>
    <w:rsid w:val="009A3594"/>
    <w:rsid w:val="009A3622"/>
    <w:rsid w:val="009A39DA"/>
    <w:rsid w:val="009A3C95"/>
    <w:rsid w:val="009A3F0E"/>
    <w:rsid w:val="009A4529"/>
    <w:rsid w:val="009A46FE"/>
    <w:rsid w:val="009A4B31"/>
    <w:rsid w:val="009A4C06"/>
    <w:rsid w:val="009A50A8"/>
    <w:rsid w:val="009A52E0"/>
    <w:rsid w:val="009A586D"/>
    <w:rsid w:val="009A588E"/>
    <w:rsid w:val="009A5D25"/>
    <w:rsid w:val="009A61B3"/>
    <w:rsid w:val="009A6B2E"/>
    <w:rsid w:val="009A6C31"/>
    <w:rsid w:val="009A70D2"/>
    <w:rsid w:val="009A782F"/>
    <w:rsid w:val="009A7C08"/>
    <w:rsid w:val="009B00B6"/>
    <w:rsid w:val="009B0997"/>
    <w:rsid w:val="009B0B0F"/>
    <w:rsid w:val="009B122A"/>
    <w:rsid w:val="009B12E0"/>
    <w:rsid w:val="009B13E1"/>
    <w:rsid w:val="009B1507"/>
    <w:rsid w:val="009B171F"/>
    <w:rsid w:val="009B1F9A"/>
    <w:rsid w:val="009B2479"/>
    <w:rsid w:val="009B28B3"/>
    <w:rsid w:val="009B2DBB"/>
    <w:rsid w:val="009B3398"/>
    <w:rsid w:val="009B34C8"/>
    <w:rsid w:val="009B3BA6"/>
    <w:rsid w:val="009B3DF6"/>
    <w:rsid w:val="009B42D4"/>
    <w:rsid w:val="009B45BD"/>
    <w:rsid w:val="009B46E0"/>
    <w:rsid w:val="009B493A"/>
    <w:rsid w:val="009B49AA"/>
    <w:rsid w:val="009B4A88"/>
    <w:rsid w:val="009B4B85"/>
    <w:rsid w:val="009B4E7B"/>
    <w:rsid w:val="009B540A"/>
    <w:rsid w:val="009B558C"/>
    <w:rsid w:val="009B5AA5"/>
    <w:rsid w:val="009B5B76"/>
    <w:rsid w:val="009B5BAF"/>
    <w:rsid w:val="009B5F94"/>
    <w:rsid w:val="009B5FAE"/>
    <w:rsid w:val="009B641E"/>
    <w:rsid w:val="009B64EA"/>
    <w:rsid w:val="009B748D"/>
    <w:rsid w:val="009B7771"/>
    <w:rsid w:val="009B7800"/>
    <w:rsid w:val="009B7825"/>
    <w:rsid w:val="009B79F6"/>
    <w:rsid w:val="009C0164"/>
    <w:rsid w:val="009C0404"/>
    <w:rsid w:val="009C0946"/>
    <w:rsid w:val="009C0985"/>
    <w:rsid w:val="009C0ACF"/>
    <w:rsid w:val="009C0CBA"/>
    <w:rsid w:val="009C0E8C"/>
    <w:rsid w:val="009C0F25"/>
    <w:rsid w:val="009C0F6E"/>
    <w:rsid w:val="009C1298"/>
    <w:rsid w:val="009C1394"/>
    <w:rsid w:val="009C1412"/>
    <w:rsid w:val="009C1528"/>
    <w:rsid w:val="009C16D6"/>
    <w:rsid w:val="009C196E"/>
    <w:rsid w:val="009C1B64"/>
    <w:rsid w:val="009C21CF"/>
    <w:rsid w:val="009C25A9"/>
    <w:rsid w:val="009C2A71"/>
    <w:rsid w:val="009C2A96"/>
    <w:rsid w:val="009C2E38"/>
    <w:rsid w:val="009C2FD7"/>
    <w:rsid w:val="009C308F"/>
    <w:rsid w:val="009C3179"/>
    <w:rsid w:val="009C3304"/>
    <w:rsid w:val="009C3643"/>
    <w:rsid w:val="009C3682"/>
    <w:rsid w:val="009C38AF"/>
    <w:rsid w:val="009C38B1"/>
    <w:rsid w:val="009C3A86"/>
    <w:rsid w:val="009C3F44"/>
    <w:rsid w:val="009C4991"/>
    <w:rsid w:val="009C4A75"/>
    <w:rsid w:val="009C513C"/>
    <w:rsid w:val="009C5217"/>
    <w:rsid w:val="009C5556"/>
    <w:rsid w:val="009C5B32"/>
    <w:rsid w:val="009C5D22"/>
    <w:rsid w:val="009C601F"/>
    <w:rsid w:val="009C6031"/>
    <w:rsid w:val="009C62AA"/>
    <w:rsid w:val="009C64CF"/>
    <w:rsid w:val="009C6E5B"/>
    <w:rsid w:val="009C73F6"/>
    <w:rsid w:val="009C74D3"/>
    <w:rsid w:val="009C75B9"/>
    <w:rsid w:val="009C7C0A"/>
    <w:rsid w:val="009D03FD"/>
    <w:rsid w:val="009D0466"/>
    <w:rsid w:val="009D0638"/>
    <w:rsid w:val="009D0792"/>
    <w:rsid w:val="009D0FF6"/>
    <w:rsid w:val="009D1017"/>
    <w:rsid w:val="009D13F0"/>
    <w:rsid w:val="009D1D55"/>
    <w:rsid w:val="009D2233"/>
    <w:rsid w:val="009D2679"/>
    <w:rsid w:val="009D28E5"/>
    <w:rsid w:val="009D2966"/>
    <w:rsid w:val="009D32DD"/>
    <w:rsid w:val="009D33AD"/>
    <w:rsid w:val="009D33BE"/>
    <w:rsid w:val="009D34AB"/>
    <w:rsid w:val="009D3764"/>
    <w:rsid w:val="009D3775"/>
    <w:rsid w:val="009D3AAC"/>
    <w:rsid w:val="009D3CEA"/>
    <w:rsid w:val="009D42B6"/>
    <w:rsid w:val="009D4414"/>
    <w:rsid w:val="009D46AA"/>
    <w:rsid w:val="009D482F"/>
    <w:rsid w:val="009D48A8"/>
    <w:rsid w:val="009D4C09"/>
    <w:rsid w:val="009D4C5D"/>
    <w:rsid w:val="009D5B1E"/>
    <w:rsid w:val="009D5C2C"/>
    <w:rsid w:val="009D5C95"/>
    <w:rsid w:val="009D5E7A"/>
    <w:rsid w:val="009D6030"/>
    <w:rsid w:val="009D6191"/>
    <w:rsid w:val="009D6228"/>
    <w:rsid w:val="009D6660"/>
    <w:rsid w:val="009D6A6E"/>
    <w:rsid w:val="009D6B43"/>
    <w:rsid w:val="009D6F2A"/>
    <w:rsid w:val="009D714F"/>
    <w:rsid w:val="009D7210"/>
    <w:rsid w:val="009D7243"/>
    <w:rsid w:val="009D7281"/>
    <w:rsid w:val="009D730A"/>
    <w:rsid w:val="009D74AD"/>
    <w:rsid w:val="009D7521"/>
    <w:rsid w:val="009D79DC"/>
    <w:rsid w:val="009D7C0A"/>
    <w:rsid w:val="009D7DE2"/>
    <w:rsid w:val="009E05C6"/>
    <w:rsid w:val="009E080A"/>
    <w:rsid w:val="009E08F6"/>
    <w:rsid w:val="009E0B77"/>
    <w:rsid w:val="009E126B"/>
    <w:rsid w:val="009E1319"/>
    <w:rsid w:val="009E1415"/>
    <w:rsid w:val="009E178C"/>
    <w:rsid w:val="009E1898"/>
    <w:rsid w:val="009E1A5D"/>
    <w:rsid w:val="009E1A7D"/>
    <w:rsid w:val="009E1AE8"/>
    <w:rsid w:val="009E1CB6"/>
    <w:rsid w:val="009E1DCB"/>
    <w:rsid w:val="009E1DE8"/>
    <w:rsid w:val="009E20E8"/>
    <w:rsid w:val="009E22BB"/>
    <w:rsid w:val="009E2644"/>
    <w:rsid w:val="009E26DE"/>
    <w:rsid w:val="009E293E"/>
    <w:rsid w:val="009E2A53"/>
    <w:rsid w:val="009E31C1"/>
    <w:rsid w:val="009E31D9"/>
    <w:rsid w:val="009E35D0"/>
    <w:rsid w:val="009E3A9C"/>
    <w:rsid w:val="009E3DA4"/>
    <w:rsid w:val="009E480F"/>
    <w:rsid w:val="009E4951"/>
    <w:rsid w:val="009E4B48"/>
    <w:rsid w:val="009E4CD2"/>
    <w:rsid w:val="009E4EAF"/>
    <w:rsid w:val="009E533A"/>
    <w:rsid w:val="009E53C2"/>
    <w:rsid w:val="009E55AD"/>
    <w:rsid w:val="009E57BA"/>
    <w:rsid w:val="009E5FC0"/>
    <w:rsid w:val="009E6077"/>
    <w:rsid w:val="009E62BD"/>
    <w:rsid w:val="009E62C7"/>
    <w:rsid w:val="009E62E5"/>
    <w:rsid w:val="009E63D7"/>
    <w:rsid w:val="009E644A"/>
    <w:rsid w:val="009E65E1"/>
    <w:rsid w:val="009E68DF"/>
    <w:rsid w:val="009E6A0E"/>
    <w:rsid w:val="009E6A99"/>
    <w:rsid w:val="009E6CB0"/>
    <w:rsid w:val="009E7190"/>
    <w:rsid w:val="009E7471"/>
    <w:rsid w:val="009E79A4"/>
    <w:rsid w:val="009F0152"/>
    <w:rsid w:val="009F0197"/>
    <w:rsid w:val="009F0292"/>
    <w:rsid w:val="009F03BC"/>
    <w:rsid w:val="009F0409"/>
    <w:rsid w:val="009F0539"/>
    <w:rsid w:val="009F0702"/>
    <w:rsid w:val="009F07F1"/>
    <w:rsid w:val="009F08C0"/>
    <w:rsid w:val="009F0985"/>
    <w:rsid w:val="009F0B41"/>
    <w:rsid w:val="009F0B6C"/>
    <w:rsid w:val="009F0BD5"/>
    <w:rsid w:val="009F0BDE"/>
    <w:rsid w:val="009F0DE8"/>
    <w:rsid w:val="009F0E05"/>
    <w:rsid w:val="009F0E4C"/>
    <w:rsid w:val="009F1A84"/>
    <w:rsid w:val="009F1F01"/>
    <w:rsid w:val="009F207C"/>
    <w:rsid w:val="009F22A8"/>
    <w:rsid w:val="009F22DC"/>
    <w:rsid w:val="009F23C9"/>
    <w:rsid w:val="009F2D71"/>
    <w:rsid w:val="009F2E2F"/>
    <w:rsid w:val="009F32C5"/>
    <w:rsid w:val="009F3554"/>
    <w:rsid w:val="009F3627"/>
    <w:rsid w:val="009F3729"/>
    <w:rsid w:val="009F3B64"/>
    <w:rsid w:val="009F40A1"/>
    <w:rsid w:val="009F41DF"/>
    <w:rsid w:val="009F43B1"/>
    <w:rsid w:val="009F43FA"/>
    <w:rsid w:val="009F4CDE"/>
    <w:rsid w:val="009F4D4C"/>
    <w:rsid w:val="009F4DB1"/>
    <w:rsid w:val="009F5464"/>
    <w:rsid w:val="009F548E"/>
    <w:rsid w:val="009F54DA"/>
    <w:rsid w:val="009F5CF2"/>
    <w:rsid w:val="009F5F85"/>
    <w:rsid w:val="009F6240"/>
    <w:rsid w:val="009F6391"/>
    <w:rsid w:val="009F6685"/>
    <w:rsid w:val="009F69D5"/>
    <w:rsid w:val="009F6B1F"/>
    <w:rsid w:val="009F6BFA"/>
    <w:rsid w:val="009F6CC2"/>
    <w:rsid w:val="009F6DA2"/>
    <w:rsid w:val="009F717C"/>
    <w:rsid w:val="009F718C"/>
    <w:rsid w:val="009F7327"/>
    <w:rsid w:val="009F7816"/>
    <w:rsid w:val="009F78EA"/>
    <w:rsid w:val="009F7B15"/>
    <w:rsid w:val="009F7E1D"/>
    <w:rsid w:val="00A002E6"/>
    <w:rsid w:val="00A006D0"/>
    <w:rsid w:val="00A00CE6"/>
    <w:rsid w:val="00A0104C"/>
    <w:rsid w:val="00A01278"/>
    <w:rsid w:val="00A016C3"/>
    <w:rsid w:val="00A01796"/>
    <w:rsid w:val="00A01F7B"/>
    <w:rsid w:val="00A02102"/>
    <w:rsid w:val="00A0216B"/>
    <w:rsid w:val="00A0242B"/>
    <w:rsid w:val="00A02453"/>
    <w:rsid w:val="00A02881"/>
    <w:rsid w:val="00A029AE"/>
    <w:rsid w:val="00A02BA8"/>
    <w:rsid w:val="00A02BC2"/>
    <w:rsid w:val="00A02F98"/>
    <w:rsid w:val="00A02FFF"/>
    <w:rsid w:val="00A03057"/>
    <w:rsid w:val="00A03131"/>
    <w:rsid w:val="00A0392B"/>
    <w:rsid w:val="00A03A24"/>
    <w:rsid w:val="00A03A61"/>
    <w:rsid w:val="00A03DB2"/>
    <w:rsid w:val="00A04033"/>
    <w:rsid w:val="00A04227"/>
    <w:rsid w:val="00A04336"/>
    <w:rsid w:val="00A04450"/>
    <w:rsid w:val="00A04DAD"/>
    <w:rsid w:val="00A050C2"/>
    <w:rsid w:val="00A05570"/>
    <w:rsid w:val="00A05D4C"/>
    <w:rsid w:val="00A05E5A"/>
    <w:rsid w:val="00A05F92"/>
    <w:rsid w:val="00A062E9"/>
    <w:rsid w:val="00A0636B"/>
    <w:rsid w:val="00A064CB"/>
    <w:rsid w:val="00A06588"/>
    <w:rsid w:val="00A06637"/>
    <w:rsid w:val="00A0677A"/>
    <w:rsid w:val="00A067E5"/>
    <w:rsid w:val="00A06C51"/>
    <w:rsid w:val="00A071CF"/>
    <w:rsid w:val="00A0723C"/>
    <w:rsid w:val="00A07266"/>
    <w:rsid w:val="00A072D9"/>
    <w:rsid w:val="00A07388"/>
    <w:rsid w:val="00A073EF"/>
    <w:rsid w:val="00A07585"/>
    <w:rsid w:val="00A075B8"/>
    <w:rsid w:val="00A10164"/>
    <w:rsid w:val="00A10A29"/>
    <w:rsid w:val="00A10B92"/>
    <w:rsid w:val="00A113BF"/>
    <w:rsid w:val="00A115A9"/>
    <w:rsid w:val="00A1164A"/>
    <w:rsid w:val="00A11681"/>
    <w:rsid w:val="00A119EB"/>
    <w:rsid w:val="00A11A85"/>
    <w:rsid w:val="00A11B4B"/>
    <w:rsid w:val="00A11D6A"/>
    <w:rsid w:val="00A11ECD"/>
    <w:rsid w:val="00A120E8"/>
    <w:rsid w:val="00A1216B"/>
    <w:rsid w:val="00A122D5"/>
    <w:rsid w:val="00A12621"/>
    <w:rsid w:val="00A12776"/>
    <w:rsid w:val="00A127DA"/>
    <w:rsid w:val="00A12C29"/>
    <w:rsid w:val="00A12E53"/>
    <w:rsid w:val="00A13212"/>
    <w:rsid w:val="00A132B6"/>
    <w:rsid w:val="00A13511"/>
    <w:rsid w:val="00A1370C"/>
    <w:rsid w:val="00A139C5"/>
    <w:rsid w:val="00A140EB"/>
    <w:rsid w:val="00A147F8"/>
    <w:rsid w:val="00A14D87"/>
    <w:rsid w:val="00A14E66"/>
    <w:rsid w:val="00A15256"/>
    <w:rsid w:val="00A153CE"/>
    <w:rsid w:val="00A155E4"/>
    <w:rsid w:val="00A15B11"/>
    <w:rsid w:val="00A15D09"/>
    <w:rsid w:val="00A15FA5"/>
    <w:rsid w:val="00A16431"/>
    <w:rsid w:val="00A1643B"/>
    <w:rsid w:val="00A166C4"/>
    <w:rsid w:val="00A16829"/>
    <w:rsid w:val="00A16A77"/>
    <w:rsid w:val="00A16B39"/>
    <w:rsid w:val="00A16BE4"/>
    <w:rsid w:val="00A170CF"/>
    <w:rsid w:val="00A174C5"/>
    <w:rsid w:val="00A1774F"/>
    <w:rsid w:val="00A17933"/>
    <w:rsid w:val="00A17B1A"/>
    <w:rsid w:val="00A20575"/>
    <w:rsid w:val="00A20C7C"/>
    <w:rsid w:val="00A20D2D"/>
    <w:rsid w:val="00A20D3F"/>
    <w:rsid w:val="00A218EE"/>
    <w:rsid w:val="00A21B31"/>
    <w:rsid w:val="00A2233F"/>
    <w:rsid w:val="00A2284D"/>
    <w:rsid w:val="00A22905"/>
    <w:rsid w:val="00A22C55"/>
    <w:rsid w:val="00A22E16"/>
    <w:rsid w:val="00A22F1E"/>
    <w:rsid w:val="00A23277"/>
    <w:rsid w:val="00A23376"/>
    <w:rsid w:val="00A2349E"/>
    <w:rsid w:val="00A235FC"/>
    <w:rsid w:val="00A240E5"/>
    <w:rsid w:val="00A24198"/>
    <w:rsid w:val="00A2450F"/>
    <w:rsid w:val="00A2456D"/>
    <w:rsid w:val="00A249C0"/>
    <w:rsid w:val="00A24AFE"/>
    <w:rsid w:val="00A24C03"/>
    <w:rsid w:val="00A25608"/>
    <w:rsid w:val="00A25812"/>
    <w:rsid w:val="00A2587C"/>
    <w:rsid w:val="00A258E9"/>
    <w:rsid w:val="00A25F06"/>
    <w:rsid w:val="00A25FA5"/>
    <w:rsid w:val="00A262DC"/>
    <w:rsid w:val="00A26487"/>
    <w:rsid w:val="00A26B37"/>
    <w:rsid w:val="00A272AA"/>
    <w:rsid w:val="00A27637"/>
    <w:rsid w:val="00A277D2"/>
    <w:rsid w:val="00A3030A"/>
    <w:rsid w:val="00A3034C"/>
    <w:rsid w:val="00A30450"/>
    <w:rsid w:val="00A30C1F"/>
    <w:rsid w:val="00A30DF0"/>
    <w:rsid w:val="00A30EE2"/>
    <w:rsid w:val="00A31115"/>
    <w:rsid w:val="00A3123B"/>
    <w:rsid w:val="00A31455"/>
    <w:rsid w:val="00A31596"/>
    <w:rsid w:val="00A31D08"/>
    <w:rsid w:val="00A328EE"/>
    <w:rsid w:val="00A3298E"/>
    <w:rsid w:val="00A32B36"/>
    <w:rsid w:val="00A32C2E"/>
    <w:rsid w:val="00A32E3C"/>
    <w:rsid w:val="00A32EB0"/>
    <w:rsid w:val="00A330B5"/>
    <w:rsid w:val="00A33122"/>
    <w:rsid w:val="00A3365B"/>
    <w:rsid w:val="00A33AC6"/>
    <w:rsid w:val="00A33BB4"/>
    <w:rsid w:val="00A3401C"/>
    <w:rsid w:val="00A3417F"/>
    <w:rsid w:val="00A349DC"/>
    <w:rsid w:val="00A34D59"/>
    <w:rsid w:val="00A34E14"/>
    <w:rsid w:val="00A3503C"/>
    <w:rsid w:val="00A3510C"/>
    <w:rsid w:val="00A352BF"/>
    <w:rsid w:val="00A35526"/>
    <w:rsid w:val="00A35E16"/>
    <w:rsid w:val="00A3638A"/>
    <w:rsid w:val="00A363A5"/>
    <w:rsid w:val="00A365BB"/>
    <w:rsid w:val="00A36824"/>
    <w:rsid w:val="00A36BF0"/>
    <w:rsid w:val="00A36DB6"/>
    <w:rsid w:val="00A3718D"/>
    <w:rsid w:val="00A371E4"/>
    <w:rsid w:val="00A379A3"/>
    <w:rsid w:val="00A400AE"/>
    <w:rsid w:val="00A40423"/>
    <w:rsid w:val="00A40914"/>
    <w:rsid w:val="00A40CA0"/>
    <w:rsid w:val="00A40EAC"/>
    <w:rsid w:val="00A41031"/>
    <w:rsid w:val="00A410A4"/>
    <w:rsid w:val="00A411E0"/>
    <w:rsid w:val="00A41282"/>
    <w:rsid w:val="00A413BA"/>
    <w:rsid w:val="00A41861"/>
    <w:rsid w:val="00A41910"/>
    <w:rsid w:val="00A41D89"/>
    <w:rsid w:val="00A4252B"/>
    <w:rsid w:val="00A42621"/>
    <w:rsid w:val="00A42F42"/>
    <w:rsid w:val="00A43072"/>
    <w:rsid w:val="00A43158"/>
    <w:rsid w:val="00A43DF2"/>
    <w:rsid w:val="00A43F27"/>
    <w:rsid w:val="00A43FE1"/>
    <w:rsid w:val="00A441F6"/>
    <w:rsid w:val="00A44471"/>
    <w:rsid w:val="00A4486B"/>
    <w:rsid w:val="00A44CB3"/>
    <w:rsid w:val="00A44D68"/>
    <w:rsid w:val="00A45B3F"/>
    <w:rsid w:val="00A45B61"/>
    <w:rsid w:val="00A45C25"/>
    <w:rsid w:val="00A461D4"/>
    <w:rsid w:val="00A4626A"/>
    <w:rsid w:val="00A46684"/>
    <w:rsid w:val="00A467B7"/>
    <w:rsid w:val="00A4763C"/>
    <w:rsid w:val="00A47727"/>
    <w:rsid w:val="00A477FA"/>
    <w:rsid w:val="00A47E90"/>
    <w:rsid w:val="00A47EEA"/>
    <w:rsid w:val="00A502D6"/>
    <w:rsid w:val="00A50A07"/>
    <w:rsid w:val="00A50C36"/>
    <w:rsid w:val="00A50EE6"/>
    <w:rsid w:val="00A50FE2"/>
    <w:rsid w:val="00A51129"/>
    <w:rsid w:val="00A515A6"/>
    <w:rsid w:val="00A51642"/>
    <w:rsid w:val="00A519DC"/>
    <w:rsid w:val="00A51AEA"/>
    <w:rsid w:val="00A5223B"/>
    <w:rsid w:val="00A5230D"/>
    <w:rsid w:val="00A5265C"/>
    <w:rsid w:val="00A5288B"/>
    <w:rsid w:val="00A52DC5"/>
    <w:rsid w:val="00A52E51"/>
    <w:rsid w:val="00A53002"/>
    <w:rsid w:val="00A53077"/>
    <w:rsid w:val="00A53565"/>
    <w:rsid w:val="00A53A49"/>
    <w:rsid w:val="00A53AB6"/>
    <w:rsid w:val="00A54493"/>
    <w:rsid w:val="00A547F7"/>
    <w:rsid w:val="00A548EF"/>
    <w:rsid w:val="00A54E9C"/>
    <w:rsid w:val="00A54FCB"/>
    <w:rsid w:val="00A55145"/>
    <w:rsid w:val="00A55331"/>
    <w:rsid w:val="00A5664E"/>
    <w:rsid w:val="00A566A3"/>
    <w:rsid w:val="00A566BA"/>
    <w:rsid w:val="00A56D90"/>
    <w:rsid w:val="00A56DEA"/>
    <w:rsid w:val="00A56EED"/>
    <w:rsid w:val="00A56FDD"/>
    <w:rsid w:val="00A573AC"/>
    <w:rsid w:val="00A5751B"/>
    <w:rsid w:val="00A5763C"/>
    <w:rsid w:val="00A577F5"/>
    <w:rsid w:val="00A57887"/>
    <w:rsid w:val="00A57D37"/>
    <w:rsid w:val="00A60144"/>
    <w:rsid w:val="00A60320"/>
    <w:rsid w:val="00A603E6"/>
    <w:rsid w:val="00A60577"/>
    <w:rsid w:val="00A60853"/>
    <w:rsid w:val="00A6090A"/>
    <w:rsid w:val="00A60B3F"/>
    <w:rsid w:val="00A611AC"/>
    <w:rsid w:val="00A612FE"/>
    <w:rsid w:val="00A61AA6"/>
    <w:rsid w:val="00A61F98"/>
    <w:rsid w:val="00A622BD"/>
    <w:rsid w:val="00A622F5"/>
    <w:rsid w:val="00A6230F"/>
    <w:rsid w:val="00A623D1"/>
    <w:rsid w:val="00A63058"/>
    <w:rsid w:val="00A63145"/>
    <w:rsid w:val="00A633F5"/>
    <w:rsid w:val="00A6373A"/>
    <w:rsid w:val="00A63D0D"/>
    <w:rsid w:val="00A63E4A"/>
    <w:rsid w:val="00A6432D"/>
    <w:rsid w:val="00A64527"/>
    <w:rsid w:val="00A6455F"/>
    <w:rsid w:val="00A64625"/>
    <w:rsid w:val="00A6466B"/>
    <w:rsid w:val="00A64AD3"/>
    <w:rsid w:val="00A64E5D"/>
    <w:rsid w:val="00A6599D"/>
    <w:rsid w:val="00A65B62"/>
    <w:rsid w:val="00A662BD"/>
    <w:rsid w:val="00A66D0A"/>
    <w:rsid w:val="00A66DD1"/>
    <w:rsid w:val="00A66FF9"/>
    <w:rsid w:val="00A674AD"/>
    <w:rsid w:val="00A67D8A"/>
    <w:rsid w:val="00A67EA9"/>
    <w:rsid w:val="00A700BE"/>
    <w:rsid w:val="00A701A1"/>
    <w:rsid w:val="00A70261"/>
    <w:rsid w:val="00A702BE"/>
    <w:rsid w:val="00A705E2"/>
    <w:rsid w:val="00A70E8B"/>
    <w:rsid w:val="00A70F68"/>
    <w:rsid w:val="00A7101C"/>
    <w:rsid w:val="00A71112"/>
    <w:rsid w:val="00A711FE"/>
    <w:rsid w:val="00A71335"/>
    <w:rsid w:val="00A71386"/>
    <w:rsid w:val="00A71F98"/>
    <w:rsid w:val="00A722A5"/>
    <w:rsid w:val="00A7271E"/>
    <w:rsid w:val="00A72B8C"/>
    <w:rsid w:val="00A72E40"/>
    <w:rsid w:val="00A72F06"/>
    <w:rsid w:val="00A732A6"/>
    <w:rsid w:val="00A732CE"/>
    <w:rsid w:val="00A733EF"/>
    <w:rsid w:val="00A737B1"/>
    <w:rsid w:val="00A7415F"/>
    <w:rsid w:val="00A745B0"/>
    <w:rsid w:val="00A74713"/>
    <w:rsid w:val="00A748CB"/>
    <w:rsid w:val="00A7553A"/>
    <w:rsid w:val="00A755FB"/>
    <w:rsid w:val="00A75973"/>
    <w:rsid w:val="00A75A5B"/>
    <w:rsid w:val="00A75A6D"/>
    <w:rsid w:val="00A75C47"/>
    <w:rsid w:val="00A75E67"/>
    <w:rsid w:val="00A762A2"/>
    <w:rsid w:val="00A7646F"/>
    <w:rsid w:val="00A7649A"/>
    <w:rsid w:val="00A765BE"/>
    <w:rsid w:val="00A76D85"/>
    <w:rsid w:val="00A77516"/>
    <w:rsid w:val="00A7756D"/>
    <w:rsid w:val="00A77663"/>
    <w:rsid w:val="00A77E9D"/>
    <w:rsid w:val="00A802DD"/>
    <w:rsid w:val="00A80329"/>
    <w:rsid w:val="00A805E7"/>
    <w:rsid w:val="00A8129A"/>
    <w:rsid w:val="00A812DB"/>
    <w:rsid w:val="00A8131D"/>
    <w:rsid w:val="00A81514"/>
    <w:rsid w:val="00A816D8"/>
    <w:rsid w:val="00A81ACE"/>
    <w:rsid w:val="00A81CA4"/>
    <w:rsid w:val="00A81DEF"/>
    <w:rsid w:val="00A822E9"/>
    <w:rsid w:val="00A823B6"/>
    <w:rsid w:val="00A824A4"/>
    <w:rsid w:val="00A827B6"/>
    <w:rsid w:val="00A828F1"/>
    <w:rsid w:val="00A82953"/>
    <w:rsid w:val="00A82C27"/>
    <w:rsid w:val="00A82CBF"/>
    <w:rsid w:val="00A83242"/>
    <w:rsid w:val="00A835F9"/>
    <w:rsid w:val="00A83794"/>
    <w:rsid w:val="00A83805"/>
    <w:rsid w:val="00A84093"/>
    <w:rsid w:val="00A84239"/>
    <w:rsid w:val="00A84362"/>
    <w:rsid w:val="00A84B93"/>
    <w:rsid w:val="00A84BE6"/>
    <w:rsid w:val="00A851AA"/>
    <w:rsid w:val="00A85249"/>
    <w:rsid w:val="00A858C9"/>
    <w:rsid w:val="00A858F4"/>
    <w:rsid w:val="00A85BA7"/>
    <w:rsid w:val="00A8618C"/>
    <w:rsid w:val="00A86265"/>
    <w:rsid w:val="00A862E4"/>
    <w:rsid w:val="00A863AC"/>
    <w:rsid w:val="00A863C8"/>
    <w:rsid w:val="00A866A1"/>
    <w:rsid w:val="00A8681D"/>
    <w:rsid w:val="00A86C45"/>
    <w:rsid w:val="00A86F63"/>
    <w:rsid w:val="00A87016"/>
    <w:rsid w:val="00A8703A"/>
    <w:rsid w:val="00A871ED"/>
    <w:rsid w:val="00A8721E"/>
    <w:rsid w:val="00A8740C"/>
    <w:rsid w:val="00A8791E"/>
    <w:rsid w:val="00A87A9D"/>
    <w:rsid w:val="00A90114"/>
    <w:rsid w:val="00A90703"/>
    <w:rsid w:val="00A90A25"/>
    <w:rsid w:val="00A90C8B"/>
    <w:rsid w:val="00A90F27"/>
    <w:rsid w:val="00A90FEC"/>
    <w:rsid w:val="00A90FFB"/>
    <w:rsid w:val="00A910C9"/>
    <w:rsid w:val="00A913FF"/>
    <w:rsid w:val="00A91597"/>
    <w:rsid w:val="00A91B5E"/>
    <w:rsid w:val="00A91F97"/>
    <w:rsid w:val="00A922B1"/>
    <w:rsid w:val="00A9236F"/>
    <w:rsid w:val="00A9270B"/>
    <w:rsid w:val="00A9279D"/>
    <w:rsid w:val="00A927A0"/>
    <w:rsid w:val="00A92A6D"/>
    <w:rsid w:val="00A92CC7"/>
    <w:rsid w:val="00A931A8"/>
    <w:rsid w:val="00A93328"/>
    <w:rsid w:val="00A93411"/>
    <w:rsid w:val="00A934E0"/>
    <w:rsid w:val="00A93541"/>
    <w:rsid w:val="00A93673"/>
    <w:rsid w:val="00A939B5"/>
    <w:rsid w:val="00A93C46"/>
    <w:rsid w:val="00A94330"/>
    <w:rsid w:val="00A94963"/>
    <w:rsid w:val="00A94A55"/>
    <w:rsid w:val="00A94C1E"/>
    <w:rsid w:val="00A94D87"/>
    <w:rsid w:val="00A94E09"/>
    <w:rsid w:val="00A95146"/>
    <w:rsid w:val="00A95223"/>
    <w:rsid w:val="00A95355"/>
    <w:rsid w:val="00A954B9"/>
    <w:rsid w:val="00A95571"/>
    <w:rsid w:val="00A955EE"/>
    <w:rsid w:val="00A959E5"/>
    <w:rsid w:val="00A95BE2"/>
    <w:rsid w:val="00A95F22"/>
    <w:rsid w:val="00A95FFB"/>
    <w:rsid w:val="00A96057"/>
    <w:rsid w:val="00A963D4"/>
    <w:rsid w:val="00A964F6"/>
    <w:rsid w:val="00A96662"/>
    <w:rsid w:val="00A96732"/>
    <w:rsid w:val="00A96E62"/>
    <w:rsid w:val="00A96E7E"/>
    <w:rsid w:val="00A97161"/>
    <w:rsid w:val="00A97371"/>
    <w:rsid w:val="00A97492"/>
    <w:rsid w:val="00A975A9"/>
    <w:rsid w:val="00AA0266"/>
    <w:rsid w:val="00AA06E2"/>
    <w:rsid w:val="00AA09E4"/>
    <w:rsid w:val="00AA104B"/>
    <w:rsid w:val="00AA11FE"/>
    <w:rsid w:val="00AA1326"/>
    <w:rsid w:val="00AA18C9"/>
    <w:rsid w:val="00AA1F6D"/>
    <w:rsid w:val="00AA1FC9"/>
    <w:rsid w:val="00AA216B"/>
    <w:rsid w:val="00AA2283"/>
    <w:rsid w:val="00AA2314"/>
    <w:rsid w:val="00AA24A8"/>
    <w:rsid w:val="00AA2505"/>
    <w:rsid w:val="00AA266D"/>
    <w:rsid w:val="00AA2862"/>
    <w:rsid w:val="00AA2BCD"/>
    <w:rsid w:val="00AA30D7"/>
    <w:rsid w:val="00AA33A7"/>
    <w:rsid w:val="00AA33FC"/>
    <w:rsid w:val="00AA3454"/>
    <w:rsid w:val="00AA346E"/>
    <w:rsid w:val="00AA372D"/>
    <w:rsid w:val="00AA396C"/>
    <w:rsid w:val="00AA3C30"/>
    <w:rsid w:val="00AA3E1C"/>
    <w:rsid w:val="00AA4126"/>
    <w:rsid w:val="00AA427E"/>
    <w:rsid w:val="00AA43B6"/>
    <w:rsid w:val="00AA4C9F"/>
    <w:rsid w:val="00AA50C6"/>
    <w:rsid w:val="00AA524B"/>
    <w:rsid w:val="00AA52FD"/>
    <w:rsid w:val="00AA5819"/>
    <w:rsid w:val="00AA6305"/>
    <w:rsid w:val="00AA642B"/>
    <w:rsid w:val="00AA69FE"/>
    <w:rsid w:val="00AA6EFB"/>
    <w:rsid w:val="00AA723A"/>
    <w:rsid w:val="00AA72E5"/>
    <w:rsid w:val="00AA7437"/>
    <w:rsid w:val="00AA767B"/>
    <w:rsid w:val="00AA773E"/>
    <w:rsid w:val="00AB03F6"/>
    <w:rsid w:val="00AB0743"/>
    <w:rsid w:val="00AB0B56"/>
    <w:rsid w:val="00AB0EA6"/>
    <w:rsid w:val="00AB0ECD"/>
    <w:rsid w:val="00AB135B"/>
    <w:rsid w:val="00AB169F"/>
    <w:rsid w:val="00AB192F"/>
    <w:rsid w:val="00AB1FFE"/>
    <w:rsid w:val="00AB224E"/>
    <w:rsid w:val="00AB28F0"/>
    <w:rsid w:val="00AB2918"/>
    <w:rsid w:val="00AB2A63"/>
    <w:rsid w:val="00AB2D7A"/>
    <w:rsid w:val="00AB2F41"/>
    <w:rsid w:val="00AB387B"/>
    <w:rsid w:val="00AB3DC1"/>
    <w:rsid w:val="00AB405F"/>
    <w:rsid w:val="00AB40B3"/>
    <w:rsid w:val="00AB41F4"/>
    <w:rsid w:val="00AB44D9"/>
    <w:rsid w:val="00AB463A"/>
    <w:rsid w:val="00AB4BE2"/>
    <w:rsid w:val="00AB4CD6"/>
    <w:rsid w:val="00AB4D1F"/>
    <w:rsid w:val="00AB4F9B"/>
    <w:rsid w:val="00AB518D"/>
    <w:rsid w:val="00AB5204"/>
    <w:rsid w:val="00AB579F"/>
    <w:rsid w:val="00AB57AA"/>
    <w:rsid w:val="00AB5943"/>
    <w:rsid w:val="00AB5D20"/>
    <w:rsid w:val="00AB5E2C"/>
    <w:rsid w:val="00AB5EB2"/>
    <w:rsid w:val="00AB622F"/>
    <w:rsid w:val="00AB6254"/>
    <w:rsid w:val="00AB64D5"/>
    <w:rsid w:val="00AB6AE4"/>
    <w:rsid w:val="00AB6DF0"/>
    <w:rsid w:val="00AB7056"/>
    <w:rsid w:val="00AB7622"/>
    <w:rsid w:val="00AB7B0E"/>
    <w:rsid w:val="00AC0012"/>
    <w:rsid w:val="00AC03D5"/>
    <w:rsid w:val="00AC0417"/>
    <w:rsid w:val="00AC0528"/>
    <w:rsid w:val="00AC05D4"/>
    <w:rsid w:val="00AC076A"/>
    <w:rsid w:val="00AC0CDC"/>
    <w:rsid w:val="00AC0E76"/>
    <w:rsid w:val="00AC111D"/>
    <w:rsid w:val="00AC128F"/>
    <w:rsid w:val="00AC12A7"/>
    <w:rsid w:val="00AC16F7"/>
    <w:rsid w:val="00AC1B67"/>
    <w:rsid w:val="00AC1D79"/>
    <w:rsid w:val="00AC1EE6"/>
    <w:rsid w:val="00AC2551"/>
    <w:rsid w:val="00AC28BE"/>
    <w:rsid w:val="00AC2C04"/>
    <w:rsid w:val="00AC2D32"/>
    <w:rsid w:val="00AC2E47"/>
    <w:rsid w:val="00AC30B9"/>
    <w:rsid w:val="00AC30D5"/>
    <w:rsid w:val="00AC3330"/>
    <w:rsid w:val="00AC362D"/>
    <w:rsid w:val="00AC3BAE"/>
    <w:rsid w:val="00AC3C0F"/>
    <w:rsid w:val="00AC3C49"/>
    <w:rsid w:val="00AC42F3"/>
    <w:rsid w:val="00AC46AE"/>
    <w:rsid w:val="00AC491E"/>
    <w:rsid w:val="00AC4B67"/>
    <w:rsid w:val="00AC4E6C"/>
    <w:rsid w:val="00AC5182"/>
    <w:rsid w:val="00AC55AC"/>
    <w:rsid w:val="00AC5A29"/>
    <w:rsid w:val="00AC5B6F"/>
    <w:rsid w:val="00AC5C14"/>
    <w:rsid w:val="00AC6142"/>
    <w:rsid w:val="00AC63FB"/>
    <w:rsid w:val="00AC6535"/>
    <w:rsid w:val="00AC6955"/>
    <w:rsid w:val="00AC6B16"/>
    <w:rsid w:val="00AC6BF0"/>
    <w:rsid w:val="00AC6C78"/>
    <w:rsid w:val="00AC6DD3"/>
    <w:rsid w:val="00AC7138"/>
    <w:rsid w:val="00AC7297"/>
    <w:rsid w:val="00AC72A6"/>
    <w:rsid w:val="00AC75EF"/>
    <w:rsid w:val="00AC7832"/>
    <w:rsid w:val="00AC78EB"/>
    <w:rsid w:val="00AC79C7"/>
    <w:rsid w:val="00AC7BCB"/>
    <w:rsid w:val="00AC7C18"/>
    <w:rsid w:val="00AC7D04"/>
    <w:rsid w:val="00AC7F28"/>
    <w:rsid w:val="00AD02EE"/>
    <w:rsid w:val="00AD0534"/>
    <w:rsid w:val="00AD082A"/>
    <w:rsid w:val="00AD0845"/>
    <w:rsid w:val="00AD0F95"/>
    <w:rsid w:val="00AD10E3"/>
    <w:rsid w:val="00AD1145"/>
    <w:rsid w:val="00AD122A"/>
    <w:rsid w:val="00AD1324"/>
    <w:rsid w:val="00AD1842"/>
    <w:rsid w:val="00AD18BB"/>
    <w:rsid w:val="00AD1B64"/>
    <w:rsid w:val="00AD1D3E"/>
    <w:rsid w:val="00AD1DEC"/>
    <w:rsid w:val="00AD2595"/>
    <w:rsid w:val="00AD25D2"/>
    <w:rsid w:val="00AD29D6"/>
    <w:rsid w:val="00AD2AE0"/>
    <w:rsid w:val="00AD31BF"/>
    <w:rsid w:val="00AD32F8"/>
    <w:rsid w:val="00AD371C"/>
    <w:rsid w:val="00AD385D"/>
    <w:rsid w:val="00AD3886"/>
    <w:rsid w:val="00AD3EF7"/>
    <w:rsid w:val="00AD411C"/>
    <w:rsid w:val="00AD4343"/>
    <w:rsid w:val="00AD47D3"/>
    <w:rsid w:val="00AD490B"/>
    <w:rsid w:val="00AD4AAC"/>
    <w:rsid w:val="00AD4CE9"/>
    <w:rsid w:val="00AD5047"/>
    <w:rsid w:val="00AD51AE"/>
    <w:rsid w:val="00AD55F2"/>
    <w:rsid w:val="00AD5E34"/>
    <w:rsid w:val="00AD6239"/>
    <w:rsid w:val="00AD658F"/>
    <w:rsid w:val="00AD65E9"/>
    <w:rsid w:val="00AD671B"/>
    <w:rsid w:val="00AD68BA"/>
    <w:rsid w:val="00AD6A1D"/>
    <w:rsid w:val="00AD6BBB"/>
    <w:rsid w:val="00AD6EF4"/>
    <w:rsid w:val="00AD755C"/>
    <w:rsid w:val="00AD783E"/>
    <w:rsid w:val="00AD7A16"/>
    <w:rsid w:val="00AD7BCF"/>
    <w:rsid w:val="00AE0250"/>
    <w:rsid w:val="00AE0517"/>
    <w:rsid w:val="00AE0A9B"/>
    <w:rsid w:val="00AE0FE1"/>
    <w:rsid w:val="00AE106E"/>
    <w:rsid w:val="00AE111F"/>
    <w:rsid w:val="00AE128A"/>
    <w:rsid w:val="00AE1794"/>
    <w:rsid w:val="00AE17EC"/>
    <w:rsid w:val="00AE191D"/>
    <w:rsid w:val="00AE1938"/>
    <w:rsid w:val="00AE1F79"/>
    <w:rsid w:val="00AE2192"/>
    <w:rsid w:val="00AE228C"/>
    <w:rsid w:val="00AE2407"/>
    <w:rsid w:val="00AE277C"/>
    <w:rsid w:val="00AE2979"/>
    <w:rsid w:val="00AE2F77"/>
    <w:rsid w:val="00AE33DC"/>
    <w:rsid w:val="00AE3852"/>
    <w:rsid w:val="00AE38EA"/>
    <w:rsid w:val="00AE391A"/>
    <w:rsid w:val="00AE3DB6"/>
    <w:rsid w:val="00AE3FB1"/>
    <w:rsid w:val="00AE42EC"/>
    <w:rsid w:val="00AE45A3"/>
    <w:rsid w:val="00AE4FE1"/>
    <w:rsid w:val="00AE52F1"/>
    <w:rsid w:val="00AE5498"/>
    <w:rsid w:val="00AE5520"/>
    <w:rsid w:val="00AE5887"/>
    <w:rsid w:val="00AE5897"/>
    <w:rsid w:val="00AE58C3"/>
    <w:rsid w:val="00AE5DFF"/>
    <w:rsid w:val="00AE6511"/>
    <w:rsid w:val="00AE6A5F"/>
    <w:rsid w:val="00AE6FE7"/>
    <w:rsid w:val="00AE6FFF"/>
    <w:rsid w:val="00AE709E"/>
    <w:rsid w:val="00AE7322"/>
    <w:rsid w:val="00AE7421"/>
    <w:rsid w:val="00AE74B7"/>
    <w:rsid w:val="00AF00A2"/>
    <w:rsid w:val="00AF0353"/>
    <w:rsid w:val="00AF05F5"/>
    <w:rsid w:val="00AF0865"/>
    <w:rsid w:val="00AF0B3E"/>
    <w:rsid w:val="00AF0EDF"/>
    <w:rsid w:val="00AF11EF"/>
    <w:rsid w:val="00AF1260"/>
    <w:rsid w:val="00AF153C"/>
    <w:rsid w:val="00AF1658"/>
    <w:rsid w:val="00AF1AAE"/>
    <w:rsid w:val="00AF1D84"/>
    <w:rsid w:val="00AF1DCE"/>
    <w:rsid w:val="00AF1F47"/>
    <w:rsid w:val="00AF20C0"/>
    <w:rsid w:val="00AF2314"/>
    <w:rsid w:val="00AF231F"/>
    <w:rsid w:val="00AF2703"/>
    <w:rsid w:val="00AF2754"/>
    <w:rsid w:val="00AF2D8D"/>
    <w:rsid w:val="00AF301F"/>
    <w:rsid w:val="00AF3086"/>
    <w:rsid w:val="00AF3833"/>
    <w:rsid w:val="00AF3CC5"/>
    <w:rsid w:val="00AF4239"/>
    <w:rsid w:val="00AF448C"/>
    <w:rsid w:val="00AF45AD"/>
    <w:rsid w:val="00AF4A4F"/>
    <w:rsid w:val="00AF4B8C"/>
    <w:rsid w:val="00AF4E2D"/>
    <w:rsid w:val="00AF52DA"/>
    <w:rsid w:val="00AF5375"/>
    <w:rsid w:val="00AF5C33"/>
    <w:rsid w:val="00AF61B8"/>
    <w:rsid w:val="00AF6458"/>
    <w:rsid w:val="00AF687C"/>
    <w:rsid w:val="00AF6D77"/>
    <w:rsid w:val="00AF7364"/>
    <w:rsid w:val="00AF76E3"/>
    <w:rsid w:val="00AF7900"/>
    <w:rsid w:val="00AF7B0E"/>
    <w:rsid w:val="00AF7BEF"/>
    <w:rsid w:val="00AF7EF4"/>
    <w:rsid w:val="00B00650"/>
    <w:rsid w:val="00B01473"/>
    <w:rsid w:val="00B015C3"/>
    <w:rsid w:val="00B01B7A"/>
    <w:rsid w:val="00B02468"/>
    <w:rsid w:val="00B027AF"/>
    <w:rsid w:val="00B02A0F"/>
    <w:rsid w:val="00B02A62"/>
    <w:rsid w:val="00B02C11"/>
    <w:rsid w:val="00B02CE6"/>
    <w:rsid w:val="00B02FF6"/>
    <w:rsid w:val="00B03366"/>
    <w:rsid w:val="00B03941"/>
    <w:rsid w:val="00B03C60"/>
    <w:rsid w:val="00B04159"/>
    <w:rsid w:val="00B044B3"/>
    <w:rsid w:val="00B04DEB"/>
    <w:rsid w:val="00B0511E"/>
    <w:rsid w:val="00B05157"/>
    <w:rsid w:val="00B065C2"/>
    <w:rsid w:val="00B065DA"/>
    <w:rsid w:val="00B06B56"/>
    <w:rsid w:val="00B070F4"/>
    <w:rsid w:val="00B07894"/>
    <w:rsid w:val="00B078AF"/>
    <w:rsid w:val="00B07B85"/>
    <w:rsid w:val="00B07C65"/>
    <w:rsid w:val="00B104A2"/>
    <w:rsid w:val="00B109FB"/>
    <w:rsid w:val="00B10A41"/>
    <w:rsid w:val="00B10F8E"/>
    <w:rsid w:val="00B110F1"/>
    <w:rsid w:val="00B1111C"/>
    <w:rsid w:val="00B11157"/>
    <w:rsid w:val="00B111E3"/>
    <w:rsid w:val="00B115EF"/>
    <w:rsid w:val="00B11925"/>
    <w:rsid w:val="00B11A5F"/>
    <w:rsid w:val="00B123FA"/>
    <w:rsid w:val="00B12448"/>
    <w:rsid w:val="00B12C4F"/>
    <w:rsid w:val="00B12E99"/>
    <w:rsid w:val="00B12F1B"/>
    <w:rsid w:val="00B12F6F"/>
    <w:rsid w:val="00B12FB4"/>
    <w:rsid w:val="00B13589"/>
    <w:rsid w:val="00B13B69"/>
    <w:rsid w:val="00B13D3C"/>
    <w:rsid w:val="00B13FAF"/>
    <w:rsid w:val="00B14224"/>
    <w:rsid w:val="00B1447D"/>
    <w:rsid w:val="00B14996"/>
    <w:rsid w:val="00B149AB"/>
    <w:rsid w:val="00B150A6"/>
    <w:rsid w:val="00B155B5"/>
    <w:rsid w:val="00B156CB"/>
    <w:rsid w:val="00B1576D"/>
    <w:rsid w:val="00B15DEB"/>
    <w:rsid w:val="00B15E32"/>
    <w:rsid w:val="00B15EEC"/>
    <w:rsid w:val="00B15F05"/>
    <w:rsid w:val="00B15F8B"/>
    <w:rsid w:val="00B15FE6"/>
    <w:rsid w:val="00B16034"/>
    <w:rsid w:val="00B161BE"/>
    <w:rsid w:val="00B16208"/>
    <w:rsid w:val="00B1622D"/>
    <w:rsid w:val="00B1637D"/>
    <w:rsid w:val="00B167CC"/>
    <w:rsid w:val="00B16FCF"/>
    <w:rsid w:val="00B17007"/>
    <w:rsid w:val="00B17236"/>
    <w:rsid w:val="00B175F1"/>
    <w:rsid w:val="00B17C3F"/>
    <w:rsid w:val="00B17D24"/>
    <w:rsid w:val="00B17FE3"/>
    <w:rsid w:val="00B20364"/>
    <w:rsid w:val="00B205B0"/>
    <w:rsid w:val="00B2074A"/>
    <w:rsid w:val="00B20A0B"/>
    <w:rsid w:val="00B20B4E"/>
    <w:rsid w:val="00B20BF2"/>
    <w:rsid w:val="00B21C84"/>
    <w:rsid w:val="00B2225B"/>
    <w:rsid w:val="00B22858"/>
    <w:rsid w:val="00B22AB1"/>
    <w:rsid w:val="00B22B3F"/>
    <w:rsid w:val="00B23127"/>
    <w:rsid w:val="00B23132"/>
    <w:rsid w:val="00B23577"/>
    <w:rsid w:val="00B2382A"/>
    <w:rsid w:val="00B239C1"/>
    <w:rsid w:val="00B23A34"/>
    <w:rsid w:val="00B23FA1"/>
    <w:rsid w:val="00B247F8"/>
    <w:rsid w:val="00B248A5"/>
    <w:rsid w:val="00B24B40"/>
    <w:rsid w:val="00B24D4E"/>
    <w:rsid w:val="00B25013"/>
    <w:rsid w:val="00B2505A"/>
    <w:rsid w:val="00B25277"/>
    <w:rsid w:val="00B25435"/>
    <w:rsid w:val="00B25475"/>
    <w:rsid w:val="00B25529"/>
    <w:rsid w:val="00B25679"/>
    <w:rsid w:val="00B2587C"/>
    <w:rsid w:val="00B258E1"/>
    <w:rsid w:val="00B258F0"/>
    <w:rsid w:val="00B25AAC"/>
    <w:rsid w:val="00B25C83"/>
    <w:rsid w:val="00B263FA"/>
    <w:rsid w:val="00B26613"/>
    <w:rsid w:val="00B267F8"/>
    <w:rsid w:val="00B26C14"/>
    <w:rsid w:val="00B27033"/>
    <w:rsid w:val="00B27129"/>
    <w:rsid w:val="00B2770D"/>
    <w:rsid w:val="00B278B0"/>
    <w:rsid w:val="00B27A9D"/>
    <w:rsid w:val="00B27B86"/>
    <w:rsid w:val="00B27EF6"/>
    <w:rsid w:val="00B306B2"/>
    <w:rsid w:val="00B30B08"/>
    <w:rsid w:val="00B311E4"/>
    <w:rsid w:val="00B31648"/>
    <w:rsid w:val="00B319E8"/>
    <w:rsid w:val="00B31A70"/>
    <w:rsid w:val="00B32120"/>
    <w:rsid w:val="00B32610"/>
    <w:rsid w:val="00B32D25"/>
    <w:rsid w:val="00B32DDE"/>
    <w:rsid w:val="00B32EC7"/>
    <w:rsid w:val="00B330A0"/>
    <w:rsid w:val="00B33199"/>
    <w:rsid w:val="00B33292"/>
    <w:rsid w:val="00B337EE"/>
    <w:rsid w:val="00B337F9"/>
    <w:rsid w:val="00B338B6"/>
    <w:rsid w:val="00B33A94"/>
    <w:rsid w:val="00B344A6"/>
    <w:rsid w:val="00B348BA"/>
    <w:rsid w:val="00B348EE"/>
    <w:rsid w:val="00B34AE0"/>
    <w:rsid w:val="00B34CA2"/>
    <w:rsid w:val="00B34CE4"/>
    <w:rsid w:val="00B34DE3"/>
    <w:rsid w:val="00B34FE1"/>
    <w:rsid w:val="00B3544C"/>
    <w:rsid w:val="00B36142"/>
    <w:rsid w:val="00B361A7"/>
    <w:rsid w:val="00B36471"/>
    <w:rsid w:val="00B36579"/>
    <w:rsid w:val="00B365BB"/>
    <w:rsid w:val="00B365C1"/>
    <w:rsid w:val="00B3694B"/>
    <w:rsid w:val="00B36EAD"/>
    <w:rsid w:val="00B3774C"/>
    <w:rsid w:val="00B378B6"/>
    <w:rsid w:val="00B37CFE"/>
    <w:rsid w:val="00B37DC7"/>
    <w:rsid w:val="00B37FE3"/>
    <w:rsid w:val="00B405AC"/>
    <w:rsid w:val="00B40817"/>
    <w:rsid w:val="00B40F8E"/>
    <w:rsid w:val="00B41534"/>
    <w:rsid w:val="00B415D2"/>
    <w:rsid w:val="00B416EF"/>
    <w:rsid w:val="00B418A3"/>
    <w:rsid w:val="00B41A62"/>
    <w:rsid w:val="00B41B81"/>
    <w:rsid w:val="00B41E7F"/>
    <w:rsid w:val="00B41EC1"/>
    <w:rsid w:val="00B4246D"/>
    <w:rsid w:val="00B42589"/>
    <w:rsid w:val="00B42995"/>
    <w:rsid w:val="00B42B86"/>
    <w:rsid w:val="00B42DA2"/>
    <w:rsid w:val="00B4313E"/>
    <w:rsid w:val="00B433F0"/>
    <w:rsid w:val="00B43443"/>
    <w:rsid w:val="00B4391D"/>
    <w:rsid w:val="00B43C5E"/>
    <w:rsid w:val="00B43E89"/>
    <w:rsid w:val="00B4454D"/>
    <w:rsid w:val="00B44616"/>
    <w:rsid w:val="00B4494E"/>
    <w:rsid w:val="00B44A00"/>
    <w:rsid w:val="00B44BE2"/>
    <w:rsid w:val="00B45110"/>
    <w:rsid w:val="00B45156"/>
    <w:rsid w:val="00B45263"/>
    <w:rsid w:val="00B4543B"/>
    <w:rsid w:val="00B458AA"/>
    <w:rsid w:val="00B459EF"/>
    <w:rsid w:val="00B45EA0"/>
    <w:rsid w:val="00B4642F"/>
    <w:rsid w:val="00B466C8"/>
    <w:rsid w:val="00B46BD2"/>
    <w:rsid w:val="00B46C9C"/>
    <w:rsid w:val="00B46E66"/>
    <w:rsid w:val="00B46FE6"/>
    <w:rsid w:val="00B47226"/>
    <w:rsid w:val="00B47268"/>
    <w:rsid w:val="00B473C9"/>
    <w:rsid w:val="00B47692"/>
    <w:rsid w:val="00B476F6"/>
    <w:rsid w:val="00B47C7B"/>
    <w:rsid w:val="00B47EBF"/>
    <w:rsid w:val="00B50591"/>
    <w:rsid w:val="00B5093D"/>
    <w:rsid w:val="00B509EF"/>
    <w:rsid w:val="00B51230"/>
    <w:rsid w:val="00B512D8"/>
    <w:rsid w:val="00B51513"/>
    <w:rsid w:val="00B51734"/>
    <w:rsid w:val="00B525FE"/>
    <w:rsid w:val="00B52790"/>
    <w:rsid w:val="00B5295D"/>
    <w:rsid w:val="00B52B61"/>
    <w:rsid w:val="00B52EE4"/>
    <w:rsid w:val="00B535B8"/>
    <w:rsid w:val="00B53629"/>
    <w:rsid w:val="00B53A69"/>
    <w:rsid w:val="00B53A76"/>
    <w:rsid w:val="00B53BF0"/>
    <w:rsid w:val="00B54340"/>
    <w:rsid w:val="00B548A5"/>
    <w:rsid w:val="00B54916"/>
    <w:rsid w:val="00B54C92"/>
    <w:rsid w:val="00B54EE1"/>
    <w:rsid w:val="00B54F08"/>
    <w:rsid w:val="00B55850"/>
    <w:rsid w:val="00B55888"/>
    <w:rsid w:val="00B5590D"/>
    <w:rsid w:val="00B55984"/>
    <w:rsid w:val="00B55AF9"/>
    <w:rsid w:val="00B5614C"/>
    <w:rsid w:val="00B5634D"/>
    <w:rsid w:val="00B565E6"/>
    <w:rsid w:val="00B56644"/>
    <w:rsid w:val="00B56A21"/>
    <w:rsid w:val="00B56C54"/>
    <w:rsid w:val="00B57659"/>
    <w:rsid w:val="00B57883"/>
    <w:rsid w:val="00B57CD1"/>
    <w:rsid w:val="00B60026"/>
    <w:rsid w:val="00B6023B"/>
    <w:rsid w:val="00B606C6"/>
    <w:rsid w:val="00B6076A"/>
    <w:rsid w:val="00B60919"/>
    <w:rsid w:val="00B60944"/>
    <w:rsid w:val="00B60C10"/>
    <w:rsid w:val="00B60EE3"/>
    <w:rsid w:val="00B610C1"/>
    <w:rsid w:val="00B612F3"/>
    <w:rsid w:val="00B61A38"/>
    <w:rsid w:val="00B61AFF"/>
    <w:rsid w:val="00B625D6"/>
    <w:rsid w:val="00B62C31"/>
    <w:rsid w:val="00B62D50"/>
    <w:rsid w:val="00B63972"/>
    <w:rsid w:val="00B63ADA"/>
    <w:rsid w:val="00B63B8D"/>
    <w:rsid w:val="00B63C48"/>
    <w:rsid w:val="00B63FDB"/>
    <w:rsid w:val="00B640DE"/>
    <w:rsid w:val="00B642E7"/>
    <w:rsid w:val="00B644CF"/>
    <w:rsid w:val="00B646D5"/>
    <w:rsid w:val="00B64CA2"/>
    <w:rsid w:val="00B6509C"/>
    <w:rsid w:val="00B65337"/>
    <w:rsid w:val="00B6537F"/>
    <w:rsid w:val="00B65531"/>
    <w:rsid w:val="00B65854"/>
    <w:rsid w:val="00B659FA"/>
    <w:rsid w:val="00B65E07"/>
    <w:rsid w:val="00B65F5C"/>
    <w:rsid w:val="00B660BA"/>
    <w:rsid w:val="00B6627D"/>
    <w:rsid w:val="00B664EF"/>
    <w:rsid w:val="00B667BC"/>
    <w:rsid w:val="00B66F2F"/>
    <w:rsid w:val="00B67021"/>
    <w:rsid w:val="00B6711A"/>
    <w:rsid w:val="00B67160"/>
    <w:rsid w:val="00B674BE"/>
    <w:rsid w:val="00B67585"/>
    <w:rsid w:val="00B677E8"/>
    <w:rsid w:val="00B67D7B"/>
    <w:rsid w:val="00B67F27"/>
    <w:rsid w:val="00B70B4E"/>
    <w:rsid w:val="00B70CA7"/>
    <w:rsid w:val="00B71143"/>
    <w:rsid w:val="00B711AA"/>
    <w:rsid w:val="00B714B8"/>
    <w:rsid w:val="00B7156C"/>
    <w:rsid w:val="00B71858"/>
    <w:rsid w:val="00B71975"/>
    <w:rsid w:val="00B71F51"/>
    <w:rsid w:val="00B72070"/>
    <w:rsid w:val="00B722CB"/>
    <w:rsid w:val="00B7244A"/>
    <w:rsid w:val="00B728B8"/>
    <w:rsid w:val="00B72B82"/>
    <w:rsid w:val="00B72CB6"/>
    <w:rsid w:val="00B72DBB"/>
    <w:rsid w:val="00B72FA0"/>
    <w:rsid w:val="00B730CA"/>
    <w:rsid w:val="00B732DD"/>
    <w:rsid w:val="00B73BCF"/>
    <w:rsid w:val="00B73C02"/>
    <w:rsid w:val="00B73F31"/>
    <w:rsid w:val="00B74061"/>
    <w:rsid w:val="00B740DE"/>
    <w:rsid w:val="00B74121"/>
    <w:rsid w:val="00B74313"/>
    <w:rsid w:val="00B7446C"/>
    <w:rsid w:val="00B744FF"/>
    <w:rsid w:val="00B7458E"/>
    <w:rsid w:val="00B74CAE"/>
    <w:rsid w:val="00B750C7"/>
    <w:rsid w:val="00B75352"/>
    <w:rsid w:val="00B7550A"/>
    <w:rsid w:val="00B756E3"/>
    <w:rsid w:val="00B75B71"/>
    <w:rsid w:val="00B75C02"/>
    <w:rsid w:val="00B75FD1"/>
    <w:rsid w:val="00B7626E"/>
    <w:rsid w:val="00B76386"/>
    <w:rsid w:val="00B76679"/>
    <w:rsid w:val="00B76BCF"/>
    <w:rsid w:val="00B76DD8"/>
    <w:rsid w:val="00B76FCA"/>
    <w:rsid w:val="00B76FD9"/>
    <w:rsid w:val="00B77FEF"/>
    <w:rsid w:val="00B8009A"/>
    <w:rsid w:val="00B80131"/>
    <w:rsid w:val="00B80252"/>
    <w:rsid w:val="00B802E4"/>
    <w:rsid w:val="00B8049B"/>
    <w:rsid w:val="00B809D7"/>
    <w:rsid w:val="00B810CE"/>
    <w:rsid w:val="00B818B3"/>
    <w:rsid w:val="00B81AB4"/>
    <w:rsid w:val="00B81AF3"/>
    <w:rsid w:val="00B81EFE"/>
    <w:rsid w:val="00B81F60"/>
    <w:rsid w:val="00B81FE8"/>
    <w:rsid w:val="00B82593"/>
    <w:rsid w:val="00B825CF"/>
    <w:rsid w:val="00B826D0"/>
    <w:rsid w:val="00B8274E"/>
    <w:rsid w:val="00B82CB8"/>
    <w:rsid w:val="00B82F2A"/>
    <w:rsid w:val="00B83A13"/>
    <w:rsid w:val="00B83E6A"/>
    <w:rsid w:val="00B84000"/>
    <w:rsid w:val="00B844C3"/>
    <w:rsid w:val="00B8480A"/>
    <w:rsid w:val="00B8493E"/>
    <w:rsid w:val="00B84D39"/>
    <w:rsid w:val="00B85332"/>
    <w:rsid w:val="00B8545F"/>
    <w:rsid w:val="00B857A3"/>
    <w:rsid w:val="00B857A8"/>
    <w:rsid w:val="00B857AC"/>
    <w:rsid w:val="00B85F63"/>
    <w:rsid w:val="00B8601C"/>
    <w:rsid w:val="00B86230"/>
    <w:rsid w:val="00B862DF"/>
    <w:rsid w:val="00B86426"/>
    <w:rsid w:val="00B8645E"/>
    <w:rsid w:val="00B86B78"/>
    <w:rsid w:val="00B86DDD"/>
    <w:rsid w:val="00B87177"/>
    <w:rsid w:val="00B8779A"/>
    <w:rsid w:val="00B87920"/>
    <w:rsid w:val="00B87E4B"/>
    <w:rsid w:val="00B90317"/>
    <w:rsid w:val="00B9034D"/>
    <w:rsid w:val="00B90778"/>
    <w:rsid w:val="00B90943"/>
    <w:rsid w:val="00B90A64"/>
    <w:rsid w:val="00B90AB6"/>
    <w:rsid w:val="00B90B70"/>
    <w:rsid w:val="00B90E23"/>
    <w:rsid w:val="00B91113"/>
    <w:rsid w:val="00B91119"/>
    <w:rsid w:val="00B917E6"/>
    <w:rsid w:val="00B91BDA"/>
    <w:rsid w:val="00B91C7D"/>
    <w:rsid w:val="00B924DD"/>
    <w:rsid w:val="00B92513"/>
    <w:rsid w:val="00B9263A"/>
    <w:rsid w:val="00B92851"/>
    <w:rsid w:val="00B92968"/>
    <w:rsid w:val="00B929F7"/>
    <w:rsid w:val="00B92CB5"/>
    <w:rsid w:val="00B92FB7"/>
    <w:rsid w:val="00B9310C"/>
    <w:rsid w:val="00B93388"/>
    <w:rsid w:val="00B93466"/>
    <w:rsid w:val="00B93680"/>
    <w:rsid w:val="00B9391C"/>
    <w:rsid w:val="00B939E9"/>
    <w:rsid w:val="00B93B45"/>
    <w:rsid w:val="00B941F2"/>
    <w:rsid w:val="00B942DF"/>
    <w:rsid w:val="00B943D5"/>
    <w:rsid w:val="00B94731"/>
    <w:rsid w:val="00B94AE9"/>
    <w:rsid w:val="00B94EBF"/>
    <w:rsid w:val="00B94F19"/>
    <w:rsid w:val="00B94F59"/>
    <w:rsid w:val="00B94FB3"/>
    <w:rsid w:val="00B954EB"/>
    <w:rsid w:val="00B958AD"/>
    <w:rsid w:val="00B95C00"/>
    <w:rsid w:val="00B96135"/>
    <w:rsid w:val="00B963E0"/>
    <w:rsid w:val="00B96466"/>
    <w:rsid w:val="00B965EE"/>
    <w:rsid w:val="00B9707E"/>
    <w:rsid w:val="00B97254"/>
    <w:rsid w:val="00B973ED"/>
    <w:rsid w:val="00B97759"/>
    <w:rsid w:val="00B977FA"/>
    <w:rsid w:val="00B9792E"/>
    <w:rsid w:val="00B97CC8"/>
    <w:rsid w:val="00B97E7D"/>
    <w:rsid w:val="00BA033D"/>
    <w:rsid w:val="00BA0481"/>
    <w:rsid w:val="00BA04E8"/>
    <w:rsid w:val="00BA09F4"/>
    <w:rsid w:val="00BA0D45"/>
    <w:rsid w:val="00BA1000"/>
    <w:rsid w:val="00BA11E3"/>
    <w:rsid w:val="00BA1234"/>
    <w:rsid w:val="00BA166A"/>
    <w:rsid w:val="00BA1B29"/>
    <w:rsid w:val="00BA2101"/>
    <w:rsid w:val="00BA2146"/>
    <w:rsid w:val="00BA2298"/>
    <w:rsid w:val="00BA23CF"/>
    <w:rsid w:val="00BA2503"/>
    <w:rsid w:val="00BA29B1"/>
    <w:rsid w:val="00BA2C21"/>
    <w:rsid w:val="00BA2C69"/>
    <w:rsid w:val="00BA2C93"/>
    <w:rsid w:val="00BA2CF5"/>
    <w:rsid w:val="00BA30A0"/>
    <w:rsid w:val="00BA358D"/>
    <w:rsid w:val="00BA35D0"/>
    <w:rsid w:val="00BA3817"/>
    <w:rsid w:val="00BA3A22"/>
    <w:rsid w:val="00BA4216"/>
    <w:rsid w:val="00BA45BD"/>
    <w:rsid w:val="00BA524B"/>
    <w:rsid w:val="00BA56F3"/>
    <w:rsid w:val="00BA57A0"/>
    <w:rsid w:val="00BA5833"/>
    <w:rsid w:val="00BA5D2F"/>
    <w:rsid w:val="00BA62C6"/>
    <w:rsid w:val="00BA64A4"/>
    <w:rsid w:val="00BA6926"/>
    <w:rsid w:val="00BA6BA0"/>
    <w:rsid w:val="00BA6F2A"/>
    <w:rsid w:val="00BA7170"/>
    <w:rsid w:val="00BA74D7"/>
    <w:rsid w:val="00BA74EE"/>
    <w:rsid w:val="00BA77FD"/>
    <w:rsid w:val="00BA78E5"/>
    <w:rsid w:val="00BA7F21"/>
    <w:rsid w:val="00BB0200"/>
    <w:rsid w:val="00BB05DB"/>
    <w:rsid w:val="00BB077A"/>
    <w:rsid w:val="00BB1411"/>
    <w:rsid w:val="00BB147C"/>
    <w:rsid w:val="00BB1578"/>
    <w:rsid w:val="00BB1AF8"/>
    <w:rsid w:val="00BB1D52"/>
    <w:rsid w:val="00BB1F69"/>
    <w:rsid w:val="00BB205E"/>
    <w:rsid w:val="00BB2229"/>
    <w:rsid w:val="00BB306E"/>
    <w:rsid w:val="00BB367D"/>
    <w:rsid w:val="00BB39A1"/>
    <w:rsid w:val="00BB3A69"/>
    <w:rsid w:val="00BB3B15"/>
    <w:rsid w:val="00BB3BD3"/>
    <w:rsid w:val="00BB3C1B"/>
    <w:rsid w:val="00BB3E74"/>
    <w:rsid w:val="00BB3EBB"/>
    <w:rsid w:val="00BB4500"/>
    <w:rsid w:val="00BB463A"/>
    <w:rsid w:val="00BB479C"/>
    <w:rsid w:val="00BB542E"/>
    <w:rsid w:val="00BB59DD"/>
    <w:rsid w:val="00BB5C19"/>
    <w:rsid w:val="00BB5EA0"/>
    <w:rsid w:val="00BB6020"/>
    <w:rsid w:val="00BB6317"/>
    <w:rsid w:val="00BB6751"/>
    <w:rsid w:val="00BB69B8"/>
    <w:rsid w:val="00BB6A87"/>
    <w:rsid w:val="00BB711E"/>
    <w:rsid w:val="00BB7175"/>
    <w:rsid w:val="00BB7763"/>
    <w:rsid w:val="00BB77D9"/>
    <w:rsid w:val="00BB7C77"/>
    <w:rsid w:val="00BC005E"/>
    <w:rsid w:val="00BC0089"/>
    <w:rsid w:val="00BC0C49"/>
    <w:rsid w:val="00BC0EBC"/>
    <w:rsid w:val="00BC0F6E"/>
    <w:rsid w:val="00BC1237"/>
    <w:rsid w:val="00BC1482"/>
    <w:rsid w:val="00BC1700"/>
    <w:rsid w:val="00BC1B9A"/>
    <w:rsid w:val="00BC1DEF"/>
    <w:rsid w:val="00BC1EBB"/>
    <w:rsid w:val="00BC20CD"/>
    <w:rsid w:val="00BC2507"/>
    <w:rsid w:val="00BC2516"/>
    <w:rsid w:val="00BC2635"/>
    <w:rsid w:val="00BC263F"/>
    <w:rsid w:val="00BC2BCD"/>
    <w:rsid w:val="00BC2DD4"/>
    <w:rsid w:val="00BC3139"/>
    <w:rsid w:val="00BC330B"/>
    <w:rsid w:val="00BC34C9"/>
    <w:rsid w:val="00BC3B9E"/>
    <w:rsid w:val="00BC3DA8"/>
    <w:rsid w:val="00BC403C"/>
    <w:rsid w:val="00BC4503"/>
    <w:rsid w:val="00BC494F"/>
    <w:rsid w:val="00BC4ACD"/>
    <w:rsid w:val="00BC4DA2"/>
    <w:rsid w:val="00BC50E1"/>
    <w:rsid w:val="00BC57D7"/>
    <w:rsid w:val="00BC589E"/>
    <w:rsid w:val="00BC5D15"/>
    <w:rsid w:val="00BC5F54"/>
    <w:rsid w:val="00BC605B"/>
    <w:rsid w:val="00BC6538"/>
    <w:rsid w:val="00BC6553"/>
    <w:rsid w:val="00BC6750"/>
    <w:rsid w:val="00BC6D27"/>
    <w:rsid w:val="00BC6D49"/>
    <w:rsid w:val="00BC6E6D"/>
    <w:rsid w:val="00BC6EEF"/>
    <w:rsid w:val="00BC7152"/>
    <w:rsid w:val="00BC71D8"/>
    <w:rsid w:val="00BC78E5"/>
    <w:rsid w:val="00BC7C08"/>
    <w:rsid w:val="00BC7EAA"/>
    <w:rsid w:val="00BC7F8C"/>
    <w:rsid w:val="00BD0760"/>
    <w:rsid w:val="00BD0845"/>
    <w:rsid w:val="00BD093E"/>
    <w:rsid w:val="00BD0A51"/>
    <w:rsid w:val="00BD0C5C"/>
    <w:rsid w:val="00BD0D90"/>
    <w:rsid w:val="00BD0F78"/>
    <w:rsid w:val="00BD10DD"/>
    <w:rsid w:val="00BD1377"/>
    <w:rsid w:val="00BD1601"/>
    <w:rsid w:val="00BD1D6E"/>
    <w:rsid w:val="00BD259B"/>
    <w:rsid w:val="00BD283A"/>
    <w:rsid w:val="00BD2BE8"/>
    <w:rsid w:val="00BD2F23"/>
    <w:rsid w:val="00BD385F"/>
    <w:rsid w:val="00BD3948"/>
    <w:rsid w:val="00BD399B"/>
    <w:rsid w:val="00BD39D0"/>
    <w:rsid w:val="00BD3B6E"/>
    <w:rsid w:val="00BD3E0B"/>
    <w:rsid w:val="00BD3E37"/>
    <w:rsid w:val="00BD3FB1"/>
    <w:rsid w:val="00BD40DB"/>
    <w:rsid w:val="00BD423D"/>
    <w:rsid w:val="00BD44B0"/>
    <w:rsid w:val="00BD46C5"/>
    <w:rsid w:val="00BD5285"/>
    <w:rsid w:val="00BD53AE"/>
    <w:rsid w:val="00BD53F6"/>
    <w:rsid w:val="00BD5484"/>
    <w:rsid w:val="00BD55BC"/>
    <w:rsid w:val="00BD5AA8"/>
    <w:rsid w:val="00BD5AE6"/>
    <w:rsid w:val="00BD6001"/>
    <w:rsid w:val="00BD613D"/>
    <w:rsid w:val="00BD62FD"/>
    <w:rsid w:val="00BD6389"/>
    <w:rsid w:val="00BD64EC"/>
    <w:rsid w:val="00BD64F8"/>
    <w:rsid w:val="00BD671B"/>
    <w:rsid w:val="00BD676E"/>
    <w:rsid w:val="00BD6845"/>
    <w:rsid w:val="00BD6B63"/>
    <w:rsid w:val="00BD6CE5"/>
    <w:rsid w:val="00BD6DC6"/>
    <w:rsid w:val="00BD7453"/>
    <w:rsid w:val="00BD7605"/>
    <w:rsid w:val="00BD7DA7"/>
    <w:rsid w:val="00BE084E"/>
    <w:rsid w:val="00BE0CF4"/>
    <w:rsid w:val="00BE0F81"/>
    <w:rsid w:val="00BE1088"/>
    <w:rsid w:val="00BE141F"/>
    <w:rsid w:val="00BE1D0C"/>
    <w:rsid w:val="00BE1F8C"/>
    <w:rsid w:val="00BE2151"/>
    <w:rsid w:val="00BE23A8"/>
    <w:rsid w:val="00BE241A"/>
    <w:rsid w:val="00BE2439"/>
    <w:rsid w:val="00BE251F"/>
    <w:rsid w:val="00BE2546"/>
    <w:rsid w:val="00BE255D"/>
    <w:rsid w:val="00BE2A86"/>
    <w:rsid w:val="00BE2B5E"/>
    <w:rsid w:val="00BE2C3E"/>
    <w:rsid w:val="00BE2DDD"/>
    <w:rsid w:val="00BE329D"/>
    <w:rsid w:val="00BE33B1"/>
    <w:rsid w:val="00BE3AA7"/>
    <w:rsid w:val="00BE3AF2"/>
    <w:rsid w:val="00BE3DBE"/>
    <w:rsid w:val="00BE3EFB"/>
    <w:rsid w:val="00BE421B"/>
    <w:rsid w:val="00BE422D"/>
    <w:rsid w:val="00BE4571"/>
    <w:rsid w:val="00BE457E"/>
    <w:rsid w:val="00BE47B9"/>
    <w:rsid w:val="00BE4DDD"/>
    <w:rsid w:val="00BE4FBF"/>
    <w:rsid w:val="00BE504D"/>
    <w:rsid w:val="00BE526E"/>
    <w:rsid w:val="00BE5391"/>
    <w:rsid w:val="00BE559E"/>
    <w:rsid w:val="00BE5AE4"/>
    <w:rsid w:val="00BE5B35"/>
    <w:rsid w:val="00BE5E40"/>
    <w:rsid w:val="00BE5E8B"/>
    <w:rsid w:val="00BE609E"/>
    <w:rsid w:val="00BE60B3"/>
    <w:rsid w:val="00BE673D"/>
    <w:rsid w:val="00BE6A26"/>
    <w:rsid w:val="00BE6C1D"/>
    <w:rsid w:val="00BE6FDC"/>
    <w:rsid w:val="00BE7CB3"/>
    <w:rsid w:val="00BE7DD8"/>
    <w:rsid w:val="00BE7E02"/>
    <w:rsid w:val="00BE7E64"/>
    <w:rsid w:val="00BF02C6"/>
    <w:rsid w:val="00BF05EE"/>
    <w:rsid w:val="00BF0655"/>
    <w:rsid w:val="00BF0774"/>
    <w:rsid w:val="00BF086C"/>
    <w:rsid w:val="00BF0A7A"/>
    <w:rsid w:val="00BF0D02"/>
    <w:rsid w:val="00BF0E7D"/>
    <w:rsid w:val="00BF12B3"/>
    <w:rsid w:val="00BF1319"/>
    <w:rsid w:val="00BF1C6E"/>
    <w:rsid w:val="00BF1FBE"/>
    <w:rsid w:val="00BF24C2"/>
    <w:rsid w:val="00BF2714"/>
    <w:rsid w:val="00BF2EBE"/>
    <w:rsid w:val="00BF2EFD"/>
    <w:rsid w:val="00BF312F"/>
    <w:rsid w:val="00BF31AA"/>
    <w:rsid w:val="00BF3444"/>
    <w:rsid w:val="00BF476A"/>
    <w:rsid w:val="00BF481D"/>
    <w:rsid w:val="00BF4B3E"/>
    <w:rsid w:val="00BF4D41"/>
    <w:rsid w:val="00BF53C5"/>
    <w:rsid w:val="00BF53E3"/>
    <w:rsid w:val="00BF5531"/>
    <w:rsid w:val="00BF56B6"/>
    <w:rsid w:val="00BF593B"/>
    <w:rsid w:val="00BF5D18"/>
    <w:rsid w:val="00BF5DAF"/>
    <w:rsid w:val="00BF5F74"/>
    <w:rsid w:val="00BF6283"/>
    <w:rsid w:val="00BF64A3"/>
    <w:rsid w:val="00BF65C5"/>
    <w:rsid w:val="00BF6A90"/>
    <w:rsid w:val="00BF6B00"/>
    <w:rsid w:val="00BF6C72"/>
    <w:rsid w:val="00BF6C8E"/>
    <w:rsid w:val="00BF6E95"/>
    <w:rsid w:val="00BF73A1"/>
    <w:rsid w:val="00BF77A5"/>
    <w:rsid w:val="00BF7A00"/>
    <w:rsid w:val="00BF7C14"/>
    <w:rsid w:val="00C0005A"/>
    <w:rsid w:val="00C005A5"/>
    <w:rsid w:val="00C008CA"/>
    <w:rsid w:val="00C00BCC"/>
    <w:rsid w:val="00C0110B"/>
    <w:rsid w:val="00C01166"/>
    <w:rsid w:val="00C0125E"/>
    <w:rsid w:val="00C01719"/>
    <w:rsid w:val="00C019FD"/>
    <w:rsid w:val="00C01A5E"/>
    <w:rsid w:val="00C01EC2"/>
    <w:rsid w:val="00C022F6"/>
    <w:rsid w:val="00C023BC"/>
    <w:rsid w:val="00C025DA"/>
    <w:rsid w:val="00C02763"/>
    <w:rsid w:val="00C02AC6"/>
    <w:rsid w:val="00C02BC1"/>
    <w:rsid w:val="00C0304B"/>
    <w:rsid w:val="00C0313A"/>
    <w:rsid w:val="00C033DE"/>
    <w:rsid w:val="00C03604"/>
    <w:rsid w:val="00C03B16"/>
    <w:rsid w:val="00C03BC7"/>
    <w:rsid w:val="00C03BCE"/>
    <w:rsid w:val="00C03E71"/>
    <w:rsid w:val="00C04056"/>
    <w:rsid w:val="00C05127"/>
    <w:rsid w:val="00C0583C"/>
    <w:rsid w:val="00C058BE"/>
    <w:rsid w:val="00C0599B"/>
    <w:rsid w:val="00C05D2E"/>
    <w:rsid w:val="00C05EBD"/>
    <w:rsid w:val="00C062EB"/>
    <w:rsid w:val="00C063D1"/>
    <w:rsid w:val="00C06645"/>
    <w:rsid w:val="00C06D75"/>
    <w:rsid w:val="00C06FF3"/>
    <w:rsid w:val="00C07266"/>
    <w:rsid w:val="00C074D9"/>
    <w:rsid w:val="00C075C1"/>
    <w:rsid w:val="00C0780A"/>
    <w:rsid w:val="00C07A1E"/>
    <w:rsid w:val="00C07AE1"/>
    <w:rsid w:val="00C1002D"/>
    <w:rsid w:val="00C10200"/>
    <w:rsid w:val="00C1063B"/>
    <w:rsid w:val="00C10DF0"/>
    <w:rsid w:val="00C10E4B"/>
    <w:rsid w:val="00C11081"/>
    <w:rsid w:val="00C11392"/>
    <w:rsid w:val="00C1167E"/>
    <w:rsid w:val="00C11781"/>
    <w:rsid w:val="00C11968"/>
    <w:rsid w:val="00C11C5A"/>
    <w:rsid w:val="00C12034"/>
    <w:rsid w:val="00C120A6"/>
    <w:rsid w:val="00C123BB"/>
    <w:rsid w:val="00C1243D"/>
    <w:rsid w:val="00C12776"/>
    <w:rsid w:val="00C12ABF"/>
    <w:rsid w:val="00C13042"/>
    <w:rsid w:val="00C13047"/>
    <w:rsid w:val="00C13638"/>
    <w:rsid w:val="00C13751"/>
    <w:rsid w:val="00C13977"/>
    <w:rsid w:val="00C13A3C"/>
    <w:rsid w:val="00C13EDE"/>
    <w:rsid w:val="00C141D7"/>
    <w:rsid w:val="00C14389"/>
    <w:rsid w:val="00C1474B"/>
    <w:rsid w:val="00C1511B"/>
    <w:rsid w:val="00C154CF"/>
    <w:rsid w:val="00C15612"/>
    <w:rsid w:val="00C15731"/>
    <w:rsid w:val="00C159EE"/>
    <w:rsid w:val="00C15E9E"/>
    <w:rsid w:val="00C1610B"/>
    <w:rsid w:val="00C16230"/>
    <w:rsid w:val="00C163E1"/>
    <w:rsid w:val="00C166B3"/>
    <w:rsid w:val="00C166FF"/>
    <w:rsid w:val="00C16C2B"/>
    <w:rsid w:val="00C17110"/>
    <w:rsid w:val="00C173FF"/>
    <w:rsid w:val="00C17BE4"/>
    <w:rsid w:val="00C17F89"/>
    <w:rsid w:val="00C2011B"/>
    <w:rsid w:val="00C201B0"/>
    <w:rsid w:val="00C204D9"/>
    <w:rsid w:val="00C205F5"/>
    <w:rsid w:val="00C20942"/>
    <w:rsid w:val="00C20E19"/>
    <w:rsid w:val="00C210F1"/>
    <w:rsid w:val="00C21101"/>
    <w:rsid w:val="00C211E0"/>
    <w:rsid w:val="00C212ED"/>
    <w:rsid w:val="00C21611"/>
    <w:rsid w:val="00C2180F"/>
    <w:rsid w:val="00C2195A"/>
    <w:rsid w:val="00C21A77"/>
    <w:rsid w:val="00C2269E"/>
    <w:rsid w:val="00C22796"/>
    <w:rsid w:val="00C22894"/>
    <w:rsid w:val="00C22AF9"/>
    <w:rsid w:val="00C22B4B"/>
    <w:rsid w:val="00C22BC9"/>
    <w:rsid w:val="00C22E68"/>
    <w:rsid w:val="00C230B0"/>
    <w:rsid w:val="00C23335"/>
    <w:rsid w:val="00C235C6"/>
    <w:rsid w:val="00C237E2"/>
    <w:rsid w:val="00C2385E"/>
    <w:rsid w:val="00C23A23"/>
    <w:rsid w:val="00C245CE"/>
    <w:rsid w:val="00C24605"/>
    <w:rsid w:val="00C2475A"/>
    <w:rsid w:val="00C24BC2"/>
    <w:rsid w:val="00C24FCE"/>
    <w:rsid w:val="00C252EA"/>
    <w:rsid w:val="00C25D7B"/>
    <w:rsid w:val="00C25F19"/>
    <w:rsid w:val="00C26537"/>
    <w:rsid w:val="00C266D2"/>
    <w:rsid w:val="00C26BB4"/>
    <w:rsid w:val="00C26BEB"/>
    <w:rsid w:val="00C271D5"/>
    <w:rsid w:val="00C27366"/>
    <w:rsid w:val="00C275BB"/>
    <w:rsid w:val="00C27AE4"/>
    <w:rsid w:val="00C27DD3"/>
    <w:rsid w:val="00C27EBF"/>
    <w:rsid w:val="00C30073"/>
    <w:rsid w:val="00C300C3"/>
    <w:rsid w:val="00C30243"/>
    <w:rsid w:val="00C30755"/>
    <w:rsid w:val="00C30893"/>
    <w:rsid w:val="00C309A6"/>
    <w:rsid w:val="00C30CBC"/>
    <w:rsid w:val="00C30F09"/>
    <w:rsid w:val="00C311FF"/>
    <w:rsid w:val="00C312C0"/>
    <w:rsid w:val="00C3179B"/>
    <w:rsid w:val="00C317F3"/>
    <w:rsid w:val="00C31A78"/>
    <w:rsid w:val="00C32092"/>
    <w:rsid w:val="00C3225A"/>
    <w:rsid w:val="00C3231C"/>
    <w:rsid w:val="00C323E4"/>
    <w:rsid w:val="00C32549"/>
    <w:rsid w:val="00C3256B"/>
    <w:rsid w:val="00C326D4"/>
    <w:rsid w:val="00C32EFA"/>
    <w:rsid w:val="00C330AB"/>
    <w:rsid w:val="00C33699"/>
    <w:rsid w:val="00C33823"/>
    <w:rsid w:val="00C33D29"/>
    <w:rsid w:val="00C3488E"/>
    <w:rsid w:val="00C34A6E"/>
    <w:rsid w:val="00C3508A"/>
    <w:rsid w:val="00C35E8C"/>
    <w:rsid w:val="00C36086"/>
    <w:rsid w:val="00C362FB"/>
    <w:rsid w:val="00C36583"/>
    <w:rsid w:val="00C36824"/>
    <w:rsid w:val="00C36B21"/>
    <w:rsid w:val="00C375B3"/>
    <w:rsid w:val="00C37919"/>
    <w:rsid w:val="00C379C0"/>
    <w:rsid w:val="00C37BA0"/>
    <w:rsid w:val="00C37C2F"/>
    <w:rsid w:val="00C37C4A"/>
    <w:rsid w:val="00C37D93"/>
    <w:rsid w:val="00C37EEC"/>
    <w:rsid w:val="00C401DD"/>
    <w:rsid w:val="00C4032A"/>
    <w:rsid w:val="00C40948"/>
    <w:rsid w:val="00C40977"/>
    <w:rsid w:val="00C40B0A"/>
    <w:rsid w:val="00C40E01"/>
    <w:rsid w:val="00C4148F"/>
    <w:rsid w:val="00C4157E"/>
    <w:rsid w:val="00C417BC"/>
    <w:rsid w:val="00C41AF1"/>
    <w:rsid w:val="00C41EC8"/>
    <w:rsid w:val="00C42075"/>
    <w:rsid w:val="00C4216F"/>
    <w:rsid w:val="00C42397"/>
    <w:rsid w:val="00C423C4"/>
    <w:rsid w:val="00C42494"/>
    <w:rsid w:val="00C4259F"/>
    <w:rsid w:val="00C42707"/>
    <w:rsid w:val="00C4288C"/>
    <w:rsid w:val="00C42993"/>
    <w:rsid w:val="00C42B74"/>
    <w:rsid w:val="00C430AE"/>
    <w:rsid w:val="00C43180"/>
    <w:rsid w:val="00C43619"/>
    <w:rsid w:val="00C43641"/>
    <w:rsid w:val="00C438FF"/>
    <w:rsid w:val="00C439A7"/>
    <w:rsid w:val="00C43DA4"/>
    <w:rsid w:val="00C43ED3"/>
    <w:rsid w:val="00C441D1"/>
    <w:rsid w:val="00C449F8"/>
    <w:rsid w:val="00C44A88"/>
    <w:rsid w:val="00C44E2D"/>
    <w:rsid w:val="00C453F0"/>
    <w:rsid w:val="00C4546B"/>
    <w:rsid w:val="00C45504"/>
    <w:rsid w:val="00C45987"/>
    <w:rsid w:val="00C45A8D"/>
    <w:rsid w:val="00C45AE0"/>
    <w:rsid w:val="00C45DE4"/>
    <w:rsid w:val="00C45F64"/>
    <w:rsid w:val="00C45F82"/>
    <w:rsid w:val="00C460B0"/>
    <w:rsid w:val="00C46A1D"/>
    <w:rsid w:val="00C46D39"/>
    <w:rsid w:val="00C46F22"/>
    <w:rsid w:val="00C47062"/>
    <w:rsid w:val="00C4716C"/>
    <w:rsid w:val="00C47645"/>
    <w:rsid w:val="00C47877"/>
    <w:rsid w:val="00C47955"/>
    <w:rsid w:val="00C47C0C"/>
    <w:rsid w:val="00C47C7B"/>
    <w:rsid w:val="00C47D0D"/>
    <w:rsid w:val="00C47D26"/>
    <w:rsid w:val="00C47EF8"/>
    <w:rsid w:val="00C502B1"/>
    <w:rsid w:val="00C5035B"/>
    <w:rsid w:val="00C50614"/>
    <w:rsid w:val="00C5110C"/>
    <w:rsid w:val="00C5113D"/>
    <w:rsid w:val="00C51570"/>
    <w:rsid w:val="00C51B37"/>
    <w:rsid w:val="00C52A69"/>
    <w:rsid w:val="00C52DAF"/>
    <w:rsid w:val="00C52E4D"/>
    <w:rsid w:val="00C52EE5"/>
    <w:rsid w:val="00C53270"/>
    <w:rsid w:val="00C53273"/>
    <w:rsid w:val="00C532AB"/>
    <w:rsid w:val="00C53507"/>
    <w:rsid w:val="00C538D6"/>
    <w:rsid w:val="00C53CD5"/>
    <w:rsid w:val="00C53DF2"/>
    <w:rsid w:val="00C54411"/>
    <w:rsid w:val="00C54B47"/>
    <w:rsid w:val="00C54DCF"/>
    <w:rsid w:val="00C5513C"/>
    <w:rsid w:val="00C55526"/>
    <w:rsid w:val="00C555C0"/>
    <w:rsid w:val="00C555E3"/>
    <w:rsid w:val="00C55709"/>
    <w:rsid w:val="00C55ABD"/>
    <w:rsid w:val="00C55B47"/>
    <w:rsid w:val="00C55E09"/>
    <w:rsid w:val="00C55EBD"/>
    <w:rsid w:val="00C56000"/>
    <w:rsid w:val="00C56A17"/>
    <w:rsid w:val="00C56ACB"/>
    <w:rsid w:val="00C56D0B"/>
    <w:rsid w:val="00C570FD"/>
    <w:rsid w:val="00C57139"/>
    <w:rsid w:val="00C57D26"/>
    <w:rsid w:val="00C57D87"/>
    <w:rsid w:val="00C57E86"/>
    <w:rsid w:val="00C57EB2"/>
    <w:rsid w:val="00C601B7"/>
    <w:rsid w:val="00C60275"/>
    <w:rsid w:val="00C60691"/>
    <w:rsid w:val="00C606D4"/>
    <w:rsid w:val="00C6119E"/>
    <w:rsid w:val="00C61224"/>
    <w:rsid w:val="00C61228"/>
    <w:rsid w:val="00C612FD"/>
    <w:rsid w:val="00C6138E"/>
    <w:rsid w:val="00C6139C"/>
    <w:rsid w:val="00C615FC"/>
    <w:rsid w:val="00C616F0"/>
    <w:rsid w:val="00C61798"/>
    <w:rsid w:val="00C618AE"/>
    <w:rsid w:val="00C61AF9"/>
    <w:rsid w:val="00C62584"/>
    <w:rsid w:val="00C6290E"/>
    <w:rsid w:val="00C62BE0"/>
    <w:rsid w:val="00C62E01"/>
    <w:rsid w:val="00C6324F"/>
    <w:rsid w:val="00C63456"/>
    <w:rsid w:val="00C63590"/>
    <w:rsid w:val="00C63B58"/>
    <w:rsid w:val="00C63D0F"/>
    <w:rsid w:val="00C640E3"/>
    <w:rsid w:val="00C643C2"/>
    <w:rsid w:val="00C648D6"/>
    <w:rsid w:val="00C6496A"/>
    <w:rsid w:val="00C64A13"/>
    <w:rsid w:val="00C64AF9"/>
    <w:rsid w:val="00C65159"/>
    <w:rsid w:val="00C65203"/>
    <w:rsid w:val="00C65D80"/>
    <w:rsid w:val="00C65E23"/>
    <w:rsid w:val="00C65E3E"/>
    <w:rsid w:val="00C661EF"/>
    <w:rsid w:val="00C6634A"/>
    <w:rsid w:val="00C663D0"/>
    <w:rsid w:val="00C665CF"/>
    <w:rsid w:val="00C667CE"/>
    <w:rsid w:val="00C66C6C"/>
    <w:rsid w:val="00C66D74"/>
    <w:rsid w:val="00C66DB8"/>
    <w:rsid w:val="00C66DD5"/>
    <w:rsid w:val="00C66F5F"/>
    <w:rsid w:val="00C671F9"/>
    <w:rsid w:val="00C675FD"/>
    <w:rsid w:val="00C67A1E"/>
    <w:rsid w:val="00C70089"/>
    <w:rsid w:val="00C7008A"/>
    <w:rsid w:val="00C7034E"/>
    <w:rsid w:val="00C7105C"/>
    <w:rsid w:val="00C71405"/>
    <w:rsid w:val="00C714CD"/>
    <w:rsid w:val="00C715B8"/>
    <w:rsid w:val="00C71ADB"/>
    <w:rsid w:val="00C7218D"/>
    <w:rsid w:val="00C722F8"/>
    <w:rsid w:val="00C723B7"/>
    <w:rsid w:val="00C724C5"/>
    <w:rsid w:val="00C72C4E"/>
    <w:rsid w:val="00C732D9"/>
    <w:rsid w:val="00C73367"/>
    <w:rsid w:val="00C73663"/>
    <w:rsid w:val="00C736BD"/>
    <w:rsid w:val="00C737CF"/>
    <w:rsid w:val="00C73F7E"/>
    <w:rsid w:val="00C73FD2"/>
    <w:rsid w:val="00C74111"/>
    <w:rsid w:val="00C74369"/>
    <w:rsid w:val="00C743EA"/>
    <w:rsid w:val="00C74401"/>
    <w:rsid w:val="00C74437"/>
    <w:rsid w:val="00C744DD"/>
    <w:rsid w:val="00C750C0"/>
    <w:rsid w:val="00C75194"/>
    <w:rsid w:val="00C75B74"/>
    <w:rsid w:val="00C75D53"/>
    <w:rsid w:val="00C76008"/>
    <w:rsid w:val="00C76402"/>
    <w:rsid w:val="00C769CC"/>
    <w:rsid w:val="00C76CAD"/>
    <w:rsid w:val="00C76EA0"/>
    <w:rsid w:val="00C77287"/>
    <w:rsid w:val="00C7752A"/>
    <w:rsid w:val="00C775C5"/>
    <w:rsid w:val="00C77882"/>
    <w:rsid w:val="00C77C6E"/>
    <w:rsid w:val="00C77DAC"/>
    <w:rsid w:val="00C8025C"/>
    <w:rsid w:val="00C802F1"/>
    <w:rsid w:val="00C8077B"/>
    <w:rsid w:val="00C80F26"/>
    <w:rsid w:val="00C80F9A"/>
    <w:rsid w:val="00C81148"/>
    <w:rsid w:val="00C81496"/>
    <w:rsid w:val="00C8149F"/>
    <w:rsid w:val="00C817A7"/>
    <w:rsid w:val="00C81930"/>
    <w:rsid w:val="00C81AAF"/>
    <w:rsid w:val="00C81EB9"/>
    <w:rsid w:val="00C823FE"/>
    <w:rsid w:val="00C8252D"/>
    <w:rsid w:val="00C82644"/>
    <w:rsid w:val="00C826C6"/>
    <w:rsid w:val="00C827F0"/>
    <w:rsid w:val="00C82873"/>
    <w:rsid w:val="00C82A2A"/>
    <w:rsid w:val="00C82DFB"/>
    <w:rsid w:val="00C82F3A"/>
    <w:rsid w:val="00C8304C"/>
    <w:rsid w:val="00C830D3"/>
    <w:rsid w:val="00C837E7"/>
    <w:rsid w:val="00C839A3"/>
    <w:rsid w:val="00C83AF4"/>
    <w:rsid w:val="00C83B82"/>
    <w:rsid w:val="00C83C72"/>
    <w:rsid w:val="00C84047"/>
    <w:rsid w:val="00C84206"/>
    <w:rsid w:val="00C84252"/>
    <w:rsid w:val="00C843FD"/>
    <w:rsid w:val="00C84592"/>
    <w:rsid w:val="00C845EC"/>
    <w:rsid w:val="00C84694"/>
    <w:rsid w:val="00C84746"/>
    <w:rsid w:val="00C8486A"/>
    <w:rsid w:val="00C84BDF"/>
    <w:rsid w:val="00C85275"/>
    <w:rsid w:val="00C8550E"/>
    <w:rsid w:val="00C8559F"/>
    <w:rsid w:val="00C855A1"/>
    <w:rsid w:val="00C8567B"/>
    <w:rsid w:val="00C85991"/>
    <w:rsid w:val="00C85B2B"/>
    <w:rsid w:val="00C85D95"/>
    <w:rsid w:val="00C85E27"/>
    <w:rsid w:val="00C85F41"/>
    <w:rsid w:val="00C862EB"/>
    <w:rsid w:val="00C86470"/>
    <w:rsid w:val="00C864AD"/>
    <w:rsid w:val="00C865DB"/>
    <w:rsid w:val="00C867FF"/>
    <w:rsid w:val="00C86CE4"/>
    <w:rsid w:val="00C86D84"/>
    <w:rsid w:val="00C86F99"/>
    <w:rsid w:val="00C87325"/>
    <w:rsid w:val="00C8765F"/>
    <w:rsid w:val="00C878F8"/>
    <w:rsid w:val="00C87AAF"/>
    <w:rsid w:val="00C87C4B"/>
    <w:rsid w:val="00C87CB9"/>
    <w:rsid w:val="00C87D14"/>
    <w:rsid w:val="00C901EA"/>
    <w:rsid w:val="00C90B5D"/>
    <w:rsid w:val="00C90F91"/>
    <w:rsid w:val="00C9110E"/>
    <w:rsid w:val="00C91460"/>
    <w:rsid w:val="00C91468"/>
    <w:rsid w:val="00C914A7"/>
    <w:rsid w:val="00C915C5"/>
    <w:rsid w:val="00C91749"/>
    <w:rsid w:val="00C919AF"/>
    <w:rsid w:val="00C91BE2"/>
    <w:rsid w:val="00C91C05"/>
    <w:rsid w:val="00C91CCC"/>
    <w:rsid w:val="00C92189"/>
    <w:rsid w:val="00C92267"/>
    <w:rsid w:val="00C924DA"/>
    <w:rsid w:val="00C930F3"/>
    <w:rsid w:val="00C93189"/>
    <w:rsid w:val="00C931A6"/>
    <w:rsid w:val="00C93206"/>
    <w:rsid w:val="00C937AF"/>
    <w:rsid w:val="00C93A0C"/>
    <w:rsid w:val="00C9400E"/>
    <w:rsid w:val="00C9488C"/>
    <w:rsid w:val="00C94953"/>
    <w:rsid w:val="00C94FD3"/>
    <w:rsid w:val="00C95304"/>
    <w:rsid w:val="00C9584B"/>
    <w:rsid w:val="00C95E58"/>
    <w:rsid w:val="00C95FE9"/>
    <w:rsid w:val="00C96259"/>
    <w:rsid w:val="00C9691F"/>
    <w:rsid w:val="00C97609"/>
    <w:rsid w:val="00C978C4"/>
    <w:rsid w:val="00C97970"/>
    <w:rsid w:val="00C97B6D"/>
    <w:rsid w:val="00C97F79"/>
    <w:rsid w:val="00CA0546"/>
    <w:rsid w:val="00CA0640"/>
    <w:rsid w:val="00CA0AC4"/>
    <w:rsid w:val="00CA0BA1"/>
    <w:rsid w:val="00CA0F92"/>
    <w:rsid w:val="00CA101B"/>
    <w:rsid w:val="00CA121B"/>
    <w:rsid w:val="00CA1458"/>
    <w:rsid w:val="00CA1A08"/>
    <w:rsid w:val="00CA1A98"/>
    <w:rsid w:val="00CA1D7A"/>
    <w:rsid w:val="00CA1D9F"/>
    <w:rsid w:val="00CA1DB8"/>
    <w:rsid w:val="00CA1F5C"/>
    <w:rsid w:val="00CA23B1"/>
    <w:rsid w:val="00CA2688"/>
    <w:rsid w:val="00CA2B8F"/>
    <w:rsid w:val="00CA2E05"/>
    <w:rsid w:val="00CA344A"/>
    <w:rsid w:val="00CA438C"/>
    <w:rsid w:val="00CA4A7D"/>
    <w:rsid w:val="00CA4B22"/>
    <w:rsid w:val="00CA4BB2"/>
    <w:rsid w:val="00CA59B6"/>
    <w:rsid w:val="00CA5B32"/>
    <w:rsid w:val="00CA5CC7"/>
    <w:rsid w:val="00CA601F"/>
    <w:rsid w:val="00CA60C8"/>
    <w:rsid w:val="00CA61FB"/>
    <w:rsid w:val="00CA659B"/>
    <w:rsid w:val="00CA6CF0"/>
    <w:rsid w:val="00CA72B2"/>
    <w:rsid w:val="00CA7671"/>
    <w:rsid w:val="00CA795A"/>
    <w:rsid w:val="00CA79E8"/>
    <w:rsid w:val="00CA7A5A"/>
    <w:rsid w:val="00CA7BD6"/>
    <w:rsid w:val="00CA7F0A"/>
    <w:rsid w:val="00CB01BF"/>
    <w:rsid w:val="00CB02B2"/>
    <w:rsid w:val="00CB055F"/>
    <w:rsid w:val="00CB0847"/>
    <w:rsid w:val="00CB0951"/>
    <w:rsid w:val="00CB0962"/>
    <w:rsid w:val="00CB09F5"/>
    <w:rsid w:val="00CB0A85"/>
    <w:rsid w:val="00CB0C20"/>
    <w:rsid w:val="00CB0CB1"/>
    <w:rsid w:val="00CB0E29"/>
    <w:rsid w:val="00CB116B"/>
    <w:rsid w:val="00CB1260"/>
    <w:rsid w:val="00CB15F9"/>
    <w:rsid w:val="00CB1688"/>
    <w:rsid w:val="00CB1937"/>
    <w:rsid w:val="00CB1B65"/>
    <w:rsid w:val="00CB1FC4"/>
    <w:rsid w:val="00CB2067"/>
    <w:rsid w:val="00CB2256"/>
    <w:rsid w:val="00CB229C"/>
    <w:rsid w:val="00CB27DF"/>
    <w:rsid w:val="00CB2920"/>
    <w:rsid w:val="00CB2B6B"/>
    <w:rsid w:val="00CB2C5C"/>
    <w:rsid w:val="00CB2CCF"/>
    <w:rsid w:val="00CB2FAA"/>
    <w:rsid w:val="00CB32FF"/>
    <w:rsid w:val="00CB37CD"/>
    <w:rsid w:val="00CB401F"/>
    <w:rsid w:val="00CB44F7"/>
    <w:rsid w:val="00CB4560"/>
    <w:rsid w:val="00CB4681"/>
    <w:rsid w:val="00CB46A8"/>
    <w:rsid w:val="00CB4B11"/>
    <w:rsid w:val="00CB4B59"/>
    <w:rsid w:val="00CB4BF9"/>
    <w:rsid w:val="00CB5CB4"/>
    <w:rsid w:val="00CB6007"/>
    <w:rsid w:val="00CB61ED"/>
    <w:rsid w:val="00CB66F5"/>
    <w:rsid w:val="00CB6815"/>
    <w:rsid w:val="00CB6B72"/>
    <w:rsid w:val="00CB6C84"/>
    <w:rsid w:val="00CB6D29"/>
    <w:rsid w:val="00CB6EE4"/>
    <w:rsid w:val="00CB7385"/>
    <w:rsid w:val="00CB761F"/>
    <w:rsid w:val="00CB782F"/>
    <w:rsid w:val="00CB7D1B"/>
    <w:rsid w:val="00CB7E7E"/>
    <w:rsid w:val="00CC04F0"/>
    <w:rsid w:val="00CC0710"/>
    <w:rsid w:val="00CC071C"/>
    <w:rsid w:val="00CC09CC"/>
    <w:rsid w:val="00CC1470"/>
    <w:rsid w:val="00CC1BA8"/>
    <w:rsid w:val="00CC1FED"/>
    <w:rsid w:val="00CC2113"/>
    <w:rsid w:val="00CC241D"/>
    <w:rsid w:val="00CC2562"/>
    <w:rsid w:val="00CC2744"/>
    <w:rsid w:val="00CC2AFC"/>
    <w:rsid w:val="00CC2D60"/>
    <w:rsid w:val="00CC3022"/>
    <w:rsid w:val="00CC3045"/>
    <w:rsid w:val="00CC3211"/>
    <w:rsid w:val="00CC3264"/>
    <w:rsid w:val="00CC40FE"/>
    <w:rsid w:val="00CC4368"/>
    <w:rsid w:val="00CC43B3"/>
    <w:rsid w:val="00CC4769"/>
    <w:rsid w:val="00CC4B02"/>
    <w:rsid w:val="00CC4ED0"/>
    <w:rsid w:val="00CC4EF1"/>
    <w:rsid w:val="00CC5081"/>
    <w:rsid w:val="00CC54DA"/>
    <w:rsid w:val="00CC560C"/>
    <w:rsid w:val="00CC59EE"/>
    <w:rsid w:val="00CC5C29"/>
    <w:rsid w:val="00CC5E02"/>
    <w:rsid w:val="00CC607C"/>
    <w:rsid w:val="00CC6941"/>
    <w:rsid w:val="00CC69C5"/>
    <w:rsid w:val="00CC6A7A"/>
    <w:rsid w:val="00CC6BC0"/>
    <w:rsid w:val="00CC6C67"/>
    <w:rsid w:val="00CC6DDD"/>
    <w:rsid w:val="00CC73E0"/>
    <w:rsid w:val="00CC7B96"/>
    <w:rsid w:val="00CC7E18"/>
    <w:rsid w:val="00CD01C6"/>
    <w:rsid w:val="00CD05DD"/>
    <w:rsid w:val="00CD0807"/>
    <w:rsid w:val="00CD0B36"/>
    <w:rsid w:val="00CD0DF6"/>
    <w:rsid w:val="00CD0E4F"/>
    <w:rsid w:val="00CD11FE"/>
    <w:rsid w:val="00CD1281"/>
    <w:rsid w:val="00CD1308"/>
    <w:rsid w:val="00CD1C29"/>
    <w:rsid w:val="00CD2096"/>
    <w:rsid w:val="00CD231A"/>
    <w:rsid w:val="00CD2356"/>
    <w:rsid w:val="00CD255A"/>
    <w:rsid w:val="00CD25E1"/>
    <w:rsid w:val="00CD28B3"/>
    <w:rsid w:val="00CD348B"/>
    <w:rsid w:val="00CD3F29"/>
    <w:rsid w:val="00CD3F5E"/>
    <w:rsid w:val="00CD4144"/>
    <w:rsid w:val="00CD421F"/>
    <w:rsid w:val="00CD43B4"/>
    <w:rsid w:val="00CD4601"/>
    <w:rsid w:val="00CD4679"/>
    <w:rsid w:val="00CD4827"/>
    <w:rsid w:val="00CD4A51"/>
    <w:rsid w:val="00CD4A8C"/>
    <w:rsid w:val="00CD4C1B"/>
    <w:rsid w:val="00CD4EBB"/>
    <w:rsid w:val="00CD52FB"/>
    <w:rsid w:val="00CD534D"/>
    <w:rsid w:val="00CD543E"/>
    <w:rsid w:val="00CD545A"/>
    <w:rsid w:val="00CD5A1F"/>
    <w:rsid w:val="00CD5C00"/>
    <w:rsid w:val="00CD65A9"/>
    <w:rsid w:val="00CD6617"/>
    <w:rsid w:val="00CD6A99"/>
    <w:rsid w:val="00CD78AC"/>
    <w:rsid w:val="00CD7A41"/>
    <w:rsid w:val="00CD7B60"/>
    <w:rsid w:val="00CD7BA8"/>
    <w:rsid w:val="00CD7E0B"/>
    <w:rsid w:val="00CE04C0"/>
    <w:rsid w:val="00CE04C8"/>
    <w:rsid w:val="00CE0860"/>
    <w:rsid w:val="00CE0898"/>
    <w:rsid w:val="00CE125C"/>
    <w:rsid w:val="00CE133E"/>
    <w:rsid w:val="00CE1576"/>
    <w:rsid w:val="00CE1B03"/>
    <w:rsid w:val="00CE1B76"/>
    <w:rsid w:val="00CE1CD9"/>
    <w:rsid w:val="00CE1F7C"/>
    <w:rsid w:val="00CE238D"/>
    <w:rsid w:val="00CE2710"/>
    <w:rsid w:val="00CE2AE1"/>
    <w:rsid w:val="00CE2F82"/>
    <w:rsid w:val="00CE3114"/>
    <w:rsid w:val="00CE3430"/>
    <w:rsid w:val="00CE3735"/>
    <w:rsid w:val="00CE37B1"/>
    <w:rsid w:val="00CE3999"/>
    <w:rsid w:val="00CE4001"/>
    <w:rsid w:val="00CE4050"/>
    <w:rsid w:val="00CE447F"/>
    <w:rsid w:val="00CE47B4"/>
    <w:rsid w:val="00CE4BB2"/>
    <w:rsid w:val="00CE51CD"/>
    <w:rsid w:val="00CE57CF"/>
    <w:rsid w:val="00CE5B3C"/>
    <w:rsid w:val="00CE5B9C"/>
    <w:rsid w:val="00CE5C13"/>
    <w:rsid w:val="00CE625C"/>
    <w:rsid w:val="00CE7068"/>
    <w:rsid w:val="00CE736E"/>
    <w:rsid w:val="00CE747D"/>
    <w:rsid w:val="00CE74E6"/>
    <w:rsid w:val="00CE7949"/>
    <w:rsid w:val="00CE7BBD"/>
    <w:rsid w:val="00CF00BF"/>
    <w:rsid w:val="00CF018E"/>
    <w:rsid w:val="00CF03AB"/>
    <w:rsid w:val="00CF0601"/>
    <w:rsid w:val="00CF0876"/>
    <w:rsid w:val="00CF0899"/>
    <w:rsid w:val="00CF0B5D"/>
    <w:rsid w:val="00CF0CF3"/>
    <w:rsid w:val="00CF0DA7"/>
    <w:rsid w:val="00CF0FB2"/>
    <w:rsid w:val="00CF147B"/>
    <w:rsid w:val="00CF1A14"/>
    <w:rsid w:val="00CF1D95"/>
    <w:rsid w:val="00CF1FAB"/>
    <w:rsid w:val="00CF211F"/>
    <w:rsid w:val="00CF21D3"/>
    <w:rsid w:val="00CF22B6"/>
    <w:rsid w:val="00CF2405"/>
    <w:rsid w:val="00CF2660"/>
    <w:rsid w:val="00CF2895"/>
    <w:rsid w:val="00CF2AE1"/>
    <w:rsid w:val="00CF2DA4"/>
    <w:rsid w:val="00CF2E66"/>
    <w:rsid w:val="00CF3110"/>
    <w:rsid w:val="00CF35DD"/>
    <w:rsid w:val="00CF3EF1"/>
    <w:rsid w:val="00CF42B2"/>
    <w:rsid w:val="00CF473D"/>
    <w:rsid w:val="00CF4989"/>
    <w:rsid w:val="00CF5534"/>
    <w:rsid w:val="00CF5859"/>
    <w:rsid w:val="00CF5C58"/>
    <w:rsid w:val="00CF6308"/>
    <w:rsid w:val="00CF695C"/>
    <w:rsid w:val="00CF6A05"/>
    <w:rsid w:val="00CF6D9E"/>
    <w:rsid w:val="00CF6F10"/>
    <w:rsid w:val="00CF743A"/>
    <w:rsid w:val="00CF7798"/>
    <w:rsid w:val="00CF7AD1"/>
    <w:rsid w:val="00CF7F7B"/>
    <w:rsid w:val="00D001F9"/>
    <w:rsid w:val="00D009B1"/>
    <w:rsid w:val="00D009D9"/>
    <w:rsid w:val="00D00AA0"/>
    <w:rsid w:val="00D00AB1"/>
    <w:rsid w:val="00D00BB3"/>
    <w:rsid w:val="00D01555"/>
    <w:rsid w:val="00D01559"/>
    <w:rsid w:val="00D0186C"/>
    <w:rsid w:val="00D018F8"/>
    <w:rsid w:val="00D01B37"/>
    <w:rsid w:val="00D01CAF"/>
    <w:rsid w:val="00D01E77"/>
    <w:rsid w:val="00D02028"/>
    <w:rsid w:val="00D02357"/>
    <w:rsid w:val="00D02605"/>
    <w:rsid w:val="00D02863"/>
    <w:rsid w:val="00D02ADF"/>
    <w:rsid w:val="00D02E92"/>
    <w:rsid w:val="00D02F6F"/>
    <w:rsid w:val="00D031E0"/>
    <w:rsid w:val="00D03377"/>
    <w:rsid w:val="00D03387"/>
    <w:rsid w:val="00D0354B"/>
    <w:rsid w:val="00D035C5"/>
    <w:rsid w:val="00D0377E"/>
    <w:rsid w:val="00D03CCD"/>
    <w:rsid w:val="00D0446E"/>
    <w:rsid w:val="00D0493F"/>
    <w:rsid w:val="00D04D52"/>
    <w:rsid w:val="00D04D91"/>
    <w:rsid w:val="00D04DD5"/>
    <w:rsid w:val="00D05C99"/>
    <w:rsid w:val="00D0632D"/>
    <w:rsid w:val="00D06713"/>
    <w:rsid w:val="00D06BB3"/>
    <w:rsid w:val="00D06DE8"/>
    <w:rsid w:val="00D06F51"/>
    <w:rsid w:val="00D07166"/>
    <w:rsid w:val="00D07291"/>
    <w:rsid w:val="00D074CF"/>
    <w:rsid w:val="00D0783F"/>
    <w:rsid w:val="00D079A0"/>
    <w:rsid w:val="00D07CCB"/>
    <w:rsid w:val="00D07DDA"/>
    <w:rsid w:val="00D1040B"/>
    <w:rsid w:val="00D1077A"/>
    <w:rsid w:val="00D10BC8"/>
    <w:rsid w:val="00D11422"/>
    <w:rsid w:val="00D11740"/>
    <w:rsid w:val="00D11DAF"/>
    <w:rsid w:val="00D120B2"/>
    <w:rsid w:val="00D1226C"/>
    <w:rsid w:val="00D12287"/>
    <w:rsid w:val="00D12312"/>
    <w:rsid w:val="00D12675"/>
    <w:rsid w:val="00D126C6"/>
    <w:rsid w:val="00D1286A"/>
    <w:rsid w:val="00D12B37"/>
    <w:rsid w:val="00D12B88"/>
    <w:rsid w:val="00D1343A"/>
    <w:rsid w:val="00D1390C"/>
    <w:rsid w:val="00D140E5"/>
    <w:rsid w:val="00D1456A"/>
    <w:rsid w:val="00D14A36"/>
    <w:rsid w:val="00D151F5"/>
    <w:rsid w:val="00D15449"/>
    <w:rsid w:val="00D15AA6"/>
    <w:rsid w:val="00D15C4E"/>
    <w:rsid w:val="00D15DAA"/>
    <w:rsid w:val="00D15DAB"/>
    <w:rsid w:val="00D15F32"/>
    <w:rsid w:val="00D16333"/>
    <w:rsid w:val="00D16403"/>
    <w:rsid w:val="00D164C8"/>
    <w:rsid w:val="00D166B0"/>
    <w:rsid w:val="00D168EC"/>
    <w:rsid w:val="00D16A60"/>
    <w:rsid w:val="00D1711D"/>
    <w:rsid w:val="00D17BEC"/>
    <w:rsid w:val="00D17C97"/>
    <w:rsid w:val="00D17EA0"/>
    <w:rsid w:val="00D20A94"/>
    <w:rsid w:val="00D20B03"/>
    <w:rsid w:val="00D20D60"/>
    <w:rsid w:val="00D216B8"/>
    <w:rsid w:val="00D21C86"/>
    <w:rsid w:val="00D21CDE"/>
    <w:rsid w:val="00D22337"/>
    <w:rsid w:val="00D22A42"/>
    <w:rsid w:val="00D22CCB"/>
    <w:rsid w:val="00D230AF"/>
    <w:rsid w:val="00D238F9"/>
    <w:rsid w:val="00D239B1"/>
    <w:rsid w:val="00D24122"/>
    <w:rsid w:val="00D243A3"/>
    <w:rsid w:val="00D24BD3"/>
    <w:rsid w:val="00D25454"/>
    <w:rsid w:val="00D254BD"/>
    <w:rsid w:val="00D2566C"/>
    <w:rsid w:val="00D25862"/>
    <w:rsid w:val="00D25C46"/>
    <w:rsid w:val="00D25DBC"/>
    <w:rsid w:val="00D25E05"/>
    <w:rsid w:val="00D25FBE"/>
    <w:rsid w:val="00D261CD"/>
    <w:rsid w:val="00D266A0"/>
    <w:rsid w:val="00D26882"/>
    <w:rsid w:val="00D26C8A"/>
    <w:rsid w:val="00D2749A"/>
    <w:rsid w:val="00D275FF"/>
    <w:rsid w:val="00D27800"/>
    <w:rsid w:val="00D278C0"/>
    <w:rsid w:val="00D300AF"/>
    <w:rsid w:val="00D30A1C"/>
    <w:rsid w:val="00D30A39"/>
    <w:rsid w:val="00D30D5B"/>
    <w:rsid w:val="00D30D84"/>
    <w:rsid w:val="00D31ACD"/>
    <w:rsid w:val="00D31BF9"/>
    <w:rsid w:val="00D31CDC"/>
    <w:rsid w:val="00D31FFC"/>
    <w:rsid w:val="00D3216B"/>
    <w:rsid w:val="00D322F2"/>
    <w:rsid w:val="00D32767"/>
    <w:rsid w:val="00D33048"/>
    <w:rsid w:val="00D332C5"/>
    <w:rsid w:val="00D339E3"/>
    <w:rsid w:val="00D33BC5"/>
    <w:rsid w:val="00D33DE4"/>
    <w:rsid w:val="00D344B7"/>
    <w:rsid w:val="00D3452C"/>
    <w:rsid w:val="00D34651"/>
    <w:rsid w:val="00D34832"/>
    <w:rsid w:val="00D3486E"/>
    <w:rsid w:val="00D348F8"/>
    <w:rsid w:val="00D34AA3"/>
    <w:rsid w:val="00D34B5E"/>
    <w:rsid w:val="00D353AE"/>
    <w:rsid w:val="00D35B47"/>
    <w:rsid w:val="00D35E67"/>
    <w:rsid w:val="00D35E9C"/>
    <w:rsid w:val="00D36256"/>
    <w:rsid w:val="00D363D6"/>
    <w:rsid w:val="00D36716"/>
    <w:rsid w:val="00D367E5"/>
    <w:rsid w:val="00D36B13"/>
    <w:rsid w:val="00D36E9A"/>
    <w:rsid w:val="00D36F69"/>
    <w:rsid w:val="00D37058"/>
    <w:rsid w:val="00D37335"/>
    <w:rsid w:val="00D3733A"/>
    <w:rsid w:val="00D37621"/>
    <w:rsid w:val="00D37A22"/>
    <w:rsid w:val="00D37AD7"/>
    <w:rsid w:val="00D37B04"/>
    <w:rsid w:val="00D37D8A"/>
    <w:rsid w:val="00D4044A"/>
    <w:rsid w:val="00D40575"/>
    <w:rsid w:val="00D40D93"/>
    <w:rsid w:val="00D40FC5"/>
    <w:rsid w:val="00D41090"/>
    <w:rsid w:val="00D416CD"/>
    <w:rsid w:val="00D41986"/>
    <w:rsid w:val="00D41B83"/>
    <w:rsid w:val="00D41DB9"/>
    <w:rsid w:val="00D420C5"/>
    <w:rsid w:val="00D421C7"/>
    <w:rsid w:val="00D42586"/>
    <w:rsid w:val="00D4285A"/>
    <w:rsid w:val="00D42937"/>
    <w:rsid w:val="00D429C2"/>
    <w:rsid w:val="00D42B2E"/>
    <w:rsid w:val="00D42BA0"/>
    <w:rsid w:val="00D42F0C"/>
    <w:rsid w:val="00D4306E"/>
    <w:rsid w:val="00D432BE"/>
    <w:rsid w:val="00D436EB"/>
    <w:rsid w:val="00D4371A"/>
    <w:rsid w:val="00D43881"/>
    <w:rsid w:val="00D438B4"/>
    <w:rsid w:val="00D439BD"/>
    <w:rsid w:val="00D43C4C"/>
    <w:rsid w:val="00D43D83"/>
    <w:rsid w:val="00D43E91"/>
    <w:rsid w:val="00D4433E"/>
    <w:rsid w:val="00D4438F"/>
    <w:rsid w:val="00D445F5"/>
    <w:rsid w:val="00D4473C"/>
    <w:rsid w:val="00D4493B"/>
    <w:rsid w:val="00D44E4E"/>
    <w:rsid w:val="00D44E80"/>
    <w:rsid w:val="00D454F0"/>
    <w:rsid w:val="00D45591"/>
    <w:rsid w:val="00D456E4"/>
    <w:rsid w:val="00D45FAC"/>
    <w:rsid w:val="00D463F0"/>
    <w:rsid w:val="00D4658A"/>
    <w:rsid w:val="00D46C45"/>
    <w:rsid w:val="00D46DF9"/>
    <w:rsid w:val="00D46FB5"/>
    <w:rsid w:val="00D47196"/>
    <w:rsid w:val="00D474CE"/>
    <w:rsid w:val="00D476C7"/>
    <w:rsid w:val="00D47775"/>
    <w:rsid w:val="00D47A4E"/>
    <w:rsid w:val="00D47C38"/>
    <w:rsid w:val="00D47C88"/>
    <w:rsid w:val="00D47D28"/>
    <w:rsid w:val="00D47D35"/>
    <w:rsid w:val="00D47D59"/>
    <w:rsid w:val="00D47FF6"/>
    <w:rsid w:val="00D5035F"/>
    <w:rsid w:val="00D50623"/>
    <w:rsid w:val="00D50796"/>
    <w:rsid w:val="00D50986"/>
    <w:rsid w:val="00D50C0F"/>
    <w:rsid w:val="00D50D33"/>
    <w:rsid w:val="00D5105A"/>
    <w:rsid w:val="00D51709"/>
    <w:rsid w:val="00D51A20"/>
    <w:rsid w:val="00D51BAE"/>
    <w:rsid w:val="00D52403"/>
    <w:rsid w:val="00D524AD"/>
    <w:rsid w:val="00D52FBD"/>
    <w:rsid w:val="00D533D2"/>
    <w:rsid w:val="00D53735"/>
    <w:rsid w:val="00D5445E"/>
    <w:rsid w:val="00D5446C"/>
    <w:rsid w:val="00D544DC"/>
    <w:rsid w:val="00D54656"/>
    <w:rsid w:val="00D54862"/>
    <w:rsid w:val="00D548E9"/>
    <w:rsid w:val="00D54A58"/>
    <w:rsid w:val="00D5529E"/>
    <w:rsid w:val="00D5534F"/>
    <w:rsid w:val="00D55562"/>
    <w:rsid w:val="00D55CCC"/>
    <w:rsid w:val="00D55D67"/>
    <w:rsid w:val="00D564DE"/>
    <w:rsid w:val="00D56588"/>
    <w:rsid w:val="00D569B2"/>
    <w:rsid w:val="00D56AD7"/>
    <w:rsid w:val="00D56C04"/>
    <w:rsid w:val="00D57046"/>
    <w:rsid w:val="00D57516"/>
    <w:rsid w:val="00D57ACE"/>
    <w:rsid w:val="00D57E59"/>
    <w:rsid w:val="00D57EE9"/>
    <w:rsid w:val="00D57FDF"/>
    <w:rsid w:val="00D60060"/>
    <w:rsid w:val="00D6025A"/>
    <w:rsid w:val="00D602B4"/>
    <w:rsid w:val="00D605EE"/>
    <w:rsid w:val="00D60A7F"/>
    <w:rsid w:val="00D60D84"/>
    <w:rsid w:val="00D60DC1"/>
    <w:rsid w:val="00D60E39"/>
    <w:rsid w:val="00D60E71"/>
    <w:rsid w:val="00D61072"/>
    <w:rsid w:val="00D610F0"/>
    <w:rsid w:val="00D61319"/>
    <w:rsid w:val="00D613E3"/>
    <w:rsid w:val="00D61446"/>
    <w:rsid w:val="00D61A5A"/>
    <w:rsid w:val="00D61BC6"/>
    <w:rsid w:val="00D62050"/>
    <w:rsid w:val="00D6226A"/>
    <w:rsid w:val="00D6241E"/>
    <w:rsid w:val="00D62468"/>
    <w:rsid w:val="00D62A12"/>
    <w:rsid w:val="00D6343A"/>
    <w:rsid w:val="00D638DC"/>
    <w:rsid w:val="00D63D51"/>
    <w:rsid w:val="00D63E0D"/>
    <w:rsid w:val="00D64272"/>
    <w:rsid w:val="00D64359"/>
    <w:rsid w:val="00D643BF"/>
    <w:rsid w:val="00D64900"/>
    <w:rsid w:val="00D64993"/>
    <w:rsid w:val="00D64FF5"/>
    <w:rsid w:val="00D6556B"/>
    <w:rsid w:val="00D6558A"/>
    <w:rsid w:val="00D65625"/>
    <w:rsid w:val="00D65AA0"/>
    <w:rsid w:val="00D65C59"/>
    <w:rsid w:val="00D65DB6"/>
    <w:rsid w:val="00D66217"/>
    <w:rsid w:val="00D6640D"/>
    <w:rsid w:val="00D6645E"/>
    <w:rsid w:val="00D66551"/>
    <w:rsid w:val="00D665AA"/>
    <w:rsid w:val="00D66806"/>
    <w:rsid w:val="00D66AD9"/>
    <w:rsid w:val="00D66E7E"/>
    <w:rsid w:val="00D66FEA"/>
    <w:rsid w:val="00D67599"/>
    <w:rsid w:val="00D67B9E"/>
    <w:rsid w:val="00D67F22"/>
    <w:rsid w:val="00D7041F"/>
    <w:rsid w:val="00D70926"/>
    <w:rsid w:val="00D70D74"/>
    <w:rsid w:val="00D70DF7"/>
    <w:rsid w:val="00D70E16"/>
    <w:rsid w:val="00D70F94"/>
    <w:rsid w:val="00D71394"/>
    <w:rsid w:val="00D714E3"/>
    <w:rsid w:val="00D716F8"/>
    <w:rsid w:val="00D71CD0"/>
    <w:rsid w:val="00D72228"/>
    <w:rsid w:val="00D72E1F"/>
    <w:rsid w:val="00D72F1A"/>
    <w:rsid w:val="00D73628"/>
    <w:rsid w:val="00D73684"/>
    <w:rsid w:val="00D73798"/>
    <w:rsid w:val="00D73AB3"/>
    <w:rsid w:val="00D73B79"/>
    <w:rsid w:val="00D73DAE"/>
    <w:rsid w:val="00D74183"/>
    <w:rsid w:val="00D74442"/>
    <w:rsid w:val="00D749A1"/>
    <w:rsid w:val="00D74DFF"/>
    <w:rsid w:val="00D750BC"/>
    <w:rsid w:val="00D751C4"/>
    <w:rsid w:val="00D754BD"/>
    <w:rsid w:val="00D756AF"/>
    <w:rsid w:val="00D75962"/>
    <w:rsid w:val="00D75995"/>
    <w:rsid w:val="00D765B6"/>
    <w:rsid w:val="00D7666A"/>
    <w:rsid w:val="00D76839"/>
    <w:rsid w:val="00D768C3"/>
    <w:rsid w:val="00D77048"/>
    <w:rsid w:val="00D7732F"/>
    <w:rsid w:val="00D80A25"/>
    <w:rsid w:val="00D80B8E"/>
    <w:rsid w:val="00D8129F"/>
    <w:rsid w:val="00D81708"/>
    <w:rsid w:val="00D8184F"/>
    <w:rsid w:val="00D81C30"/>
    <w:rsid w:val="00D81EEB"/>
    <w:rsid w:val="00D820EB"/>
    <w:rsid w:val="00D82697"/>
    <w:rsid w:val="00D8271A"/>
    <w:rsid w:val="00D82969"/>
    <w:rsid w:val="00D8317E"/>
    <w:rsid w:val="00D839B1"/>
    <w:rsid w:val="00D83F35"/>
    <w:rsid w:val="00D83FB7"/>
    <w:rsid w:val="00D840B8"/>
    <w:rsid w:val="00D84749"/>
    <w:rsid w:val="00D849C3"/>
    <w:rsid w:val="00D84B07"/>
    <w:rsid w:val="00D85068"/>
    <w:rsid w:val="00D85270"/>
    <w:rsid w:val="00D85466"/>
    <w:rsid w:val="00D8559B"/>
    <w:rsid w:val="00D856CA"/>
    <w:rsid w:val="00D856FC"/>
    <w:rsid w:val="00D85A8A"/>
    <w:rsid w:val="00D85F36"/>
    <w:rsid w:val="00D85F97"/>
    <w:rsid w:val="00D863A6"/>
    <w:rsid w:val="00D8655C"/>
    <w:rsid w:val="00D86A75"/>
    <w:rsid w:val="00D86E5D"/>
    <w:rsid w:val="00D87347"/>
    <w:rsid w:val="00D87639"/>
    <w:rsid w:val="00D87650"/>
    <w:rsid w:val="00D8795E"/>
    <w:rsid w:val="00D87C87"/>
    <w:rsid w:val="00D87F4E"/>
    <w:rsid w:val="00D900EB"/>
    <w:rsid w:val="00D902E2"/>
    <w:rsid w:val="00D9062E"/>
    <w:rsid w:val="00D90855"/>
    <w:rsid w:val="00D90A8E"/>
    <w:rsid w:val="00D90B32"/>
    <w:rsid w:val="00D90D6A"/>
    <w:rsid w:val="00D90DF7"/>
    <w:rsid w:val="00D90EBF"/>
    <w:rsid w:val="00D90EDE"/>
    <w:rsid w:val="00D90F9B"/>
    <w:rsid w:val="00D9146B"/>
    <w:rsid w:val="00D916B6"/>
    <w:rsid w:val="00D91D72"/>
    <w:rsid w:val="00D92156"/>
    <w:rsid w:val="00D921DF"/>
    <w:rsid w:val="00D923FE"/>
    <w:rsid w:val="00D92770"/>
    <w:rsid w:val="00D927AA"/>
    <w:rsid w:val="00D92BD7"/>
    <w:rsid w:val="00D92CBB"/>
    <w:rsid w:val="00D92E24"/>
    <w:rsid w:val="00D931FD"/>
    <w:rsid w:val="00D9342B"/>
    <w:rsid w:val="00D93679"/>
    <w:rsid w:val="00D93943"/>
    <w:rsid w:val="00D93E72"/>
    <w:rsid w:val="00D93FDA"/>
    <w:rsid w:val="00D9479E"/>
    <w:rsid w:val="00D950C6"/>
    <w:rsid w:val="00D95652"/>
    <w:rsid w:val="00D95CA4"/>
    <w:rsid w:val="00D95DBA"/>
    <w:rsid w:val="00D95DC0"/>
    <w:rsid w:val="00D9653D"/>
    <w:rsid w:val="00D96575"/>
    <w:rsid w:val="00D96746"/>
    <w:rsid w:val="00D97078"/>
    <w:rsid w:val="00D9707D"/>
    <w:rsid w:val="00D97672"/>
    <w:rsid w:val="00D977AC"/>
    <w:rsid w:val="00D97D35"/>
    <w:rsid w:val="00D97F95"/>
    <w:rsid w:val="00D97FBD"/>
    <w:rsid w:val="00DA0027"/>
    <w:rsid w:val="00DA005E"/>
    <w:rsid w:val="00DA05DE"/>
    <w:rsid w:val="00DA0926"/>
    <w:rsid w:val="00DA097E"/>
    <w:rsid w:val="00DA0EFC"/>
    <w:rsid w:val="00DA111A"/>
    <w:rsid w:val="00DA1217"/>
    <w:rsid w:val="00DA1445"/>
    <w:rsid w:val="00DA164C"/>
    <w:rsid w:val="00DA1693"/>
    <w:rsid w:val="00DA1D6B"/>
    <w:rsid w:val="00DA2214"/>
    <w:rsid w:val="00DA23DD"/>
    <w:rsid w:val="00DA2453"/>
    <w:rsid w:val="00DA2456"/>
    <w:rsid w:val="00DA24FD"/>
    <w:rsid w:val="00DA2752"/>
    <w:rsid w:val="00DA28F8"/>
    <w:rsid w:val="00DA296F"/>
    <w:rsid w:val="00DA3288"/>
    <w:rsid w:val="00DA34AB"/>
    <w:rsid w:val="00DA38C4"/>
    <w:rsid w:val="00DA3AA7"/>
    <w:rsid w:val="00DA4439"/>
    <w:rsid w:val="00DA4776"/>
    <w:rsid w:val="00DA4837"/>
    <w:rsid w:val="00DA48F2"/>
    <w:rsid w:val="00DA4A3C"/>
    <w:rsid w:val="00DA4E4C"/>
    <w:rsid w:val="00DA4E7D"/>
    <w:rsid w:val="00DA4F2F"/>
    <w:rsid w:val="00DA4F48"/>
    <w:rsid w:val="00DA5346"/>
    <w:rsid w:val="00DA535F"/>
    <w:rsid w:val="00DA54BE"/>
    <w:rsid w:val="00DA5B4A"/>
    <w:rsid w:val="00DA5DD2"/>
    <w:rsid w:val="00DA6211"/>
    <w:rsid w:val="00DA685E"/>
    <w:rsid w:val="00DA6964"/>
    <w:rsid w:val="00DA6BD0"/>
    <w:rsid w:val="00DA6E42"/>
    <w:rsid w:val="00DA7791"/>
    <w:rsid w:val="00DA7B70"/>
    <w:rsid w:val="00DB0088"/>
    <w:rsid w:val="00DB042D"/>
    <w:rsid w:val="00DB0A9A"/>
    <w:rsid w:val="00DB0C3A"/>
    <w:rsid w:val="00DB10B9"/>
    <w:rsid w:val="00DB10EF"/>
    <w:rsid w:val="00DB1458"/>
    <w:rsid w:val="00DB16C5"/>
    <w:rsid w:val="00DB179C"/>
    <w:rsid w:val="00DB1953"/>
    <w:rsid w:val="00DB1B0C"/>
    <w:rsid w:val="00DB1C60"/>
    <w:rsid w:val="00DB22AF"/>
    <w:rsid w:val="00DB23FD"/>
    <w:rsid w:val="00DB28F8"/>
    <w:rsid w:val="00DB2CB0"/>
    <w:rsid w:val="00DB2CB5"/>
    <w:rsid w:val="00DB320F"/>
    <w:rsid w:val="00DB34C6"/>
    <w:rsid w:val="00DB36B7"/>
    <w:rsid w:val="00DB38AD"/>
    <w:rsid w:val="00DB39A3"/>
    <w:rsid w:val="00DB3AC5"/>
    <w:rsid w:val="00DB3C8F"/>
    <w:rsid w:val="00DB472C"/>
    <w:rsid w:val="00DB4EB9"/>
    <w:rsid w:val="00DB5229"/>
    <w:rsid w:val="00DB523B"/>
    <w:rsid w:val="00DB5520"/>
    <w:rsid w:val="00DB583B"/>
    <w:rsid w:val="00DB593D"/>
    <w:rsid w:val="00DB5C3B"/>
    <w:rsid w:val="00DB64B0"/>
    <w:rsid w:val="00DB64EF"/>
    <w:rsid w:val="00DB65A6"/>
    <w:rsid w:val="00DB670C"/>
    <w:rsid w:val="00DB6777"/>
    <w:rsid w:val="00DB694F"/>
    <w:rsid w:val="00DB6DB0"/>
    <w:rsid w:val="00DB71DA"/>
    <w:rsid w:val="00DB78D0"/>
    <w:rsid w:val="00DB7D31"/>
    <w:rsid w:val="00DC0331"/>
    <w:rsid w:val="00DC04F9"/>
    <w:rsid w:val="00DC08C7"/>
    <w:rsid w:val="00DC0989"/>
    <w:rsid w:val="00DC1191"/>
    <w:rsid w:val="00DC1307"/>
    <w:rsid w:val="00DC13C6"/>
    <w:rsid w:val="00DC1432"/>
    <w:rsid w:val="00DC167C"/>
    <w:rsid w:val="00DC169F"/>
    <w:rsid w:val="00DC176C"/>
    <w:rsid w:val="00DC1AF1"/>
    <w:rsid w:val="00DC1B60"/>
    <w:rsid w:val="00DC20F2"/>
    <w:rsid w:val="00DC2277"/>
    <w:rsid w:val="00DC237D"/>
    <w:rsid w:val="00DC256A"/>
    <w:rsid w:val="00DC25D9"/>
    <w:rsid w:val="00DC2753"/>
    <w:rsid w:val="00DC2AEE"/>
    <w:rsid w:val="00DC30BE"/>
    <w:rsid w:val="00DC3A0C"/>
    <w:rsid w:val="00DC3AD8"/>
    <w:rsid w:val="00DC3AE6"/>
    <w:rsid w:val="00DC443D"/>
    <w:rsid w:val="00DC45A9"/>
    <w:rsid w:val="00DC4B31"/>
    <w:rsid w:val="00DC4E12"/>
    <w:rsid w:val="00DC575E"/>
    <w:rsid w:val="00DC588B"/>
    <w:rsid w:val="00DC5C0E"/>
    <w:rsid w:val="00DC5C94"/>
    <w:rsid w:val="00DC5EBE"/>
    <w:rsid w:val="00DC5FF9"/>
    <w:rsid w:val="00DC61BA"/>
    <w:rsid w:val="00DC61D6"/>
    <w:rsid w:val="00DC6493"/>
    <w:rsid w:val="00DC6610"/>
    <w:rsid w:val="00DC6782"/>
    <w:rsid w:val="00DC6C62"/>
    <w:rsid w:val="00DC6CB6"/>
    <w:rsid w:val="00DC6E3E"/>
    <w:rsid w:val="00DC7232"/>
    <w:rsid w:val="00DC7494"/>
    <w:rsid w:val="00DC74AE"/>
    <w:rsid w:val="00DC7651"/>
    <w:rsid w:val="00DC7832"/>
    <w:rsid w:val="00DC7FBD"/>
    <w:rsid w:val="00DD0089"/>
    <w:rsid w:val="00DD0510"/>
    <w:rsid w:val="00DD0653"/>
    <w:rsid w:val="00DD06A6"/>
    <w:rsid w:val="00DD09BD"/>
    <w:rsid w:val="00DD09FF"/>
    <w:rsid w:val="00DD0D38"/>
    <w:rsid w:val="00DD11E3"/>
    <w:rsid w:val="00DD1231"/>
    <w:rsid w:val="00DD1AF9"/>
    <w:rsid w:val="00DD1CD7"/>
    <w:rsid w:val="00DD220C"/>
    <w:rsid w:val="00DD246F"/>
    <w:rsid w:val="00DD25F4"/>
    <w:rsid w:val="00DD26C6"/>
    <w:rsid w:val="00DD278D"/>
    <w:rsid w:val="00DD2839"/>
    <w:rsid w:val="00DD2A2A"/>
    <w:rsid w:val="00DD2C36"/>
    <w:rsid w:val="00DD343D"/>
    <w:rsid w:val="00DD3742"/>
    <w:rsid w:val="00DD3753"/>
    <w:rsid w:val="00DD4047"/>
    <w:rsid w:val="00DD4635"/>
    <w:rsid w:val="00DD46FD"/>
    <w:rsid w:val="00DD47F7"/>
    <w:rsid w:val="00DD4A6E"/>
    <w:rsid w:val="00DD4D70"/>
    <w:rsid w:val="00DD5035"/>
    <w:rsid w:val="00DD503B"/>
    <w:rsid w:val="00DD50B8"/>
    <w:rsid w:val="00DD51FE"/>
    <w:rsid w:val="00DD58AF"/>
    <w:rsid w:val="00DD598C"/>
    <w:rsid w:val="00DD5C28"/>
    <w:rsid w:val="00DD5D43"/>
    <w:rsid w:val="00DD5E1D"/>
    <w:rsid w:val="00DD64E3"/>
    <w:rsid w:val="00DD6D35"/>
    <w:rsid w:val="00DD6F51"/>
    <w:rsid w:val="00DD76B4"/>
    <w:rsid w:val="00DD7AF6"/>
    <w:rsid w:val="00DD7B23"/>
    <w:rsid w:val="00DD7E1A"/>
    <w:rsid w:val="00DE0046"/>
    <w:rsid w:val="00DE0164"/>
    <w:rsid w:val="00DE020D"/>
    <w:rsid w:val="00DE03C3"/>
    <w:rsid w:val="00DE04E3"/>
    <w:rsid w:val="00DE092E"/>
    <w:rsid w:val="00DE0F5C"/>
    <w:rsid w:val="00DE1344"/>
    <w:rsid w:val="00DE1559"/>
    <w:rsid w:val="00DE1964"/>
    <w:rsid w:val="00DE1FFA"/>
    <w:rsid w:val="00DE219A"/>
    <w:rsid w:val="00DE2818"/>
    <w:rsid w:val="00DE328A"/>
    <w:rsid w:val="00DE39B6"/>
    <w:rsid w:val="00DE3FE0"/>
    <w:rsid w:val="00DE3FED"/>
    <w:rsid w:val="00DE412C"/>
    <w:rsid w:val="00DE4171"/>
    <w:rsid w:val="00DE4BC2"/>
    <w:rsid w:val="00DE4C69"/>
    <w:rsid w:val="00DE4D97"/>
    <w:rsid w:val="00DE5418"/>
    <w:rsid w:val="00DE54FC"/>
    <w:rsid w:val="00DE5927"/>
    <w:rsid w:val="00DE597D"/>
    <w:rsid w:val="00DE5980"/>
    <w:rsid w:val="00DE5A9C"/>
    <w:rsid w:val="00DE5CEF"/>
    <w:rsid w:val="00DE6377"/>
    <w:rsid w:val="00DE7660"/>
    <w:rsid w:val="00DE789B"/>
    <w:rsid w:val="00DE78FE"/>
    <w:rsid w:val="00DE7913"/>
    <w:rsid w:val="00DE7B01"/>
    <w:rsid w:val="00DE7BE0"/>
    <w:rsid w:val="00DE7DEF"/>
    <w:rsid w:val="00DE7FF5"/>
    <w:rsid w:val="00DF0A2C"/>
    <w:rsid w:val="00DF0AEE"/>
    <w:rsid w:val="00DF1472"/>
    <w:rsid w:val="00DF1482"/>
    <w:rsid w:val="00DF164E"/>
    <w:rsid w:val="00DF1668"/>
    <w:rsid w:val="00DF182B"/>
    <w:rsid w:val="00DF1999"/>
    <w:rsid w:val="00DF1A80"/>
    <w:rsid w:val="00DF1AA3"/>
    <w:rsid w:val="00DF1CBC"/>
    <w:rsid w:val="00DF1F5C"/>
    <w:rsid w:val="00DF23AC"/>
    <w:rsid w:val="00DF260B"/>
    <w:rsid w:val="00DF270A"/>
    <w:rsid w:val="00DF2A6C"/>
    <w:rsid w:val="00DF2CFD"/>
    <w:rsid w:val="00DF2F95"/>
    <w:rsid w:val="00DF37B0"/>
    <w:rsid w:val="00DF3FDD"/>
    <w:rsid w:val="00DF404E"/>
    <w:rsid w:val="00DF4317"/>
    <w:rsid w:val="00DF4374"/>
    <w:rsid w:val="00DF4914"/>
    <w:rsid w:val="00DF4C56"/>
    <w:rsid w:val="00DF4E49"/>
    <w:rsid w:val="00DF545E"/>
    <w:rsid w:val="00DF579C"/>
    <w:rsid w:val="00DF6093"/>
    <w:rsid w:val="00DF6D59"/>
    <w:rsid w:val="00DF6DA6"/>
    <w:rsid w:val="00DF6E37"/>
    <w:rsid w:val="00DF6F65"/>
    <w:rsid w:val="00DF720F"/>
    <w:rsid w:val="00DF7210"/>
    <w:rsid w:val="00DF7ADC"/>
    <w:rsid w:val="00DF7F45"/>
    <w:rsid w:val="00E002DA"/>
    <w:rsid w:val="00E00448"/>
    <w:rsid w:val="00E00501"/>
    <w:rsid w:val="00E008BB"/>
    <w:rsid w:val="00E0106C"/>
    <w:rsid w:val="00E01206"/>
    <w:rsid w:val="00E01493"/>
    <w:rsid w:val="00E01964"/>
    <w:rsid w:val="00E01DC1"/>
    <w:rsid w:val="00E02238"/>
    <w:rsid w:val="00E022A2"/>
    <w:rsid w:val="00E02374"/>
    <w:rsid w:val="00E02695"/>
    <w:rsid w:val="00E026D2"/>
    <w:rsid w:val="00E02BA5"/>
    <w:rsid w:val="00E03038"/>
    <w:rsid w:val="00E03052"/>
    <w:rsid w:val="00E03441"/>
    <w:rsid w:val="00E03703"/>
    <w:rsid w:val="00E03704"/>
    <w:rsid w:val="00E038A6"/>
    <w:rsid w:val="00E03D4E"/>
    <w:rsid w:val="00E03E14"/>
    <w:rsid w:val="00E03E4E"/>
    <w:rsid w:val="00E03F2B"/>
    <w:rsid w:val="00E04052"/>
    <w:rsid w:val="00E04655"/>
    <w:rsid w:val="00E04BE2"/>
    <w:rsid w:val="00E04BF9"/>
    <w:rsid w:val="00E04EF5"/>
    <w:rsid w:val="00E05012"/>
    <w:rsid w:val="00E05050"/>
    <w:rsid w:val="00E050DB"/>
    <w:rsid w:val="00E050F8"/>
    <w:rsid w:val="00E053DD"/>
    <w:rsid w:val="00E056DE"/>
    <w:rsid w:val="00E057FC"/>
    <w:rsid w:val="00E05EEA"/>
    <w:rsid w:val="00E05EFD"/>
    <w:rsid w:val="00E0632E"/>
    <w:rsid w:val="00E06685"/>
    <w:rsid w:val="00E06800"/>
    <w:rsid w:val="00E068A8"/>
    <w:rsid w:val="00E06931"/>
    <w:rsid w:val="00E0696A"/>
    <w:rsid w:val="00E06DF6"/>
    <w:rsid w:val="00E06FD9"/>
    <w:rsid w:val="00E0704C"/>
    <w:rsid w:val="00E07051"/>
    <w:rsid w:val="00E0707A"/>
    <w:rsid w:val="00E07374"/>
    <w:rsid w:val="00E07840"/>
    <w:rsid w:val="00E07FFC"/>
    <w:rsid w:val="00E10508"/>
    <w:rsid w:val="00E108E5"/>
    <w:rsid w:val="00E11198"/>
    <w:rsid w:val="00E114DD"/>
    <w:rsid w:val="00E11B3B"/>
    <w:rsid w:val="00E11FBB"/>
    <w:rsid w:val="00E12271"/>
    <w:rsid w:val="00E125D6"/>
    <w:rsid w:val="00E126DB"/>
    <w:rsid w:val="00E12A65"/>
    <w:rsid w:val="00E12CA2"/>
    <w:rsid w:val="00E12CFD"/>
    <w:rsid w:val="00E139C4"/>
    <w:rsid w:val="00E13A73"/>
    <w:rsid w:val="00E13ACC"/>
    <w:rsid w:val="00E13CE9"/>
    <w:rsid w:val="00E13E9A"/>
    <w:rsid w:val="00E13F0F"/>
    <w:rsid w:val="00E142DA"/>
    <w:rsid w:val="00E143BF"/>
    <w:rsid w:val="00E14867"/>
    <w:rsid w:val="00E148F3"/>
    <w:rsid w:val="00E14B27"/>
    <w:rsid w:val="00E14D8F"/>
    <w:rsid w:val="00E15150"/>
    <w:rsid w:val="00E15EC4"/>
    <w:rsid w:val="00E164E6"/>
    <w:rsid w:val="00E16625"/>
    <w:rsid w:val="00E168C9"/>
    <w:rsid w:val="00E17CB6"/>
    <w:rsid w:val="00E17DBD"/>
    <w:rsid w:val="00E202A1"/>
    <w:rsid w:val="00E20608"/>
    <w:rsid w:val="00E20920"/>
    <w:rsid w:val="00E20CE4"/>
    <w:rsid w:val="00E20F5D"/>
    <w:rsid w:val="00E2139B"/>
    <w:rsid w:val="00E214C0"/>
    <w:rsid w:val="00E2172B"/>
    <w:rsid w:val="00E2197C"/>
    <w:rsid w:val="00E21D4A"/>
    <w:rsid w:val="00E21DED"/>
    <w:rsid w:val="00E2209F"/>
    <w:rsid w:val="00E2220F"/>
    <w:rsid w:val="00E224D3"/>
    <w:rsid w:val="00E22744"/>
    <w:rsid w:val="00E22872"/>
    <w:rsid w:val="00E22A5C"/>
    <w:rsid w:val="00E22BDA"/>
    <w:rsid w:val="00E22DFC"/>
    <w:rsid w:val="00E23226"/>
    <w:rsid w:val="00E238B1"/>
    <w:rsid w:val="00E23D41"/>
    <w:rsid w:val="00E23FDD"/>
    <w:rsid w:val="00E2418B"/>
    <w:rsid w:val="00E246CB"/>
    <w:rsid w:val="00E24758"/>
    <w:rsid w:val="00E24851"/>
    <w:rsid w:val="00E24D05"/>
    <w:rsid w:val="00E24EDC"/>
    <w:rsid w:val="00E25057"/>
    <w:rsid w:val="00E254E1"/>
    <w:rsid w:val="00E25683"/>
    <w:rsid w:val="00E25747"/>
    <w:rsid w:val="00E25807"/>
    <w:rsid w:val="00E25986"/>
    <w:rsid w:val="00E26086"/>
    <w:rsid w:val="00E264B7"/>
    <w:rsid w:val="00E2669C"/>
    <w:rsid w:val="00E266BD"/>
    <w:rsid w:val="00E266D9"/>
    <w:rsid w:val="00E26D5C"/>
    <w:rsid w:val="00E26E39"/>
    <w:rsid w:val="00E26F2E"/>
    <w:rsid w:val="00E27A11"/>
    <w:rsid w:val="00E27BA4"/>
    <w:rsid w:val="00E27BCB"/>
    <w:rsid w:val="00E300F0"/>
    <w:rsid w:val="00E30180"/>
    <w:rsid w:val="00E30338"/>
    <w:rsid w:val="00E30412"/>
    <w:rsid w:val="00E30B53"/>
    <w:rsid w:val="00E30BE7"/>
    <w:rsid w:val="00E30D3C"/>
    <w:rsid w:val="00E31274"/>
    <w:rsid w:val="00E31BDF"/>
    <w:rsid w:val="00E31C3E"/>
    <w:rsid w:val="00E31D63"/>
    <w:rsid w:val="00E322FA"/>
    <w:rsid w:val="00E32312"/>
    <w:rsid w:val="00E3258E"/>
    <w:rsid w:val="00E325D9"/>
    <w:rsid w:val="00E327CF"/>
    <w:rsid w:val="00E32C1F"/>
    <w:rsid w:val="00E3316C"/>
    <w:rsid w:val="00E33283"/>
    <w:rsid w:val="00E33508"/>
    <w:rsid w:val="00E33AA9"/>
    <w:rsid w:val="00E33D69"/>
    <w:rsid w:val="00E33F66"/>
    <w:rsid w:val="00E34019"/>
    <w:rsid w:val="00E34046"/>
    <w:rsid w:val="00E34050"/>
    <w:rsid w:val="00E342EB"/>
    <w:rsid w:val="00E34520"/>
    <w:rsid w:val="00E3469A"/>
    <w:rsid w:val="00E34912"/>
    <w:rsid w:val="00E34CBB"/>
    <w:rsid w:val="00E34F8E"/>
    <w:rsid w:val="00E35113"/>
    <w:rsid w:val="00E3540D"/>
    <w:rsid w:val="00E35435"/>
    <w:rsid w:val="00E354C2"/>
    <w:rsid w:val="00E35909"/>
    <w:rsid w:val="00E35EA7"/>
    <w:rsid w:val="00E3607F"/>
    <w:rsid w:val="00E37468"/>
    <w:rsid w:val="00E37593"/>
    <w:rsid w:val="00E37833"/>
    <w:rsid w:val="00E40007"/>
    <w:rsid w:val="00E40333"/>
    <w:rsid w:val="00E404B5"/>
    <w:rsid w:val="00E412CB"/>
    <w:rsid w:val="00E414FA"/>
    <w:rsid w:val="00E414FC"/>
    <w:rsid w:val="00E417BC"/>
    <w:rsid w:val="00E41ACB"/>
    <w:rsid w:val="00E41B45"/>
    <w:rsid w:val="00E41D23"/>
    <w:rsid w:val="00E41EEC"/>
    <w:rsid w:val="00E41FC8"/>
    <w:rsid w:val="00E42324"/>
    <w:rsid w:val="00E4258B"/>
    <w:rsid w:val="00E428D7"/>
    <w:rsid w:val="00E42D5B"/>
    <w:rsid w:val="00E43301"/>
    <w:rsid w:val="00E43A59"/>
    <w:rsid w:val="00E43F28"/>
    <w:rsid w:val="00E44239"/>
    <w:rsid w:val="00E443A9"/>
    <w:rsid w:val="00E444AC"/>
    <w:rsid w:val="00E445DD"/>
    <w:rsid w:val="00E446C3"/>
    <w:rsid w:val="00E448D4"/>
    <w:rsid w:val="00E449F4"/>
    <w:rsid w:val="00E44E52"/>
    <w:rsid w:val="00E4585A"/>
    <w:rsid w:val="00E4597E"/>
    <w:rsid w:val="00E460A4"/>
    <w:rsid w:val="00E4617E"/>
    <w:rsid w:val="00E465B9"/>
    <w:rsid w:val="00E46753"/>
    <w:rsid w:val="00E46AFC"/>
    <w:rsid w:val="00E46EAD"/>
    <w:rsid w:val="00E46ECE"/>
    <w:rsid w:val="00E473BB"/>
    <w:rsid w:val="00E474A5"/>
    <w:rsid w:val="00E475AD"/>
    <w:rsid w:val="00E47CB0"/>
    <w:rsid w:val="00E5000D"/>
    <w:rsid w:val="00E50422"/>
    <w:rsid w:val="00E5044B"/>
    <w:rsid w:val="00E505B5"/>
    <w:rsid w:val="00E506EB"/>
    <w:rsid w:val="00E509A8"/>
    <w:rsid w:val="00E517BD"/>
    <w:rsid w:val="00E519F0"/>
    <w:rsid w:val="00E51ACE"/>
    <w:rsid w:val="00E51AEE"/>
    <w:rsid w:val="00E51C4D"/>
    <w:rsid w:val="00E51DD2"/>
    <w:rsid w:val="00E52087"/>
    <w:rsid w:val="00E52173"/>
    <w:rsid w:val="00E52447"/>
    <w:rsid w:val="00E5249B"/>
    <w:rsid w:val="00E525C3"/>
    <w:rsid w:val="00E528F4"/>
    <w:rsid w:val="00E52D34"/>
    <w:rsid w:val="00E52D72"/>
    <w:rsid w:val="00E52E50"/>
    <w:rsid w:val="00E52FED"/>
    <w:rsid w:val="00E53125"/>
    <w:rsid w:val="00E53396"/>
    <w:rsid w:val="00E53685"/>
    <w:rsid w:val="00E536DC"/>
    <w:rsid w:val="00E53ADB"/>
    <w:rsid w:val="00E53BDC"/>
    <w:rsid w:val="00E53D7C"/>
    <w:rsid w:val="00E53F91"/>
    <w:rsid w:val="00E5403E"/>
    <w:rsid w:val="00E54067"/>
    <w:rsid w:val="00E5416D"/>
    <w:rsid w:val="00E5423E"/>
    <w:rsid w:val="00E54316"/>
    <w:rsid w:val="00E54498"/>
    <w:rsid w:val="00E5459C"/>
    <w:rsid w:val="00E54ED2"/>
    <w:rsid w:val="00E5538A"/>
    <w:rsid w:val="00E553AC"/>
    <w:rsid w:val="00E553E7"/>
    <w:rsid w:val="00E55E94"/>
    <w:rsid w:val="00E55FF7"/>
    <w:rsid w:val="00E560F5"/>
    <w:rsid w:val="00E562D2"/>
    <w:rsid w:val="00E56347"/>
    <w:rsid w:val="00E56885"/>
    <w:rsid w:val="00E568F4"/>
    <w:rsid w:val="00E56C5D"/>
    <w:rsid w:val="00E56CA8"/>
    <w:rsid w:val="00E56D36"/>
    <w:rsid w:val="00E57247"/>
    <w:rsid w:val="00E5780D"/>
    <w:rsid w:val="00E57895"/>
    <w:rsid w:val="00E57C09"/>
    <w:rsid w:val="00E57F18"/>
    <w:rsid w:val="00E60063"/>
    <w:rsid w:val="00E601D4"/>
    <w:rsid w:val="00E603FE"/>
    <w:rsid w:val="00E6063E"/>
    <w:rsid w:val="00E607E3"/>
    <w:rsid w:val="00E60983"/>
    <w:rsid w:val="00E60C0E"/>
    <w:rsid w:val="00E60CA6"/>
    <w:rsid w:val="00E60DA5"/>
    <w:rsid w:val="00E610D5"/>
    <w:rsid w:val="00E6112F"/>
    <w:rsid w:val="00E611D6"/>
    <w:rsid w:val="00E61227"/>
    <w:rsid w:val="00E6199E"/>
    <w:rsid w:val="00E61C35"/>
    <w:rsid w:val="00E61F8D"/>
    <w:rsid w:val="00E62485"/>
    <w:rsid w:val="00E6262A"/>
    <w:rsid w:val="00E629B4"/>
    <w:rsid w:val="00E62A07"/>
    <w:rsid w:val="00E62AE0"/>
    <w:rsid w:val="00E62E95"/>
    <w:rsid w:val="00E630E3"/>
    <w:rsid w:val="00E63172"/>
    <w:rsid w:val="00E63C5E"/>
    <w:rsid w:val="00E63F7B"/>
    <w:rsid w:val="00E64124"/>
    <w:rsid w:val="00E644FB"/>
    <w:rsid w:val="00E64586"/>
    <w:rsid w:val="00E64646"/>
    <w:rsid w:val="00E64959"/>
    <w:rsid w:val="00E658DC"/>
    <w:rsid w:val="00E65B0D"/>
    <w:rsid w:val="00E65EB6"/>
    <w:rsid w:val="00E65ED4"/>
    <w:rsid w:val="00E6601B"/>
    <w:rsid w:val="00E66179"/>
    <w:rsid w:val="00E66197"/>
    <w:rsid w:val="00E663EF"/>
    <w:rsid w:val="00E66834"/>
    <w:rsid w:val="00E66A1F"/>
    <w:rsid w:val="00E66B09"/>
    <w:rsid w:val="00E66D24"/>
    <w:rsid w:val="00E67973"/>
    <w:rsid w:val="00E70323"/>
    <w:rsid w:val="00E70370"/>
    <w:rsid w:val="00E70659"/>
    <w:rsid w:val="00E7068E"/>
    <w:rsid w:val="00E70934"/>
    <w:rsid w:val="00E70B28"/>
    <w:rsid w:val="00E71128"/>
    <w:rsid w:val="00E712DC"/>
    <w:rsid w:val="00E7130F"/>
    <w:rsid w:val="00E7165D"/>
    <w:rsid w:val="00E71A4B"/>
    <w:rsid w:val="00E71A96"/>
    <w:rsid w:val="00E71B29"/>
    <w:rsid w:val="00E72032"/>
    <w:rsid w:val="00E72E33"/>
    <w:rsid w:val="00E7341B"/>
    <w:rsid w:val="00E742B4"/>
    <w:rsid w:val="00E742BF"/>
    <w:rsid w:val="00E74B4A"/>
    <w:rsid w:val="00E74D95"/>
    <w:rsid w:val="00E75A6D"/>
    <w:rsid w:val="00E75AF5"/>
    <w:rsid w:val="00E75C77"/>
    <w:rsid w:val="00E75EFE"/>
    <w:rsid w:val="00E76263"/>
    <w:rsid w:val="00E766E0"/>
    <w:rsid w:val="00E767EF"/>
    <w:rsid w:val="00E76812"/>
    <w:rsid w:val="00E768DE"/>
    <w:rsid w:val="00E773C6"/>
    <w:rsid w:val="00E77522"/>
    <w:rsid w:val="00E775D2"/>
    <w:rsid w:val="00E7760B"/>
    <w:rsid w:val="00E77828"/>
    <w:rsid w:val="00E800B9"/>
    <w:rsid w:val="00E800C5"/>
    <w:rsid w:val="00E802E4"/>
    <w:rsid w:val="00E8035B"/>
    <w:rsid w:val="00E8052A"/>
    <w:rsid w:val="00E80873"/>
    <w:rsid w:val="00E808F2"/>
    <w:rsid w:val="00E80A2C"/>
    <w:rsid w:val="00E80A5C"/>
    <w:rsid w:val="00E80C90"/>
    <w:rsid w:val="00E80E27"/>
    <w:rsid w:val="00E8108A"/>
    <w:rsid w:val="00E812AB"/>
    <w:rsid w:val="00E81510"/>
    <w:rsid w:val="00E818E9"/>
    <w:rsid w:val="00E81CE9"/>
    <w:rsid w:val="00E81EE0"/>
    <w:rsid w:val="00E82584"/>
    <w:rsid w:val="00E82783"/>
    <w:rsid w:val="00E82E91"/>
    <w:rsid w:val="00E831F9"/>
    <w:rsid w:val="00E832EF"/>
    <w:rsid w:val="00E83350"/>
    <w:rsid w:val="00E83363"/>
    <w:rsid w:val="00E83938"/>
    <w:rsid w:val="00E839F9"/>
    <w:rsid w:val="00E83E76"/>
    <w:rsid w:val="00E83F0F"/>
    <w:rsid w:val="00E84078"/>
    <w:rsid w:val="00E842AF"/>
    <w:rsid w:val="00E846BA"/>
    <w:rsid w:val="00E84C0D"/>
    <w:rsid w:val="00E84DD6"/>
    <w:rsid w:val="00E84E4F"/>
    <w:rsid w:val="00E85073"/>
    <w:rsid w:val="00E85139"/>
    <w:rsid w:val="00E85339"/>
    <w:rsid w:val="00E853D5"/>
    <w:rsid w:val="00E857A4"/>
    <w:rsid w:val="00E859CC"/>
    <w:rsid w:val="00E85B25"/>
    <w:rsid w:val="00E85E41"/>
    <w:rsid w:val="00E86379"/>
    <w:rsid w:val="00E865BE"/>
    <w:rsid w:val="00E86E47"/>
    <w:rsid w:val="00E86EE8"/>
    <w:rsid w:val="00E86F81"/>
    <w:rsid w:val="00E875F7"/>
    <w:rsid w:val="00E877D1"/>
    <w:rsid w:val="00E87AE3"/>
    <w:rsid w:val="00E90193"/>
    <w:rsid w:val="00E9035D"/>
    <w:rsid w:val="00E9038C"/>
    <w:rsid w:val="00E9053A"/>
    <w:rsid w:val="00E90630"/>
    <w:rsid w:val="00E9067D"/>
    <w:rsid w:val="00E906EE"/>
    <w:rsid w:val="00E9090B"/>
    <w:rsid w:val="00E90AB8"/>
    <w:rsid w:val="00E910ED"/>
    <w:rsid w:val="00E915C3"/>
    <w:rsid w:val="00E915D7"/>
    <w:rsid w:val="00E919D7"/>
    <w:rsid w:val="00E92055"/>
    <w:rsid w:val="00E9231E"/>
    <w:rsid w:val="00E92714"/>
    <w:rsid w:val="00E92814"/>
    <w:rsid w:val="00E92B37"/>
    <w:rsid w:val="00E92CB6"/>
    <w:rsid w:val="00E9383E"/>
    <w:rsid w:val="00E93C87"/>
    <w:rsid w:val="00E9434D"/>
    <w:rsid w:val="00E9437B"/>
    <w:rsid w:val="00E9438E"/>
    <w:rsid w:val="00E945F7"/>
    <w:rsid w:val="00E94767"/>
    <w:rsid w:val="00E94B17"/>
    <w:rsid w:val="00E94B94"/>
    <w:rsid w:val="00E94C81"/>
    <w:rsid w:val="00E951DB"/>
    <w:rsid w:val="00E951DD"/>
    <w:rsid w:val="00E95B5B"/>
    <w:rsid w:val="00E96318"/>
    <w:rsid w:val="00E96575"/>
    <w:rsid w:val="00E965AE"/>
    <w:rsid w:val="00E966C9"/>
    <w:rsid w:val="00E969AF"/>
    <w:rsid w:val="00E96E12"/>
    <w:rsid w:val="00E96E2B"/>
    <w:rsid w:val="00E96EBB"/>
    <w:rsid w:val="00E9706E"/>
    <w:rsid w:val="00E970AC"/>
    <w:rsid w:val="00E972EC"/>
    <w:rsid w:val="00E976EA"/>
    <w:rsid w:val="00E979CA"/>
    <w:rsid w:val="00EA006C"/>
    <w:rsid w:val="00EA030C"/>
    <w:rsid w:val="00EA0513"/>
    <w:rsid w:val="00EA06C4"/>
    <w:rsid w:val="00EA0BB6"/>
    <w:rsid w:val="00EA0C43"/>
    <w:rsid w:val="00EA10F1"/>
    <w:rsid w:val="00EA1755"/>
    <w:rsid w:val="00EA17B6"/>
    <w:rsid w:val="00EA196B"/>
    <w:rsid w:val="00EA1978"/>
    <w:rsid w:val="00EA1CD3"/>
    <w:rsid w:val="00EA1E15"/>
    <w:rsid w:val="00EA2363"/>
    <w:rsid w:val="00EA28DE"/>
    <w:rsid w:val="00EA2C09"/>
    <w:rsid w:val="00EA2C99"/>
    <w:rsid w:val="00EA32C9"/>
    <w:rsid w:val="00EA3584"/>
    <w:rsid w:val="00EA3AC8"/>
    <w:rsid w:val="00EA3B13"/>
    <w:rsid w:val="00EA3DBA"/>
    <w:rsid w:val="00EA3F4D"/>
    <w:rsid w:val="00EA4600"/>
    <w:rsid w:val="00EA47A8"/>
    <w:rsid w:val="00EA47B0"/>
    <w:rsid w:val="00EA4A78"/>
    <w:rsid w:val="00EA4AFD"/>
    <w:rsid w:val="00EA4B2A"/>
    <w:rsid w:val="00EA52A1"/>
    <w:rsid w:val="00EA5844"/>
    <w:rsid w:val="00EA5D19"/>
    <w:rsid w:val="00EA6012"/>
    <w:rsid w:val="00EA652F"/>
    <w:rsid w:val="00EA66F6"/>
    <w:rsid w:val="00EA6704"/>
    <w:rsid w:val="00EA6B19"/>
    <w:rsid w:val="00EA6FA3"/>
    <w:rsid w:val="00EA6FF9"/>
    <w:rsid w:val="00EA7BDE"/>
    <w:rsid w:val="00EA7CB2"/>
    <w:rsid w:val="00EA7F01"/>
    <w:rsid w:val="00EA7F92"/>
    <w:rsid w:val="00EB011A"/>
    <w:rsid w:val="00EB0154"/>
    <w:rsid w:val="00EB07B9"/>
    <w:rsid w:val="00EB0B0B"/>
    <w:rsid w:val="00EB0B4C"/>
    <w:rsid w:val="00EB0BDB"/>
    <w:rsid w:val="00EB0C1B"/>
    <w:rsid w:val="00EB0CAE"/>
    <w:rsid w:val="00EB0DBC"/>
    <w:rsid w:val="00EB0F4A"/>
    <w:rsid w:val="00EB11FD"/>
    <w:rsid w:val="00EB19E3"/>
    <w:rsid w:val="00EB1B0C"/>
    <w:rsid w:val="00EB1BDB"/>
    <w:rsid w:val="00EB2443"/>
    <w:rsid w:val="00EB2446"/>
    <w:rsid w:val="00EB2CF2"/>
    <w:rsid w:val="00EB2E7B"/>
    <w:rsid w:val="00EB3149"/>
    <w:rsid w:val="00EB32A7"/>
    <w:rsid w:val="00EB3749"/>
    <w:rsid w:val="00EB3814"/>
    <w:rsid w:val="00EB3882"/>
    <w:rsid w:val="00EB394F"/>
    <w:rsid w:val="00EB3A86"/>
    <w:rsid w:val="00EB3F68"/>
    <w:rsid w:val="00EB4151"/>
    <w:rsid w:val="00EB450C"/>
    <w:rsid w:val="00EB47AC"/>
    <w:rsid w:val="00EB4940"/>
    <w:rsid w:val="00EB4A66"/>
    <w:rsid w:val="00EB4C44"/>
    <w:rsid w:val="00EB4E76"/>
    <w:rsid w:val="00EB5185"/>
    <w:rsid w:val="00EB51E1"/>
    <w:rsid w:val="00EB5751"/>
    <w:rsid w:val="00EB5F52"/>
    <w:rsid w:val="00EB6314"/>
    <w:rsid w:val="00EB649D"/>
    <w:rsid w:val="00EB6568"/>
    <w:rsid w:val="00EB66BD"/>
    <w:rsid w:val="00EB6A94"/>
    <w:rsid w:val="00EB6B4B"/>
    <w:rsid w:val="00EB6F2C"/>
    <w:rsid w:val="00EB7098"/>
    <w:rsid w:val="00EB71BD"/>
    <w:rsid w:val="00EB7418"/>
    <w:rsid w:val="00EB767E"/>
    <w:rsid w:val="00EB7747"/>
    <w:rsid w:val="00EB7845"/>
    <w:rsid w:val="00EB78F5"/>
    <w:rsid w:val="00EB79FB"/>
    <w:rsid w:val="00EB7AFF"/>
    <w:rsid w:val="00EB7BC2"/>
    <w:rsid w:val="00EB7C7E"/>
    <w:rsid w:val="00EB7CF2"/>
    <w:rsid w:val="00EB7F36"/>
    <w:rsid w:val="00EC01C7"/>
    <w:rsid w:val="00EC0405"/>
    <w:rsid w:val="00EC05BB"/>
    <w:rsid w:val="00EC07BB"/>
    <w:rsid w:val="00EC08D0"/>
    <w:rsid w:val="00EC0D5B"/>
    <w:rsid w:val="00EC0D8C"/>
    <w:rsid w:val="00EC1030"/>
    <w:rsid w:val="00EC10C9"/>
    <w:rsid w:val="00EC12E6"/>
    <w:rsid w:val="00EC1376"/>
    <w:rsid w:val="00EC13D1"/>
    <w:rsid w:val="00EC1A3A"/>
    <w:rsid w:val="00EC1BB4"/>
    <w:rsid w:val="00EC1E1E"/>
    <w:rsid w:val="00EC269B"/>
    <w:rsid w:val="00EC26B9"/>
    <w:rsid w:val="00EC2B91"/>
    <w:rsid w:val="00EC2EFE"/>
    <w:rsid w:val="00EC312E"/>
    <w:rsid w:val="00EC327C"/>
    <w:rsid w:val="00EC32AA"/>
    <w:rsid w:val="00EC35D6"/>
    <w:rsid w:val="00EC38CE"/>
    <w:rsid w:val="00EC3A52"/>
    <w:rsid w:val="00EC3B4D"/>
    <w:rsid w:val="00EC3D01"/>
    <w:rsid w:val="00EC3F0B"/>
    <w:rsid w:val="00EC422B"/>
    <w:rsid w:val="00EC42BD"/>
    <w:rsid w:val="00EC455B"/>
    <w:rsid w:val="00EC4622"/>
    <w:rsid w:val="00EC47FF"/>
    <w:rsid w:val="00EC526E"/>
    <w:rsid w:val="00EC5A09"/>
    <w:rsid w:val="00EC662C"/>
    <w:rsid w:val="00EC6FFB"/>
    <w:rsid w:val="00EC7137"/>
    <w:rsid w:val="00EC743D"/>
    <w:rsid w:val="00EC75B3"/>
    <w:rsid w:val="00EC79BF"/>
    <w:rsid w:val="00EC7A50"/>
    <w:rsid w:val="00EC7AB7"/>
    <w:rsid w:val="00EC7F04"/>
    <w:rsid w:val="00ED007D"/>
    <w:rsid w:val="00ED066D"/>
    <w:rsid w:val="00ED06C2"/>
    <w:rsid w:val="00ED0846"/>
    <w:rsid w:val="00ED0905"/>
    <w:rsid w:val="00ED1004"/>
    <w:rsid w:val="00ED10BC"/>
    <w:rsid w:val="00ED1413"/>
    <w:rsid w:val="00ED1544"/>
    <w:rsid w:val="00ED1594"/>
    <w:rsid w:val="00ED183E"/>
    <w:rsid w:val="00ED1B5A"/>
    <w:rsid w:val="00ED1F40"/>
    <w:rsid w:val="00ED20FE"/>
    <w:rsid w:val="00ED22A4"/>
    <w:rsid w:val="00ED2347"/>
    <w:rsid w:val="00ED2515"/>
    <w:rsid w:val="00ED251C"/>
    <w:rsid w:val="00ED276E"/>
    <w:rsid w:val="00ED29CF"/>
    <w:rsid w:val="00ED2A70"/>
    <w:rsid w:val="00ED2B41"/>
    <w:rsid w:val="00ED2B4E"/>
    <w:rsid w:val="00ED2D2E"/>
    <w:rsid w:val="00ED2F02"/>
    <w:rsid w:val="00ED33C2"/>
    <w:rsid w:val="00ED341E"/>
    <w:rsid w:val="00ED3B49"/>
    <w:rsid w:val="00ED3EAB"/>
    <w:rsid w:val="00ED406C"/>
    <w:rsid w:val="00ED417E"/>
    <w:rsid w:val="00ED41AA"/>
    <w:rsid w:val="00ED46E4"/>
    <w:rsid w:val="00ED471E"/>
    <w:rsid w:val="00ED4BF3"/>
    <w:rsid w:val="00ED4CDC"/>
    <w:rsid w:val="00ED4D27"/>
    <w:rsid w:val="00ED503A"/>
    <w:rsid w:val="00ED532D"/>
    <w:rsid w:val="00ED5578"/>
    <w:rsid w:val="00ED5678"/>
    <w:rsid w:val="00ED5980"/>
    <w:rsid w:val="00ED5F1F"/>
    <w:rsid w:val="00ED644F"/>
    <w:rsid w:val="00ED6C09"/>
    <w:rsid w:val="00ED6CAB"/>
    <w:rsid w:val="00ED709F"/>
    <w:rsid w:val="00EE06FD"/>
    <w:rsid w:val="00EE091E"/>
    <w:rsid w:val="00EE0BE1"/>
    <w:rsid w:val="00EE0F38"/>
    <w:rsid w:val="00EE1065"/>
    <w:rsid w:val="00EE1213"/>
    <w:rsid w:val="00EE1847"/>
    <w:rsid w:val="00EE1867"/>
    <w:rsid w:val="00EE1DF6"/>
    <w:rsid w:val="00EE1FA6"/>
    <w:rsid w:val="00EE22AD"/>
    <w:rsid w:val="00EE2742"/>
    <w:rsid w:val="00EE2863"/>
    <w:rsid w:val="00EE2A2A"/>
    <w:rsid w:val="00EE2ABB"/>
    <w:rsid w:val="00EE2ADB"/>
    <w:rsid w:val="00EE2D4B"/>
    <w:rsid w:val="00EE2FFB"/>
    <w:rsid w:val="00EE34C2"/>
    <w:rsid w:val="00EE386C"/>
    <w:rsid w:val="00EE388F"/>
    <w:rsid w:val="00EE3965"/>
    <w:rsid w:val="00EE3BF5"/>
    <w:rsid w:val="00EE3DA3"/>
    <w:rsid w:val="00EE3DAE"/>
    <w:rsid w:val="00EE3E14"/>
    <w:rsid w:val="00EE455F"/>
    <w:rsid w:val="00EE4BF5"/>
    <w:rsid w:val="00EE51AD"/>
    <w:rsid w:val="00EE571D"/>
    <w:rsid w:val="00EE5C4D"/>
    <w:rsid w:val="00EE64B4"/>
    <w:rsid w:val="00EE6600"/>
    <w:rsid w:val="00EE6892"/>
    <w:rsid w:val="00EE6DCB"/>
    <w:rsid w:val="00EE709E"/>
    <w:rsid w:val="00EE75D4"/>
    <w:rsid w:val="00EE7789"/>
    <w:rsid w:val="00EE77E5"/>
    <w:rsid w:val="00EE7882"/>
    <w:rsid w:val="00EE7C2C"/>
    <w:rsid w:val="00EF0742"/>
    <w:rsid w:val="00EF08D2"/>
    <w:rsid w:val="00EF0D18"/>
    <w:rsid w:val="00EF146D"/>
    <w:rsid w:val="00EF1B16"/>
    <w:rsid w:val="00EF1C90"/>
    <w:rsid w:val="00EF1FB0"/>
    <w:rsid w:val="00EF1FE4"/>
    <w:rsid w:val="00EF1FEA"/>
    <w:rsid w:val="00EF29DC"/>
    <w:rsid w:val="00EF29F6"/>
    <w:rsid w:val="00EF2A05"/>
    <w:rsid w:val="00EF2A95"/>
    <w:rsid w:val="00EF2C06"/>
    <w:rsid w:val="00EF2D75"/>
    <w:rsid w:val="00EF2D7C"/>
    <w:rsid w:val="00EF2E4B"/>
    <w:rsid w:val="00EF3150"/>
    <w:rsid w:val="00EF32E2"/>
    <w:rsid w:val="00EF3371"/>
    <w:rsid w:val="00EF3B9C"/>
    <w:rsid w:val="00EF3C70"/>
    <w:rsid w:val="00EF3CCA"/>
    <w:rsid w:val="00EF3F8A"/>
    <w:rsid w:val="00EF46B7"/>
    <w:rsid w:val="00EF4E3E"/>
    <w:rsid w:val="00EF4E92"/>
    <w:rsid w:val="00EF4F36"/>
    <w:rsid w:val="00EF4F90"/>
    <w:rsid w:val="00EF4FD9"/>
    <w:rsid w:val="00EF572A"/>
    <w:rsid w:val="00EF590E"/>
    <w:rsid w:val="00EF5A63"/>
    <w:rsid w:val="00EF5A7C"/>
    <w:rsid w:val="00EF5C07"/>
    <w:rsid w:val="00EF60BD"/>
    <w:rsid w:val="00EF61E2"/>
    <w:rsid w:val="00EF61EF"/>
    <w:rsid w:val="00EF6727"/>
    <w:rsid w:val="00EF682C"/>
    <w:rsid w:val="00EF68EB"/>
    <w:rsid w:val="00EF6B23"/>
    <w:rsid w:val="00EF6CF3"/>
    <w:rsid w:val="00EF6DB9"/>
    <w:rsid w:val="00EF6E38"/>
    <w:rsid w:val="00EF70BD"/>
    <w:rsid w:val="00EF742F"/>
    <w:rsid w:val="00EF7706"/>
    <w:rsid w:val="00EF7B9B"/>
    <w:rsid w:val="00EF7E8E"/>
    <w:rsid w:val="00F0026F"/>
    <w:rsid w:val="00F00323"/>
    <w:rsid w:val="00F00807"/>
    <w:rsid w:val="00F00C96"/>
    <w:rsid w:val="00F00DFC"/>
    <w:rsid w:val="00F00E47"/>
    <w:rsid w:val="00F00F7C"/>
    <w:rsid w:val="00F010D3"/>
    <w:rsid w:val="00F01270"/>
    <w:rsid w:val="00F012DD"/>
    <w:rsid w:val="00F0178D"/>
    <w:rsid w:val="00F01DC4"/>
    <w:rsid w:val="00F021E4"/>
    <w:rsid w:val="00F02A7D"/>
    <w:rsid w:val="00F02CEB"/>
    <w:rsid w:val="00F02D45"/>
    <w:rsid w:val="00F02F31"/>
    <w:rsid w:val="00F02F98"/>
    <w:rsid w:val="00F03535"/>
    <w:rsid w:val="00F03888"/>
    <w:rsid w:val="00F038DC"/>
    <w:rsid w:val="00F03954"/>
    <w:rsid w:val="00F03A47"/>
    <w:rsid w:val="00F03DFB"/>
    <w:rsid w:val="00F04B91"/>
    <w:rsid w:val="00F04E3E"/>
    <w:rsid w:val="00F058E5"/>
    <w:rsid w:val="00F0593B"/>
    <w:rsid w:val="00F05B84"/>
    <w:rsid w:val="00F06212"/>
    <w:rsid w:val="00F064F9"/>
    <w:rsid w:val="00F06523"/>
    <w:rsid w:val="00F06578"/>
    <w:rsid w:val="00F06693"/>
    <w:rsid w:val="00F067E4"/>
    <w:rsid w:val="00F0681D"/>
    <w:rsid w:val="00F06B63"/>
    <w:rsid w:val="00F07166"/>
    <w:rsid w:val="00F072E7"/>
    <w:rsid w:val="00F0766E"/>
    <w:rsid w:val="00F07BFE"/>
    <w:rsid w:val="00F07D49"/>
    <w:rsid w:val="00F103A5"/>
    <w:rsid w:val="00F103BC"/>
    <w:rsid w:val="00F10821"/>
    <w:rsid w:val="00F10B88"/>
    <w:rsid w:val="00F11042"/>
    <w:rsid w:val="00F11161"/>
    <w:rsid w:val="00F11DFD"/>
    <w:rsid w:val="00F12131"/>
    <w:rsid w:val="00F12C64"/>
    <w:rsid w:val="00F12EF2"/>
    <w:rsid w:val="00F13804"/>
    <w:rsid w:val="00F13C1E"/>
    <w:rsid w:val="00F13FAB"/>
    <w:rsid w:val="00F14112"/>
    <w:rsid w:val="00F14115"/>
    <w:rsid w:val="00F1421F"/>
    <w:rsid w:val="00F1468A"/>
    <w:rsid w:val="00F1484D"/>
    <w:rsid w:val="00F1492B"/>
    <w:rsid w:val="00F14AF8"/>
    <w:rsid w:val="00F15049"/>
    <w:rsid w:val="00F15226"/>
    <w:rsid w:val="00F1538B"/>
    <w:rsid w:val="00F155F2"/>
    <w:rsid w:val="00F15938"/>
    <w:rsid w:val="00F15B2F"/>
    <w:rsid w:val="00F15F53"/>
    <w:rsid w:val="00F1612C"/>
    <w:rsid w:val="00F1622F"/>
    <w:rsid w:val="00F169CA"/>
    <w:rsid w:val="00F16C02"/>
    <w:rsid w:val="00F16CB8"/>
    <w:rsid w:val="00F16F08"/>
    <w:rsid w:val="00F16FEC"/>
    <w:rsid w:val="00F1742D"/>
    <w:rsid w:val="00F1762C"/>
    <w:rsid w:val="00F17801"/>
    <w:rsid w:val="00F17909"/>
    <w:rsid w:val="00F20467"/>
    <w:rsid w:val="00F20787"/>
    <w:rsid w:val="00F20A45"/>
    <w:rsid w:val="00F21107"/>
    <w:rsid w:val="00F217A3"/>
    <w:rsid w:val="00F21E29"/>
    <w:rsid w:val="00F223C9"/>
    <w:rsid w:val="00F228B2"/>
    <w:rsid w:val="00F229B0"/>
    <w:rsid w:val="00F22A2F"/>
    <w:rsid w:val="00F22D84"/>
    <w:rsid w:val="00F22EA2"/>
    <w:rsid w:val="00F2347F"/>
    <w:rsid w:val="00F23961"/>
    <w:rsid w:val="00F23FF6"/>
    <w:rsid w:val="00F247A4"/>
    <w:rsid w:val="00F2497C"/>
    <w:rsid w:val="00F24DD0"/>
    <w:rsid w:val="00F24DFC"/>
    <w:rsid w:val="00F24E0E"/>
    <w:rsid w:val="00F2510B"/>
    <w:rsid w:val="00F251F0"/>
    <w:rsid w:val="00F25652"/>
    <w:rsid w:val="00F258ED"/>
    <w:rsid w:val="00F258EF"/>
    <w:rsid w:val="00F259A4"/>
    <w:rsid w:val="00F25E2D"/>
    <w:rsid w:val="00F25F2C"/>
    <w:rsid w:val="00F265D6"/>
    <w:rsid w:val="00F2677E"/>
    <w:rsid w:val="00F268FA"/>
    <w:rsid w:val="00F26BBB"/>
    <w:rsid w:val="00F2705D"/>
    <w:rsid w:val="00F27555"/>
    <w:rsid w:val="00F2792E"/>
    <w:rsid w:val="00F27B23"/>
    <w:rsid w:val="00F27C9F"/>
    <w:rsid w:val="00F27D50"/>
    <w:rsid w:val="00F27E7F"/>
    <w:rsid w:val="00F30118"/>
    <w:rsid w:val="00F30140"/>
    <w:rsid w:val="00F301FF"/>
    <w:rsid w:val="00F30397"/>
    <w:rsid w:val="00F3059D"/>
    <w:rsid w:val="00F3086F"/>
    <w:rsid w:val="00F30B68"/>
    <w:rsid w:val="00F30CA1"/>
    <w:rsid w:val="00F30EBC"/>
    <w:rsid w:val="00F30ED6"/>
    <w:rsid w:val="00F30F79"/>
    <w:rsid w:val="00F3105E"/>
    <w:rsid w:val="00F31502"/>
    <w:rsid w:val="00F31B8A"/>
    <w:rsid w:val="00F321F9"/>
    <w:rsid w:val="00F329AA"/>
    <w:rsid w:val="00F32F69"/>
    <w:rsid w:val="00F3313A"/>
    <w:rsid w:val="00F3342B"/>
    <w:rsid w:val="00F33457"/>
    <w:rsid w:val="00F335AA"/>
    <w:rsid w:val="00F3379F"/>
    <w:rsid w:val="00F339F0"/>
    <w:rsid w:val="00F3440E"/>
    <w:rsid w:val="00F345EB"/>
    <w:rsid w:val="00F34EA0"/>
    <w:rsid w:val="00F352E6"/>
    <w:rsid w:val="00F35A0B"/>
    <w:rsid w:val="00F35DD5"/>
    <w:rsid w:val="00F36294"/>
    <w:rsid w:val="00F36A23"/>
    <w:rsid w:val="00F36B4C"/>
    <w:rsid w:val="00F36BC9"/>
    <w:rsid w:val="00F36DD0"/>
    <w:rsid w:val="00F36F47"/>
    <w:rsid w:val="00F3706C"/>
    <w:rsid w:val="00F37113"/>
    <w:rsid w:val="00F37151"/>
    <w:rsid w:val="00F372E7"/>
    <w:rsid w:val="00F3751A"/>
    <w:rsid w:val="00F3765D"/>
    <w:rsid w:val="00F37759"/>
    <w:rsid w:val="00F377EA"/>
    <w:rsid w:val="00F377F3"/>
    <w:rsid w:val="00F37A36"/>
    <w:rsid w:val="00F37CED"/>
    <w:rsid w:val="00F37E38"/>
    <w:rsid w:val="00F37FDB"/>
    <w:rsid w:val="00F4003F"/>
    <w:rsid w:val="00F400AB"/>
    <w:rsid w:val="00F40127"/>
    <w:rsid w:val="00F40AE9"/>
    <w:rsid w:val="00F40D69"/>
    <w:rsid w:val="00F40D7D"/>
    <w:rsid w:val="00F40F12"/>
    <w:rsid w:val="00F412FE"/>
    <w:rsid w:val="00F41445"/>
    <w:rsid w:val="00F4178C"/>
    <w:rsid w:val="00F41A13"/>
    <w:rsid w:val="00F427E2"/>
    <w:rsid w:val="00F428D6"/>
    <w:rsid w:val="00F42A6B"/>
    <w:rsid w:val="00F42BDB"/>
    <w:rsid w:val="00F42F15"/>
    <w:rsid w:val="00F44006"/>
    <w:rsid w:val="00F44092"/>
    <w:rsid w:val="00F44385"/>
    <w:rsid w:val="00F4446B"/>
    <w:rsid w:val="00F447AF"/>
    <w:rsid w:val="00F449B3"/>
    <w:rsid w:val="00F44B75"/>
    <w:rsid w:val="00F44CF7"/>
    <w:rsid w:val="00F45405"/>
    <w:rsid w:val="00F456C5"/>
    <w:rsid w:val="00F45B46"/>
    <w:rsid w:val="00F45D66"/>
    <w:rsid w:val="00F45F6E"/>
    <w:rsid w:val="00F46579"/>
    <w:rsid w:val="00F46968"/>
    <w:rsid w:val="00F46B61"/>
    <w:rsid w:val="00F46BE3"/>
    <w:rsid w:val="00F46E45"/>
    <w:rsid w:val="00F46F33"/>
    <w:rsid w:val="00F4704C"/>
    <w:rsid w:val="00F471B1"/>
    <w:rsid w:val="00F4731D"/>
    <w:rsid w:val="00F477E8"/>
    <w:rsid w:val="00F47FC9"/>
    <w:rsid w:val="00F500B5"/>
    <w:rsid w:val="00F5014A"/>
    <w:rsid w:val="00F50159"/>
    <w:rsid w:val="00F503C1"/>
    <w:rsid w:val="00F503FF"/>
    <w:rsid w:val="00F50410"/>
    <w:rsid w:val="00F504E9"/>
    <w:rsid w:val="00F5075E"/>
    <w:rsid w:val="00F5095D"/>
    <w:rsid w:val="00F50A5A"/>
    <w:rsid w:val="00F50AD2"/>
    <w:rsid w:val="00F50CBE"/>
    <w:rsid w:val="00F5132E"/>
    <w:rsid w:val="00F51AE7"/>
    <w:rsid w:val="00F51AF3"/>
    <w:rsid w:val="00F51F3C"/>
    <w:rsid w:val="00F52460"/>
    <w:rsid w:val="00F527AF"/>
    <w:rsid w:val="00F53004"/>
    <w:rsid w:val="00F53407"/>
    <w:rsid w:val="00F5367B"/>
    <w:rsid w:val="00F53910"/>
    <w:rsid w:val="00F5399F"/>
    <w:rsid w:val="00F540BF"/>
    <w:rsid w:val="00F544E7"/>
    <w:rsid w:val="00F54ACB"/>
    <w:rsid w:val="00F54C12"/>
    <w:rsid w:val="00F54EF2"/>
    <w:rsid w:val="00F550A3"/>
    <w:rsid w:val="00F55585"/>
    <w:rsid w:val="00F55B01"/>
    <w:rsid w:val="00F55F3C"/>
    <w:rsid w:val="00F55F59"/>
    <w:rsid w:val="00F562E8"/>
    <w:rsid w:val="00F5662A"/>
    <w:rsid w:val="00F566AF"/>
    <w:rsid w:val="00F56F6C"/>
    <w:rsid w:val="00F57216"/>
    <w:rsid w:val="00F57421"/>
    <w:rsid w:val="00F5774E"/>
    <w:rsid w:val="00F57B78"/>
    <w:rsid w:val="00F57BE9"/>
    <w:rsid w:val="00F57F5C"/>
    <w:rsid w:val="00F57F8A"/>
    <w:rsid w:val="00F57FC7"/>
    <w:rsid w:val="00F60160"/>
    <w:rsid w:val="00F601E8"/>
    <w:rsid w:val="00F6020A"/>
    <w:rsid w:val="00F60727"/>
    <w:rsid w:val="00F60C82"/>
    <w:rsid w:val="00F60F6F"/>
    <w:rsid w:val="00F6101B"/>
    <w:rsid w:val="00F610D1"/>
    <w:rsid w:val="00F61358"/>
    <w:rsid w:val="00F617B9"/>
    <w:rsid w:val="00F61A7F"/>
    <w:rsid w:val="00F62470"/>
    <w:rsid w:val="00F6268C"/>
    <w:rsid w:val="00F626EC"/>
    <w:rsid w:val="00F6278F"/>
    <w:rsid w:val="00F6287A"/>
    <w:rsid w:val="00F62B2B"/>
    <w:rsid w:val="00F6320D"/>
    <w:rsid w:val="00F63257"/>
    <w:rsid w:val="00F632BC"/>
    <w:rsid w:val="00F63B99"/>
    <w:rsid w:val="00F63D5F"/>
    <w:rsid w:val="00F64054"/>
    <w:rsid w:val="00F64059"/>
    <w:rsid w:val="00F642BD"/>
    <w:rsid w:val="00F643CF"/>
    <w:rsid w:val="00F64BD6"/>
    <w:rsid w:val="00F65001"/>
    <w:rsid w:val="00F655A7"/>
    <w:rsid w:val="00F657F4"/>
    <w:rsid w:val="00F659A7"/>
    <w:rsid w:val="00F65A4F"/>
    <w:rsid w:val="00F661B0"/>
    <w:rsid w:val="00F66833"/>
    <w:rsid w:val="00F66E62"/>
    <w:rsid w:val="00F67307"/>
    <w:rsid w:val="00F67361"/>
    <w:rsid w:val="00F67397"/>
    <w:rsid w:val="00F6740E"/>
    <w:rsid w:val="00F677D0"/>
    <w:rsid w:val="00F701BF"/>
    <w:rsid w:val="00F702DC"/>
    <w:rsid w:val="00F705E6"/>
    <w:rsid w:val="00F707AD"/>
    <w:rsid w:val="00F708CA"/>
    <w:rsid w:val="00F708DC"/>
    <w:rsid w:val="00F70A2A"/>
    <w:rsid w:val="00F70AE5"/>
    <w:rsid w:val="00F71117"/>
    <w:rsid w:val="00F71617"/>
    <w:rsid w:val="00F719D4"/>
    <w:rsid w:val="00F71BC4"/>
    <w:rsid w:val="00F71DA1"/>
    <w:rsid w:val="00F71FD4"/>
    <w:rsid w:val="00F725E9"/>
    <w:rsid w:val="00F72C04"/>
    <w:rsid w:val="00F72C4A"/>
    <w:rsid w:val="00F731BC"/>
    <w:rsid w:val="00F736EA"/>
    <w:rsid w:val="00F73AF3"/>
    <w:rsid w:val="00F73B13"/>
    <w:rsid w:val="00F73BC5"/>
    <w:rsid w:val="00F73E0B"/>
    <w:rsid w:val="00F7421E"/>
    <w:rsid w:val="00F74445"/>
    <w:rsid w:val="00F74670"/>
    <w:rsid w:val="00F74905"/>
    <w:rsid w:val="00F74953"/>
    <w:rsid w:val="00F749FF"/>
    <w:rsid w:val="00F74A69"/>
    <w:rsid w:val="00F74EF9"/>
    <w:rsid w:val="00F7525C"/>
    <w:rsid w:val="00F75715"/>
    <w:rsid w:val="00F759F2"/>
    <w:rsid w:val="00F75D85"/>
    <w:rsid w:val="00F76064"/>
    <w:rsid w:val="00F76290"/>
    <w:rsid w:val="00F76354"/>
    <w:rsid w:val="00F76546"/>
    <w:rsid w:val="00F77258"/>
    <w:rsid w:val="00F7750A"/>
    <w:rsid w:val="00F77CB9"/>
    <w:rsid w:val="00F77EB0"/>
    <w:rsid w:val="00F80139"/>
    <w:rsid w:val="00F80264"/>
    <w:rsid w:val="00F806E7"/>
    <w:rsid w:val="00F80F5B"/>
    <w:rsid w:val="00F811B7"/>
    <w:rsid w:val="00F8175D"/>
    <w:rsid w:val="00F81BE8"/>
    <w:rsid w:val="00F81C89"/>
    <w:rsid w:val="00F81D46"/>
    <w:rsid w:val="00F82031"/>
    <w:rsid w:val="00F821AA"/>
    <w:rsid w:val="00F828A0"/>
    <w:rsid w:val="00F829C3"/>
    <w:rsid w:val="00F82A53"/>
    <w:rsid w:val="00F82C75"/>
    <w:rsid w:val="00F82CEB"/>
    <w:rsid w:val="00F82E7D"/>
    <w:rsid w:val="00F83C0D"/>
    <w:rsid w:val="00F83D54"/>
    <w:rsid w:val="00F83FE4"/>
    <w:rsid w:val="00F84090"/>
    <w:rsid w:val="00F840B8"/>
    <w:rsid w:val="00F847F4"/>
    <w:rsid w:val="00F8492F"/>
    <w:rsid w:val="00F84960"/>
    <w:rsid w:val="00F8509E"/>
    <w:rsid w:val="00F85191"/>
    <w:rsid w:val="00F851CB"/>
    <w:rsid w:val="00F85947"/>
    <w:rsid w:val="00F85C67"/>
    <w:rsid w:val="00F85FA9"/>
    <w:rsid w:val="00F863E9"/>
    <w:rsid w:val="00F865D7"/>
    <w:rsid w:val="00F869B6"/>
    <w:rsid w:val="00F86F43"/>
    <w:rsid w:val="00F86FC1"/>
    <w:rsid w:val="00F86FEE"/>
    <w:rsid w:val="00F86FFD"/>
    <w:rsid w:val="00F8723F"/>
    <w:rsid w:val="00F87C56"/>
    <w:rsid w:val="00F87EF4"/>
    <w:rsid w:val="00F9006F"/>
    <w:rsid w:val="00F902D8"/>
    <w:rsid w:val="00F903A4"/>
    <w:rsid w:val="00F9047F"/>
    <w:rsid w:val="00F904A8"/>
    <w:rsid w:val="00F90B3B"/>
    <w:rsid w:val="00F90EA1"/>
    <w:rsid w:val="00F9115E"/>
    <w:rsid w:val="00F91893"/>
    <w:rsid w:val="00F91932"/>
    <w:rsid w:val="00F91AF2"/>
    <w:rsid w:val="00F91C3B"/>
    <w:rsid w:val="00F91E67"/>
    <w:rsid w:val="00F92014"/>
    <w:rsid w:val="00F9206A"/>
    <w:rsid w:val="00F92265"/>
    <w:rsid w:val="00F928C2"/>
    <w:rsid w:val="00F92A9B"/>
    <w:rsid w:val="00F92CA1"/>
    <w:rsid w:val="00F92FCC"/>
    <w:rsid w:val="00F9317E"/>
    <w:rsid w:val="00F93243"/>
    <w:rsid w:val="00F93665"/>
    <w:rsid w:val="00F9385E"/>
    <w:rsid w:val="00F939CE"/>
    <w:rsid w:val="00F93DD8"/>
    <w:rsid w:val="00F93FA7"/>
    <w:rsid w:val="00F9411C"/>
    <w:rsid w:val="00F943FF"/>
    <w:rsid w:val="00F9454E"/>
    <w:rsid w:val="00F94BC9"/>
    <w:rsid w:val="00F95911"/>
    <w:rsid w:val="00F95AC3"/>
    <w:rsid w:val="00F95C77"/>
    <w:rsid w:val="00F95F4C"/>
    <w:rsid w:val="00F95FCF"/>
    <w:rsid w:val="00F964CA"/>
    <w:rsid w:val="00F96659"/>
    <w:rsid w:val="00F9684B"/>
    <w:rsid w:val="00F96C8F"/>
    <w:rsid w:val="00F96E48"/>
    <w:rsid w:val="00F970F1"/>
    <w:rsid w:val="00F9725E"/>
    <w:rsid w:val="00F97824"/>
    <w:rsid w:val="00F97B37"/>
    <w:rsid w:val="00F97DB6"/>
    <w:rsid w:val="00F97E64"/>
    <w:rsid w:val="00F97F09"/>
    <w:rsid w:val="00FA0213"/>
    <w:rsid w:val="00FA027B"/>
    <w:rsid w:val="00FA0EE1"/>
    <w:rsid w:val="00FA12AA"/>
    <w:rsid w:val="00FA1473"/>
    <w:rsid w:val="00FA1562"/>
    <w:rsid w:val="00FA18C5"/>
    <w:rsid w:val="00FA1CDC"/>
    <w:rsid w:val="00FA1E33"/>
    <w:rsid w:val="00FA2346"/>
    <w:rsid w:val="00FA2D04"/>
    <w:rsid w:val="00FA34AB"/>
    <w:rsid w:val="00FA3C3C"/>
    <w:rsid w:val="00FA3F80"/>
    <w:rsid w:val="00FA47F8"/>
    <w:rsid w:val="00FA4AB6"/>
    <w:rsid w:val="00FA4B11"/>
    <w:rsid w:val="00FA4D7E"/>
    <w:rsid w:val="00FA4DB2"/>
    <w:rsid w:val="00FA5197"/>
    <w:rsid w:val="00FA5C0A"/>
    <w:rsid w:val="00FA5CD9"/>
    <w:rsid w:val="00FA6030"/>
    <w:rsid w:val="00FA659F"/>
    <w:rsid w:val="00FA6707"/>
    <w:rsid w:val="00FA682B"/>
    <w:rsid w:val="00FA687B"/>
    <w:rsid w:val="00FA6A61"/>
    <w:rsid w:val="00FA6DEC"/>
    <w:rsid w:val="00FA6EB1"/>
    <w:rsid w:val="00FA6FC0"/>
    <w:rsid w:val="00FA762B"/>
    <w:rsid w:val="00FA7B40"/>
    <w:rsid w:val="00FA7B65"/>
    <w:rsid w:val="00FA7CCC"/>
    <w:rsid w:val="00FB05D7"/>
    <w:rsid w:val="00FB0686"/>
    <w:rsid w:val="00FB0AF4"/>
    <w:rsid w:val="00FB0DEC"/>
    <w:rsid w:val="00FB103D"/>
    <w:rsid w:val="00FB14F2"/>
    <w:rsid w:val="00FB17D4"/>
    <w:rsid w:val="00FB1CC5"/>
    <w:rsid w:val="00FB1D4B"/>
    <w:rsid w:val="00FB2102"/>
    <w:rsid w:val="00FB2174"/>
    <w:rsid w:val="00FB281D"/>
    <w:rsid w:val="00FB2844"/>
    <w:rsid w:val="00FB2C93"/>
    <w:rsid w:val="00FB2F14"/>
    <w:rsid w:val="00FB3182"/>
    <w:rsid w:val="00FB31BF"/>
    <w:rsid w:val="00FB35C1"/>
    <w:rsid w:val="00FB36FD"/>
    <w:rsid w:val="00FB38C7"/>
    <w:rsid w:val="00FB3B56"/>
    <w:rsid w:val="00FB3B6A"/>
    <w:rsid w:val="00FB3F8D"/>
    <w:rsid w:val="00FB41A9"/>
    <w:rsid w:val="00FB43CC"/>
    <w:rsid w:val="00FB4402"/>
    <w:rsid w:val="00FB44C6"/>
    <w:rsid w:val="00FB4540"/>
    <w:rsid w:val="00FB4CD4"/>
    <w:rsid w:val="00FB4F14"/>
    <w:rsid w:val="00FB537C"/>
    <w:rsid w:val="00FB53CA"/>
    <w:rsid w:val="00FB5AB3"/>
    <w:rsid w:val="00FB5AF6"/>
    <w:rsid w:val="00FB5B87"/>
    <w:rsid w:val="00FB5C1A"/>
    <w:rsid w:val="00FB6046"/>
    <w:rsid w:val="00FB6095"/>
    <w:rsid w:val="00FB65A5"/>
    <w:rsid w:val="00FB6872"/>
    <w:rsid w:val="00FB6BF3"/>
    <w:rsid w:val="00FB6E4F"/>
    <w:rsid w:val="00FB6E85"/>
    <w:rsid w:val="00FB70EC"/>
    <w:rsid w:val="00FB7219"/>
    <w:rsid w:val="00FB7237"/>
    <w:rsid w:val="00FB7AE6"/>
    <w:rsid w:val="00FB7EAB"/>
    <w:rsid w:val="00FC015A"/>
    <w:rsid w:val="00FC01FB"/>
    <w:rsid w:val="00FC0956"/>
    <w:rsid w:val="00FC0A59"/>
    <w:rsid w:val="00FC11DD"/>
    <w:rsid w:val="00FC1CE6"/>
    <w:rsid w:val="00FC1D73"/>
    <w:rsid w:val="00FC2398"/>
    <w:rsid w:val="00FC245C"/>
    <w:rsid w:val="00FC2550"/>
    <w:rsid w:val="00FC2851"/>
    <w:rsid w:val="00FC2930"/>
    <w:rsid w:val="00FC2D5C"/>
    <w:rsid w:val="00FC2E90"/>
    <w:rsid w:val="00FC32EA"/>
    <w:rsid w:val="00FC3322"/>
    <w:rsid w:val="00FC353E"/>
    <w:rsid w:val="00FC35E7"/>
    <w:rsid w:val="00FC3868"/>
    <w:rsid w:val="00FC3AB7"/>
    <w:rsid w:val="00FC3B03"/>
    <w:rsid w:val="00FC3EEC"/>
    <w:rsid w:val="00FC4032"/>
    <w:rsid w:val="00FC4072"/>
    <w:rsid w:val="00FC40AA"/>
    <w:rsid w:val="00FC415A"/>
    <w:rsid w:val="00FC41A9"/>
    <w:rsid w:val="00FC4210"/>
    <w:rsid w:val="00FC42CD"/>
    <w:rsid w:val="00FC437E"/>
    <w:rsid w:val="00FC4970"/>
    <w:rsid w:val="00FC4CF6"/>
    <w:rsid w:val="00FC58B0"/>
    <w:rsid w:val="00FC5B53"/>
    <w:rsid w:val="00FC5E54"/>
    <w:rsid w:val="00FC61F0"/>
    <w:rsid w:val="00FC6224"/>
    <w:rsid w:val="00FC65D9"/>
    <w:rsid w:val="00FC6871"/>
    <w:rsid w:val="00FC68DE"/>
    <w:rsid w:val="00FC6BBD"/>
    <w:rsid w:val="00FC6C5D"/>
    <w:rsid w:val="00FC6D6A"/>
    <w:rsid w:val="00FC703B"/>
    <w:rsid w:val="00FC72C9"/>
    <w:rsid w:val="00FC7D6F"/>
    <w:rsid w:val="00FC7DD9"/>
    <w:rsid w:val="00FC7E40"/>
    <w:rsid w:val="00FD02C3"/>
    <w:rsid w:val="00FD084D"/>
    <w:rsid w:val="00FD0DB8"/>
    <w:rsid w:val="00FD1021"/>
    <w:rsid w:val="00FD1565"/>
    <w:rsid w:val="00FD1735"/>
    <w:rsid w:val="00FD17C1"/>
    <w:rsid w:val="00FD1980"/>
    <w:rsid w:val="00FD19AA"/>
    <w:rsid w:val="00FD1A7F"/>
    <w:rsid w:val="00FD1B88"/>
    <w:rsid w:val="00FD1C93"/>
    <w:rsid w:val="00FD1F1D"/>
    <w:rsid w:val="00FD1FEF"/>
    <w:rsid w:val="00FD1FF6"/>
    <w:rsid w:val="00FD2202"/>
    <w:rsid w:val="00FD29E3"/>
    <w:rsid w:val="00FD2AC0"/>
    <w:rsid w:val="00FD2CB3"/>
    <w:rsid w:val="00FD2E83"/>
    <w:rsid w:val="00FD325C"/>
    <w:rsid w:val="00FD37E5"/>
    <w:rsid w:val="00FD3FA5"/>
    <w:rsid w:val="00FD4124"/>
    <w:rsid w:val="00FD450A"/>
    <w:rsid w:val="00FD4845"/>
    <w:rsid w:val="00FD49F1"/>
    <w:rsid w:val="00FD4A40"/>
    <w:rsid w:val="00FD4BB9"/>
    <w:rsid w:val="00FD4D1F"/>
    <w:rsid w:val="00FD4D45"/>
    <w:rsid w:val="00FD4D79"/>
    <w:rsid w:val="00FD4EEC"/>
    <w:rsid w:val="00FD4F49"/>
    <w:rsid w:val="00FD4FE2"/>
    <w:rsid w:val="00FD507A"/>
    <w:rsid w:val="00FD520F"/>
    <w:rsid w:val="00FD547D"/>
    <w:rsid w:val="00FD5A9F"/>
    <w:rsid w:val="00FD5F49"/>
    <w:rsid w:val="00FD661F"/>
    <w:rsid w:val="00FD6AF9"/>
    <w:rsid w:val="00FD6E52"/>
    <w:rsid w:val="00FD6EF3"/>
    <w:rsid w:val="00FD76D0"/>
    <w:rsid w:val="00FD77C0"/>
    <w:rsid w:val="00FD7965"/>
    <w:rsid w:val="00FD7AEF"/>
    <w:rsid w:val="00FE03AB"/>
    <w:rsid w:val="00FE0734"/>
    <w:rsid w:val="00FE0739"/>
    <w:rsid w:val="00FE08C6"/>
    <w:rsid w:val="00FE0943"/>
    <w:rsid w:val="00FE099A"/>
    <w:rsid w:val="00FE0B35"/>
    <w:rsid w:val="00FE0DFE"/>
    <w:rsid w:val="00FE0E16"/>
    <w:rsid w:val="00FE0F4B"/>
    <w:rsid w:val="00FE1085"/>
    <w:rsid w:val="00FE123A"/>
    <w:rsid w:val="00FE1485"/>
    <w:rsid w:val="00FE1487"/>
    <w:rsid w:val="00FE1523"/>
    <w:rsid w:val="00FE1D39"/>
    <w:rsid w:val="00FE1D84"/>
    <w:rsid w:val="00FE1FBC"/>
    <w:rsid w:val="00FE2637"/>
    <w:rsid w:val="00FE2B6A"/>
    <w:rsid w:val="00FE2C57"/>
    <w:rsid w:val="00FE2E91"/>
    <w:rsid w:val="00FE2F6B"/>
    <w:rsid w:val="00FE306F"/>
    <w:rsid w:val="00FE370A"/>
    <w:rsid w:val="00FE37DA"/>
    <w:rsid w:val="00FE3808"/>
    <w:rsid w:val="00FE3938"/>
    <w:rsid w:val="00FE4977"/>
    <w:rsid w:val="00FE4B34"/>
    <w:rsid w:val="00FE4CD3"/>
    <w:rsid w:val="00FE4DDE"/>
    <w:rsid w:val="00FE504C"/>
    <w:rsid w:val="00FE55DB"/>
    <w:rsid w:val="00FE5827"/>
    <w:rsid w:val="00FE5C8A"/>
    <w:rsid w:val="00FE5D73"/>
    <w:rsid w:val="00FE5EB3"/>
    <w:rsid w:val="00FE603B"/>
    <w:rsid w:val="00FE66C0"/>
    <w:rsid w:val="00FE676A"/>
    <w:rsid w:val="00FE677A"/>
    <w:rsid w:val="00FE6A49"/>
    <w:rsid w:val="00FE6C83"/>
    <w:rsid w:val="00FE6F68"/>
    <w:rsid w:val="00FE6FC6"/>
    <w:rsid w:val="00FE778F"/>
    <w:rsid w:val="00FE799F"/>
    <w:rsid w:val="00FE7A01"/>
    <w:rsid w:val="00FE7A08"/>
    <w:rsid w:val="00FF038A"/>
    <w:rsid w:val="00FF04EB"/>
    <w:rsid w:val="00FF050B"/>
    <w:rsid w:val="00FF0656"/>
    <w:rsid w:val="00FF0690"/>
    <w:rsid w:val="00FF08DC"/>
    <w:rsid w:val="00FF0A24"/>
    <w:rsid w:val="00FF0A45"/>
    <w:rsid w:val="00FF11A3"/>
    <w:rsid w:val="00FF12B4"/>
    <w:rsid w:val="00FF1923"/>
    <w:rsid w:val="00FF1EBB"/>
    <w:rsid w:val="00FF1FD4"/>
    <w:rsid w:val="00FF2212"/>
    <w:rsid w:val="00FF2812"/>
    <w:rsid w:val="00FF2AAD"/>
    <w:rsid w:val="00FF2C2C"/>
    <w:rsid w:val="00FF30BF"/>
    <w:rsid w:val="00FF337B"/>
    <w:rsid w:val="00FF3C87"/>
    <w:rsid w:val="00FF3E08"/>
    <w:rsid w:val="00FF42F8"/>
    <w:rsid w:val="00FF432B"/>
    <w:rsid w:val="00FF4368"/>
    <w:rsid w:val="00FF4378"/>
    <w:rsid w:val="00FF4BD1"/>
    <w:rsid w:val="00FF4D01"/>
    <w:rsid w:val="00FF58DF"/>
    <w:rsid w:val="00FF670D"/>
    <w:rsid w:val="00FF6946"/>
    <w:rsid w:val="00FF6AF6"/>
    <w:rsid w:val="00FF6D20"/>
    <w:rsid w:val="00FF6F81"/>
    <w:rsid w:val="00FF709B"/>
    <w:rsid w:val="00FF718D"/>
    <w:rsid w:val="00FF76B9"/>
    <w:rsid w:val="00FF76D4"/>
    <w:rsid w:val="00FF7C1B"/>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5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semiHidden="0" w:uiPriority="0" w:unhideWhenUsed="0" w:qFormat="1"/>
    <w:lsdException w:name="heading 7" w:locked="1" w:uiPriority="0" w:qFormat="1"/>
    <w:lsdException w:name="heading 8" w:locked="1" w:uiPriority="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7237"/>
    <w:rPr>
      <w:sz w:val="24"/>
      <w:szCs w:val="24"/>
    </w:rPr>
  </w:style>
  <w:style w:type="paragraph" w:styleId="Heading1">
    <w:name w:val="heading 1"/>
    <w:basedOn w:val="Normal"/>
    <w:next w:val="Normal"/>
    <w:link w:val="Heading1Char"/>
    <w:uiPriority w:val="99"/>
    <w:qFormat/>
    <w:rsid w:val="004122D2"/>
    <w:pPr>
      <w:keepNext/>
      <w:jc w:val="center"/>
      <w:outlineLvl w:val="0"/>
    </w:pPr>
    <w:rPr>
      <w:b/>
      <w:bCs/>
      <w:lang w:eastAsia="en-US"/>
    </w:rPr>
  </w:style>
  <w:style w:type="paragraph" w:styleId="Heading2">
    <w:name w:val="heading 2"/>
    <w:basedOn w:val="Normal"/>
    <w:next w:val="Normal"/>
    <w:link w:val="Heading2Char"/>
    <w:uiPriority w:val="99"/>
    <w:qFormat/>
    <w:rsid w:val="009C5217"/>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1"/>
    <w:uiPriority w:val="99"/>
    <w:qFormat/>
    <w:rsid w:val="009C5217"/>
    <w:pPr>
      <w:keepNext/>
      <w:spacing w:before="240" w:after="60"/>
      <w:outlineLvl w:val="2"/>
    </w:pPr>
    <w:rPr>
      <w:rFonts w:ascii="Arial" w:hAnsi="Arial" w:cs="Arial"/>
      <w:b/>
      <w:bCs/>
      <w:sz w:val="26"/>
      <w:szCs w:val="26"/>
      <w:lang w:val="en-AU"/>
    </w:rPr>
  </w:style>
  <w:style w:type="paragraph" w:styleId="Heading4">
    <w:name w:val="heading 4"/>
    <w:basedOn w:val="Normal"/>
    <w:next w:val="Normal"/>
    <w:link w:val="Heading4Char"/>
    <w:uiPriority w:val="99"/>
    <w:qFormat/>
    <w:rsid w:val="009C5217"/>
    <w:pPr>
      <w:keepNext/>
      <w:spacing w:before="240" w:after="60"/>
      <w:outlineLvl w:val="3"/>
    </w:pPr>
    <w:rPr>
      <w:b/>
      <w:bCs/>
      <w:sz w:val="28"/>
      <w:szCs w:val="28"/>
    </w:rPr>
  </w:style>
  <w:style w:type="paragraph" w:styleId="Heading6">
    <w:name w:val="heading 6"/>
    <w:basedOn w:val="Normal"/>
    <w:next w:val="Normal"/>
    <w:link w:val="Heading6Char"/>
    <w:uiPriority w:val="99"/>
    <w:qFormat/>
    <w:rsid w:val="00600F9D"/>
    <w:pPr>
      <w:spacing w:before="240" w:after="60"/>
      <w:outlineLvl w:val="5"/>
    </w:pPr>
    <w:rPr>
      <w:b/>
      <w:bCs/>
      <w:sz w:val="22"/>
      <w:szCs w:val="22"/>
    </w:rPr>
  </w:style>
  <w:style w:type="paragraph" w:styleId="Heading9">
    <w:name w:val="heading 9"/>
    <w:basedOn w:val="Normal"/>
    <w:next w:val="Normal"/>
    <w:link w:val="Heading9Char"/>
    <w:uiPriority w:val="99"/>
    <w:qFormat/>
    <w:rsid w:val="004D0E90"/>
    <w:p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17007"/>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sid w:val="00B17007"/>
    <w:rPr>
      <w:rFonts w:ascii="Cambria" w:hAnsi="Cambria" w:cs="Times New Roman"/>
      <w:b/>
      <w:bCs/>
      <w:i/>
      <w:iCs/>
      <w:sz w:val="28"/>
      <w:szCs w:val="28"/>
    </w:rPr>
  </w:style>
  <w:style w:type="character" w:customStyle="1" w:styleId="Heading3Char">
    <w:name w:val="Heading 3 Char"/>
    <w:basedOn w:val="DefaultParagraphFont"/>
    <w:link w:val="Heading3"/>
    <w:uiPriority w:val="99"/>
    <w:locked/>
    <w:rsid w:val="002C3782"/>
    <w:rPr>
      <w:rFonts w:ascii="Arial" w:hAnsi="Arial" w:cs="Arial"/>
      <w:b/>
      <w:bCs/>
      <w:sz w:val="26"/>
      <w:szCs w:val="26"/>
      <w:lang w:val="en-AU" w:eastAsia="bg-BG" w:bidi="ar-SA"/>
    </w:rPr>
  </w:style>
  <w:style w:type="character" w:customStyle="1" w:styleId="Heading4Char">
    <w:name w:val="Heading 4 Char"/>
    <w:basedOn w:val="DefaultParagraphFont"/>
    <w:link w:val="Heading4"/>
    <w:uiPriority w:val="99"/>
    <w:semiHidden/>
    <w:locked/>
    <w:rsid w:val="00B17007"/>
    <w:rPr>
      <w:rFonts w:ascii="Calibri" w:hAnsi="Calibri" w:cs="Times New Roman"/>
      <w:b/>
      <w:bCs/>
      <w:sz w:val="28"/>
      <w:szCs w:val="28"/>
    </w:rPr>
  </w:style>
  <w:style w:type="character" w:customStyle="1" w:styleId="Heading6Char">
    <w:name w:val="Heading 6 Char"/>
    <w:basedOn w:val="DefaultParagraphFont"/>
    <w:link w:val="Heading6"/>
    <w:uiPriority w:val="99"/>
    <w:semiHidden/>
    <w:locked/>
    <w:rsid w:val="00B17007"/>
    <w:rPr>
      <w:rFonts w:ascii="Calibri" w:hAnsi="Calibri" w:cs="Times New Roman"/>
      <w:b/>
      <w:bCs/>
    </w:rPr>
  </w:style>
  <w:style w:type="character" w:customStyle="1" w:styleId="Heading9Char">
    <w:name w:val="Heading 9 Char"/>
    <w:basedOn w:val="DefaultParagraphFont"/>
    <w:link w:val="Heading9"/>
    <w:uiPriority w:val="99"/>
    <w:semiHidden/>
    <w:locked/>
    <w:rsid w:val="00B17007"/>
    <w:rPr>
      <w:rFonts w:ascii="Cambria" w:hAnsi="Cambria" w:cs="Times New Roman"/>
    </w:rPr>
  </w:style>
  <w:style w:type="paragraph" w:styleId="BalloonText">
    <w:name w:val="Balloon Text"/>
    <w:basedOn w:val="Normal"/>
    <w:link w:val="BalloonTextChar"/>
    <w:uiPriority w:val="99"/>
    <w:semiHidden/>
    <w:rsid w:val="00FE582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17007"/>
    <w:rPr>
      <w:rFonts w:cs="Times New Roman"/>
      <w:sz w:val="2"/>
    </w:rPr>
  </w:style>
  <w:style w:type="character" w:customStyle="1" w:styleId="Heading3Char1">
    <w:name w:val="Heading 3 Char1"/>
    <w:basedOn w:val="DefaultParagraphFont"/>
    <w:link w:val="Heading3"/>
    <w:uiPriority w:val="99"/>
    <w:locked/>
    <w:rsid w:val="009C5217"/>
    <w:rPr>
      <w:rFonts w:ascii="Arial" w:hAnsi="Arial" w:cs="Arial"/>
      <w:b/>
      <w:bCs/>
      <w:sz w:val="26"/>
      <w:szCs w:val="26"/>
      <w:lang w:val="en-AU" w:eastAsia="bg-BG" w:bidi="ar-SA"/>
    </w:rPr>
  </w:style>
  <w:style w:type="paragraph" w:styleId="FootnoteText">
    <w:name w:val="footnote text"/>
    <w:aliases w:val="Fußnotentext arial"/>
    <w:basedOn w:val="Normal"/>
    <w:link w:val="FootnoteTextChar"/>
    <w:uiPriority w:val="99"/>
    <w:semiHidden/>
    <w:rsid w:val="004122D2"/>
    <w:rPr>
      <w:sz w:val="20"/>
      <w:szCs w:val="20"/>
    </w:rPr>
  </w:style>
  <w:style w:type="character" w:customStyle="1" w:styleId="FootnoteTextChar">
    <w:name w:val="Footnote Text Char"/>
    <w:aliases w:val="Fußnotentext arial Char"/>
    <w:basedOn w:val="DefaultParagraphFont"/>
    <w:link w:val="FootnoteText"/>
    <w:uiPriority w:val="99"/>
    <w:semiHidden/>
    <w:locked/>
    <w:rsid w:val="00B17007"/>
    <w:rPr>
      <w:rFonts w:cs="Times New Roman"/>
      <w:sz w:val="20"/>
      <w:szCs w:val="20"/>
    </w:rPr>
  </w:style>
  <w:style w:type="character" w:styleId="FootnoteReference">
    <w:name w:val="footnote reference"/>
    <w:aliases w:val="Footnote,Footnote symbol,SUPERS,BVI fnr,Footnote reference number,Times 10 Point,Exposant 3 Point,Ref,de nota al pie,note TESI,EN Footnote text,EN Footnote Reference,Footnote Reference Number,E FNZ"/>
    <w:basedOn w:val="DefaultParagraphFont"/>
    <w:uiPriority w:val="99"/>
    <w:semiHidden/>
    <w:rsid w:val="004122D2"/>
    <w:rPr>
      <w:rFonts w:cs="Times New Roman"/>
      <w:vertAlign w:val="superscript"/>
    </w:rPr>
  </w:style>
  <w:style w:type="paragraph" w:styleId="BodyTextIndent">
    <w:name w:val="Body Text Indent"/>
    <w:basedOn w:val="Normal"/>
    <w:link w:val="BodyTextIndentChar"/>
    <w:uiPriority w:val="99"/>
    <w:rsid w:val="004122D2"/>
    <w:pPr>
      <w:spacing w:after="120"/>
      <w:ind w:left="283"/>
    </w:pPr>
    <w:rPr>
      <w:lang w:val="en-GB" w:eastAsia="en-US"/>
    </w:rPr>
  </w:style>
  <w:style w:type="character" w:customStyle="1" w:styleId="BodyTextIndentChar">
    <w:name w:val="Body Text Indent Char"/>
    <w:basedOn w:val="DefaultParagraphFont"/>
    <w:link w:val="BodyTextIndent"/>
    <w:uiPriority w:val="99"/>
    <w:semiHidden/>
    <w:locked/>
    <w:rsid w:val="00B17007"/>
    <w:rPr>
      <w:rFonts w:cs="Times New Roman"/>
      <w:sz w:val="24"/>
      <w:szCs w:val="24"/>
    </w:rPr>
  </w:style>
  <w:style w:type="paragraph" w:customStyle="1" w:styleId="Char1CharCharChar">
    <w:name w:val="Char1 Char Char Char"/>
    <w:basedOn w:val="Normal"/>
    <w:uiPriority w:val="99"/>
    <w:semiHidden/>
    <w:rsid w:val="004122D2"/>
    <w:pPr>
      <w:tabs>
        <w:tab w:val="left" w:pos="709"/>
      </w:tabs>
    </w:pPr>
    <w:rPr>
      <w:rFonts w:ascii="Futura Bk" w:hAnsi="Futura Bk"/>
      <w:lang w:val="pl-PL" w:eastAsia="pl-PL"/>
    </w:rPr>
  </w:style>
  <w:style w:type="paragraph" w:styleId="Header">
    <w:name w:val="header"/>
    <w:aliases w:val="Header Char,Header Char1 Char,Header Char Char Char,Header Char3 Char Char Char,Header Char1 Char Char Char Char1 Char,Header Char Char Char Char Char Char1 Char,Header Char2 Char1 Char Char Char,Header Char Char Char Char Char"/>
    <w:basedOn w:val="Normal"/>
    <w:link w:val="HeaderChar2"/>
    <w:uiPriority w:val="99"/>
    <w:rsid w:val="009C5217"/>
    <w:pPr>
      <w:tabs>
        <w:tab w:val="center" w:pos="4153"/>
        <w:tab w:val="right" w:pos="8306"/>
      </w:tabs>
    </w:pPr>
  </w:style>
  <w:style w:type="character" w:customStyle="1" w:styleId="HeaderChar1">
    <w:name w:val="Header Char1"/>
    <w:aliases w:val="Header Char Char,Header Char1 Char Char,Header Char Char Char Char,Header Char3 Char Char Char Char,Header Char1 Char Char Char Char1 Char Char,Header Char Char Char Char Char Char1 Char Char,Header Char2 Char1 Char Char Char Char"/>
    <w:basedOn w:val="DefaultParagraphFont"/>
    <w:link w:val="Header"/>
    <w:uiPriority w:val="99"/>
    <w:semiHidden/>
    <w:locked/>
    <w:rsid w:val="00B17007"/>
    <w:rPr>
      <w:rFonts w:cs="Times New Roman"/>
      <w:sz w:val="24"/>
      <w:szCs w:val="24"/>
    </w:rPr>
  </w:style>
  <w:style w:type="character" w:customStyle="1" w:styleId="HeaderChar2">
    <w:name w:val="Header Char2"/>
    <w:aliases w:val="Header Char Char1,Header Char1 Char Char1,Header Char Char Char Char1,Header Char3 Char Char Char Char1,Header Char1 Char Char Char Char1 Char Char1,Header Char Char Char Char Char Char1 Char Char1,Header Char2 Char1 Char Char Char Char1"/>
    <w:basedOn w:val="DefaultParagraphFont"/>
    <w:link w:val="Header"/>
    <w:uiPriority w:val="99"/>
    <w:locked/>
    <w:rsid w:val="00964429"/>
    <w:rPr>
      <w:rFonts w:cs="Times New Roman"/>
      <w:sz w:val="24"/>
      <w:szCs w:val="24"/>
      <w:lang w:val="bg-BG" w:eastAsia="bg-BG" w:bidi="ar-SA"/>
    </w:rPr>
  </w:style>
  <w:style w:type="paragraph" w:customStyle="1" w:styleId="font5">
    <w:name w:val="font5"/>
    <w:basedOn w:val="Normal"/>
    <w:uiPriority w:val="99"/>
    <w:rsid w:val="009C5217"/>
    <w:pPr>
      <w:spacing w:before="100" w:beforeAutospacing="1" w:after="100" w:afterAutospacing="1"/>
    </w:pPr>
    <w:rPr>
      <w:b/>
      <w:bCs/>
      <w:sz w:val="16"/>
      <w:szCs w:val="16"/>
      <w:lang w:eastAsia="en-US"/>
    </w:rPr>
  </w:style>
  <w:style w:type="paragraph" w:customStyle="1" w:styleId="font6">
    <w:name w:val="font6"/>
    <w:basedOn w:val="Normal"/>
    <w:uiPriority w:val="99"/>
    <w:rsid w:val="009C5217"/>
    <w:pPr>
      <w:spacing w:before="100" w:beforeAutospacing="1" w:after="100" w:afterAutospacing="1"/>
    </w:pPr>
    <w:rPr>
      <w:sz w:val="16"/>
      <w:szCs w:val="16"/>
      <w:lang w:eastAsia="en-US"/>
    </w:rPr>
  </w:style>
  <w:style w:type="paragraph" w:customStyle="1" w:styleId="Default">
    <w:name w:val="Default"/>
    <w:uiPriority w:val="99"/>
    <w:rsid w:val="009C5217"/>
    <w:pPr>
      <w:autoSpaceDE w:val="0"/>
      <w:autoSpaceDN w:val="0"/>
      <w:adjustRightInd w:val="0"/>
    </w:pPr>
    <w:rPr>
      <w:rFonts w:ascii="Arial" w:hAnsi="Arial" w:cs="Arial"/>
      <w:color w:val="000000"/>
      <w:sz w:val="24"/>
      <w:szCs w:val="24"/>
    </w:rPr>
  </w:style>
  <w:style w:type="paragraph" w:customStyle="1" w:styleId="NormalFirstline">
    <w:name w:val="Normal + First line"/>
    <w:aliases w:val="1.25 cm,After 6 pt"/>
    <w:basedOn w:val="Normal"/>
    <w:uiPriority w:val="99"/>
    <w:rsid w:val="009C5217"/>
    <w:rPr>
      <w:sz w:val="20"/>
      <w:szCs w:val="20"/>
      <w:lang w:eastAsia="en-US"/>
    </w:rPr>
  </w:style>
  <w:style w:type="paragraph" w:customStyle="1" w:styleId="Char">
    <w:name w:val="Char"/>
    <w:basedOn w:val="Normal"/>
    <w:uiPriority w:val="99"/>
    <w:semiHidden/>
    <w:rsid w:val="00D4044A"/>
    <w:pPr>
      <w:tabs>
        <w:tab w:val="left" w:pos="709"/>
      </w:tabs>
    </w:pPr>
    <w:rPr>
      <w:rFonts w:ascii="Futura Bk" w:hAnsi="Futura Bk"/>
      <w:lang w:val="pl-PL" w:eastAsia="pl-PL"/>
    </w:rPr>
  </w:style>
  <w:style w:type="paragraph" w:customStyle="1" w:styleId="Char1">
    <w:name w:val="Char1"/>
    <w:basedOn w:val="Normal"/>
    <w:uiPriority w:val="99"/>
    <w:semiHidden/>
    <w:rsid w:val="00443C14"/>
    <w:pPr>
      <w:tabs>
        <w:tab w:val="left" w:pos="709"/>
      </w:tabs>
    </w:pPr>
    <w:rPr>
      <w:rFonts w:ascii="Futura Bk" w:hAnsi="Futura Bk"/>
      <w:lang w:val="pl-PL" w:eastAsia="pl-PL"/>
    </w:rPr>
  </w:style>
  <w:style w:type="paragraph" w:styleId="BodyTextIndent2">
    <w:name w:val="Body Text Indent 2"/>
    <w:basedOn w:val="Normal"/>
    <w:link w:val="BodyTextIndent2Char"/>
    <w:uiPriority w:val="99"/>
    <w:rsid w:val="006D3A7B"/>
    <w:pPr>
      <w:spacing w:after="120" w:line="480" w:lineRule="auto"/>
      <w:ind w:left="283"/>
    </w:pPr>
  </w:style>
  <w:style w:type="character" w:customStyle="1" w:styleId="BodyTextIndent2Char">
    <w:name w:val="Body Text Indent 2 Char"/>
    <w:basedOn w:val="DefaultParagraphFont"/>
    <w:link w:val="BodyTextIndent2"/>
    <w:uiPriority w:val="99"/>
    <w:locked/>
    <w:rsid w:val="00B17007"/>
    <w:rPr>
      <w:rFonts w:cs="Times New Roman"/>
      <w:sz w:val="24"/>
      <w:szCs w:val="24"/>
    </w:rPr>
  </w:style>
  <w:style w:type="paragraph" w:styleId="BodyText">
    <w:name w:val="Body Text"/>
    <w:basedOn w:val="Normal"/>
    <w:link w:val="BodyTextChar1"/>
    <w:uiPriority w:val="99"/>
    <w:rsid w:val="000A652B"/>
    <w:pPr>
      <w:spacing w:after="120"/>
    </w:pPr>
  </w:style>
  <w:style w:type="character" w:customStyle="1" w:styleId="BodyTextChar">
    <w:name w:val="Body Text Char"/>
    <w:basedOn w:val="DefaultParagraphFont"/>
    <w:link w:val="BodyText"/>
    <w:uiPriority w:val="99"/>
    <w:semiHidden/>
    <w:locked/>
    <w:rsid w:val="00B17007"/>
    <w:rPr>
      <w:rFonts w:cs="Times New Roman"/>
      <w:sz w:val="24"/>
      <w:szCs w:val="24"/>
    </w:rPr>
  </w:style>
  <w:style w:type="character" w:customStyle="1" w:styleId="BodyTextChar1">
    <w:name w:val="Body Text Char1"/>
    <w:basedOn w:val="DefaultParagraphFont"/>
    <w:link w:val="BodyText"/>
    <w:uiPriority w:val="99"/>
    <w:locked/>
    <w:rsid w:val="00C159EE"/>
    <w:rPr>
      <w:rFonts w:cs="Times New Roman"/>
      <w:sz w:val="24"/>
      <w:szCs w:val="24"/>
      <w:lang w:val="bg-BG" w:eastAsia="bg-BG" w:bidi="ar-SA"/>
    </w:rPr>
  </w:style>
  <w:style w:type="paragraph" w:customStyle="1" w:styleId="CharCharCharChar1CharCharCharCharCharCharCharCharChar">
    <w:name w:val="Char Char Char Char1 Char Char Char Char Char Char Char Char Char"/>
    <w:basedOn w:val="Normal"/>
    <w:uiPriority w:val="99"/>
    <w:rsid w:val="005623A7"/>
    <w:pPr>
      <w:spacing w:after="160" w:line="240" w:lineRule="exact"/>
    </w:pPr>
    <w:rPr>
      <w:rFonts w:ascii="Tahoma" w:hAnsi="Tahoma"/>
      <w:sz w:val="20"/>
      <w:szCs w:val="20"/>
      <w:lang w:val="en-US" w:eastAsia="en-US"/>
    </w:rPr>
  </w:style>
  <w:style w:type="paragraph" w:styleId="BodyText3">
    <w:name w:val="Body Text 3"/>
    <w:basedOn w:val="Normal"/>
    <w:link w:val="BodyText3Char"/>
    <w:uiPriority w:val="99"/>
    <w:rsid w:val="005623A7"/>
    <w:pPr>
      <w:spacing w:after="120"/>
    </w:pPr>
    <w:rPr>
      <w:sz w:val="16"/>
      <w:szCs w:val="16"/>
    </w:rPr>
  </w:style>
  <w:style w:type="character" w:customStyle="1" w:styleId="BodyText3Char">
    <w:name w:val="Body Text 3 Char"/>
    <w:basedOn w:val="DefaultParagraphFont"/>
    <w:link w:val="BodyText3"/>
    <w:uiPriority w:val="99"/>
    <w:semiHidden/>
    <w:locked/>
    <w:rsid w:val="00B17007"/>
    <w:rPr>
      <w:rFonts w:cs="Times New Roman"/>
      <w:sz w:val="16"/>
      <w:szCs w:val="16"/>
    </w:rPr>
  </w:style>
  <w:style w:type="paragraph" w:styleId="BodyText2">
    <w:name w:val="Body Text 2"/>
    <w:basedOn w:val="Normal"/>
    <w:link w:val="BodyText2Char"/>
    <w:uiPriority w:val="99"/>
    <w:rsid w:val="005623A7"/>
    <w:pPr>
      <w:spacing w:after="120" w:line="480" w:lineRule="auto"/>
    </w:pPr>
  </w:style>
  <w:style w:type="character" w:customStyle="1" w:styleId="BodyText2Char">
    <w:name w:val="Body Text 2 Char"/>
    <w:basedOn w:val="DefaultParagraphFont"/>
    <w:link w:val="BodyText2"/>
    <w:uiPriority w:val="99"/>
    <w:semiHidden/>
    <w:locked/>
    <w:rsid w:val="00B17007"/>
    <w:rPr>
      <w:rFonts w:cs="Times New Roman"/>
      <w:sz w:val="24"/>
      <w:szCs w:val="24"/>
    </w:rPr>
  </w:style>
  <w:style w:type="paragraph" w:styleId="BodyTextIndent3">
    <w:name w:val="Body Text Indent 3"/>
    <w:basedOn w:val="Normal"/>
    <w:link w:val="BodyTextIndent3Char"/>
    <w:uiPriority w:val="99"/>
    <w:rsid w:val="005623A7"/>
    <w:pPr>
      <w:spacing w:after="120"/>
      <w:ind w:left="283"/>
    </w:pPr>
    <w:rPr>
      <w:sz w:val="16"/>
      <w:szCs w:val="16"/>
    </w:rPr>
  </w:style>
  <w:style w:type="character" w:customStyle="1" w:styleId="BodyTextIndent3Char">
    <w:name w:val="Body Text Indent 3 Char"/>
    <w:basedOn w:val="DefaultParagraphFont"/>
    <w:link w:val="BodyTextIndent3"/>
    <w:uiPriority w:val="99"/>
    <w:semiHidden/>
    <w:locked/>
    <w:rsid w:val="00B17007"/>
    <w:rPr>
      <w:rFonts w:cs="Times New Roman"/>
      <w:sz w:val="16"/>
      <w:szCs w:val="16"/>
    </w:rPr>
  </w:style>
  <w:style w:type="paragraph" w:customStyle="1" w:styleId="Style">
    <w:name w:val="Style"/>
    <w:uiPriority w:val="99"/>
    <w:rsid w:val="005623A7"/>
    <w:pPr>
      <w:widowControl w:val="0"/>
      <w:autoSpaceDE w:val="0"/>
      <w:autoSpaceDN w:val="0"/>
      <w:adjustRightInd w:val="0"/>
      <w:ind w:left="140" w:right="140" w:firstLine="840"/>
      <w:jc w:val="both"/>
    </w:pPr>
    <w:rPr>
      <w:sz w:val="24"/>
      <w:szCs w:val="24"/>
    </w:rPr>
  </w:style>
  <w:style w:type="paragraph" w:styleId="BlockText">
    <w:name w:val="Block Text"/>
    <w:basedOn w:val="Normal"/>
    <w:uiPriority w:val="99"/>
    <w:rsid w:val="005623A7"/>
    <w:pPr>
      <w:ind w:left="-851" w:right="-99"/>
    </w:pPr>
    <w:rPr>
      <w:rFonts w:ascii="Arial" w:hAnsi="Arial"/>
      <w:szCs w:val="20"/>
      <w:lang w:eastAsia="en-US"/>
    </w:rPr>
  </w:style>
  <w:style w:type="paragraph" w:customStyle="1" w:styleId="Char1CharChar1CharCharCharChar1CharCharChar">
    <w:name w:val="Char1 Char Char1 Char Char Char Char1 Char Char Char"/>
    <w:basedOn w:val="Normal"/>
    <w:uiPriority w:val="99"/>
    <w:rsid w:val="005623A7"/>
    <w:pPr>
      <w:tabs>
        <w:tab w:val="left" w:pos="709"/>
      </w:tabs>
      <w:spacing w:line="360" w:lineRule="auto"/>
    </w:pPr>
    <w:rPr>
      <w:rFonts w:ascii="Tahoma" w:hAnsi="Tahoma"/>
      <w:lang w:val="pl-PL" w:eastAsia="pl-PL"/>
    </w:rPr>
  </w:style>
  <w:style w:type="paragraph" w:customStyle="1" w:styleId="a">
    <w:name w:val="Знак"/>
    <w:basedOn w:val="Normal"/>
    <w:uiPriority w:val="99"/>
    <w:rsid w:val="005623A7"/>
    <w:pPr>
      <w:spacing w:after="160" w:line="240" w:lineRule="exact"/>
    </w:pPr>
    <w:rPr>
      <w:rFonts w:ascii="Tahoma" w:hAnsi="Tahoma"/>
      <w:sz w:val="20"/>
      <w:szCs w:val="20"/>
      <w:lang w:val="en-US" w:eastAsia="en-US"/>
    </w:rPr>
  </w:style>
  <w:style w:type="paragraph" w:styleId="TOC1">
    <w:name w:val="toc 1"/>
    <w:basedOn w:val="Normal"/>
    <w:next w:val="Normal"/>
    <w:autoRedefine/>
    <w:uiPriority w:val="99"/>
    <w:rsid w:val="00646840"/>
    <w:pPr>
      <w:tabs>
        <w:tab w:val="right" w:leader="dot" w:pos="9720"/>
      </w:tabs>
      <w:ind w:left="-539" w:right="-517" w:hanging="361"/>
    </w:pPr>
    <w:rPr>
      <w:b/>
      <w:noProof/>
      <w:color w:val="000000"/>
      <w:sz w:val="21"/>
      <w:szCs w:val="22"/>
    </w:rPr>
  </w:style>
  <w:style w:type="paragraph" w:styleId="TOC2">
    <w:name w:val="toc 2"/>
    <w:basedOn w:val="Normal"/>
    <w:next w:val="Normal"/>
    <w:autoRedefine/>
    <w:uiPriority w:val="99"/>
    <w:rsid w:val="00295580"/>
    <w:pPr>
      <w:tabs>
        <w:tab w:val="right" w:leader="dot" w:pos="9720"/>
      </w:tabs>
      <w:ind w:left="240" w:right="-157" w:hanging="420"/>
    </w:pPr>
    <w:rPr>
      <w:b/>
      <w:noProof/>
      <w:color w:val="000000"/>
      <w:sz w:val="22"/>
      <w:szCs w:val="22"/>
    </w:rPr>
  </w:style>
  <w:style w:type="paragraph" w:styleId="TOC3">
    <w:name w:val="toc 3"/>
    <w:basedOn w:val="Normal"/>
    <w:next w:val="Normal"/>
    <w:autoRedefine/>
    <w:uiPriority w:val="99"/>
    <w:rsid w:val="00557105"/>
    <w:pPr>
      <w:tabs>
        <w:tab w:val="left" w:pos="540"/>
        <w:tab w:val="left" w:pos="720"/>
        <w:tab w:val="left" w:pos="900"/>
        <w:tab w:val="right" w:leader="dot" w:pos="9720"/>
      </w:tabs>
      <w:ind w:left="181" w:right="-517" w:hanging="1"/>
    </w:pPr>
    <w:rPr>
      <w:noProof/>
      <w:color w:val="000000"/>
    </w:rPr>
  </w:style>
  <w:style w:type="character" w:styleId="Hyperlink">
    <w:name w:val="Hyperlink"/>
    <w:basedOn w:val="DefaultParagraphFont"/>
    <w:uiPriority w:val="99"/>
    <w:rsid w:val="00ED5678"/>
    <w:rPr>
      <w:rFonts w:cs="Times New Roman"/>
      <w:color w:val="0000FF"/>
      <w:u w:val="single"/>
    </w:rPr>
  </w:style>
  <w:style w:type="character" w:styleId="CommentReference">
    <w:name w:val="annotation reference"/>
    <w:basedOn w:val="DefaultParagraphFont"/>
    <w:uiPriority w:val="99"/>
    <w:semiHidden/>
    <w:rsid w:val="00FE5827"/>
    <w:rPr>
      <w:rFonts w:cs="Times New Roman"/>
      <w:sz w:val="16"/>
      <w:szCs w:val="16"/>
    </w:rPr>
  </w:style>
  <w:style w:type="paragraph" w:styleId="CommentText">
    <w:name w:val="annotation text"/>
    <w:basedOn w:val="Normal"/>
    <w:link w:val="CommentTextChar"/>
    <w:uiPriority w:val="99"/>
    <w:semiHidden/>
    <w:rsid w:val="00FE5827"/>
    <w:rPr>
      <w:sz w:val="20"/>
      <w:szCs w:val="20"/>
    </w:rPr>
  </w:style>
  <w:style w:type="character" w:customStyle="1" w:styleId="CommentTextChar">
    <w:name w:val="Comment Text Char"/>
    <w:basedOn w:val="DefaultParagraphFont"/>
    <w:link w:val="CommentText"/>
    <w:uiPriority w:val="99"/>
    <w:semiHidden/>
    <w:locked/>
    <w:rsid w:val="00B17007"/>
    <w:rPr>
      <w:rFonts w:cs="Times New Roman"/>
      <w:sz w:val="20"/>
      <w:szCs w:val="20"/>
    </w:rPr>
  </w:style>
  <w:style w:type="paragraph" w:customStyle="1" w:styleId="a0">
    <w:name w:val="Обикн. параграф"/>
    <w:basedOn w:val="Normal"/>
    <w:uiPriority w:val="99"/>
    <w:rsid w:val="00964429"/>
    <w:pPr>
      <w:spacing w:before="120" w:line="360" w:lineRule="auto"/>
      <w:ind w:firstLine="720"/>
      <w:jc w:val="both"/>
    </w:pPr>
    <w:rPr>
      <w:szCs w:val="20"/>
      <w:lang w:eastAsia="en-US"/>
    </w:rPr>
  </w:style>
  <w:style w:type="paragraph" w:styleId="Caption">
    <w:name w:val="caption"/>
    <w:basedOn w:val="Normal"/>
    <w:next w:val="Normal"/>
    <w:uiPriority w:val="99"/>
    <w:qFormat/>
    <w:rsid w:val="00964429"/>
    <w:pPr>
      <w:spacing w:before="120" w:after="120"/>
    </w:pPr>
    <w:rPr>
      <w:b/>
      <w:bCs/>
      <w:sz w:val="20"/>
      <w:szCs w:val="20"/>
      <w:lang w:val="en-GB" w:eastAsia="en-US"/>
    </w:rPr>
  </w:style>
  <w:style w:type="paragraph" w:customStyle="1" w:styleId="CharCharCharCharCharCharCharCharCharCharCharChar">
    <w:name w:val="Знак Char Char Char Знак Char Char Char Char Знак Char Знак Char Char Char Знак Char Знак"/>
    <w:basedOn w:val="Normal"/>
    <w:uiPriority w:val="99"/>
    <w:semiHidden/>
    <w:rsid w:val="00FF0656"/>
    <w:pPr>
      <w:tabs>
        <w:tab w:val="left" w:pos="709"/>
      </w:tabs>
    </w:pPr>
    <w:rPr>
      <w:rFonts w:ascii="Futura Bk" w:hAnsi="Futura Bk"/>
      <w:sz w:val="20"/>
      <w:lang w:val="pl-PL" w:eastAsia="pl-PL"/>
    </w:rPr>
  </w:style>
  <w:style w:type="character" w:styleId="PageNumber">
    <w:name w:val="page number"/>
    <w:basedOn w:val="DefaultParagraphFont"/>
    <w:uiPriority w:val="99"/>
    <w:rsid w:val="00600F9D"/>
    <w:rPr>
      <w:rFonts w:cs="Times New Roman"/>
    </w:rPr>
  </w:style>
  <w:style w:type="paragraph" w:customStyle="1" w:styleId="NormalFirstline1">
    <w:name w:val="Normal+First line:1"/>
    <w:aliases w:val="25 cm,After:6 pt"/>
    <w:basedOn w:val="Normal"/>
    <w:uiPriority w:val="99"/>
    <w:rsid w:val="00674C44"/>
    <w:pPr>
      <w:spacing w:after="120"/>
      <w:ind w:firstLine="720"/>
    </w:pPr>
    <w:rPr>
      <w:lang w:eastAsia="en-US"/>
    </w:rPr>
  </w:style>
  <w:style w:type="character" w:styleId="FollowedHyperlink">
    <w:name w:val="FollowedHyperlink"/>
    <w:basedOn w:val="DefaultParagraphFont"/>
    <w:uiPriority w:val="99"/>
    <w:rsid w:val="0029769D"/>
    <w:rPr>
      <w:rFonts w:cs="Times New Roman"/>
      <w:color w:val="800080"/>
      <w:u w:val="single"/>
    </w:rPr>
  </w:style>
  <w:style w:type="paragraph" w:customStyle="1" w:styleId="firstline">
    <w:name w:val="firstline"/>
    <w:basedOn w:val="Normal"/>
    <w:uiPriority w:val="99"/>
    <w:rsid w:val="002D7859"/>
    <w:pPr>
      <w:spacing w:line="240" w:lineRule="atLeast"/>
      <w:ind w:firstLine="640"/>
      <w:jc w:val="both"/>
    </w:pPr>
    <w:rPr>
      <w:color w:val="000000"/>
    </w:rPr>
  </w:style>
  <w:style w:type="paragraph" w:styleId="PlainText">
    <w:name w:val="Plain Text"/>
    <w:basedOn w:val="Normal"/>
    <w:link w:val="PlainTextChar"/>
    <w:uiPriority w:val="99"/>
    <w:rsid w:val="00C37C2F"/>
    <w:pPr>
      <w:spacing w:before="100" w:beforeAutospacing="1" w:after="100" w:afterAutospacing="1"/>
    </w:pPr>
  </w:style>
  <w:style w:type="character" w:customStyle="1" w:styleId="PlainTextChar">
    <w:name w:val="Plain Text Char"/>
    <w:basedOn w:val="DefaultParagraphFont"/>
    <w:link w:val="PlainText"/>
    <w:uiPriority w:val="99"/>
    <w:semiHidden/>
    <w:locked/>
    <w:rsid w:val="00B17007"/>
    <w:rPr>
      <w:rFonts w:ascii="Courier New" w:hAnsi="Courier New" w:cs="Courier New"/>
      <w:sz w:val="20"/>
      <w:szCs w:val="20"/>
    </w:rPr>
  </w:style>
  <w:style w:type="character" w:customStyle="1" w:styleId="selection">
    <w:name w:val="selection"/>
    <w:basedOn w:val="DefaultParagraphFont"/>
    <w:uiPriority w:val="99"/>
    <w:rsid w:val="005806ED"/>
    <w:rPr>
      <w:rFonts w:cs="Times New Roman"/>
    </w:rPr>
  </w:style>
  <w:style w:type="paragraph" w:styleId="Footer">
    <w:name w:val="footer"/>
    <w:basedOn w:val="Normal"/>
    <w:link w:val="FooterChar"/>
    <w:uiPriority w:val="99"/>
    <w:rsid w:val="00797BA4"/>
    <w:pPr>
      <w:tabs>
        <w:tab w:val="center" w:pos="4536"/>
        <w:tab w:val="right" w:pos="9072"/>
      </w:tabs>
    </w:pPr>
  </w:style>
  <w:style w:type="character" w:customStyle="1" w:styleId="FooterChar">
    <w:name w:val="Footer Char"/>
    <w:basedOn w:val="DefaultParagraphFont"/>
    <w:link w:val="Footer"/>
    <w:uiPriority w:val="99"/>
    <w:semiHidden/>
    <w:locked/>
    <w:rsid w:val="00B17007"/>
    <w:rPr>
      <w:rFonts w:cs="Times New Roman"/>
      <w:sz w:val="24"/>
      <w:szCs w:val="24"/>
    </w:rPr>
  </w:style>
  <w:style w:type="paragraph" w:styleId="Title">
    <w:name w:val="Title"/>
    <w:basedOn w:val="Normal"/>
    <w:link w:val="TitleChar"/>
    <w:uiPriority w:val="99"/>
    <w:qFormat/>
    <w:rsid w:val="008E5000"/>
    <w:pPr>
      <w:spacing w:after="200"/>
      <w:ind w:firstLine="720"/>
      <w:jc w:val="center"/>
    </w:pPr>
    <w:rPr>
      <w:b/>
      <w:bCs/>
      <w:szCs w:val="20"/>
      <w:lang w:eastAsia="en-US"/>
    </w:rPr>
  </w:style>
  <w:style w:type="character" w:customStyle="1" w:styleId="TitleChar">
    <w:name w:val="Title Char"/>
    <w:basedOn w:val="DefaultParagraphFont"/>
    <w:link w:val="Title"/>
    <w:uiPriority w:val="99"/>
    <w:locked/>
    <w:rsid w:val="00B17007"/>
    <w:rPr>
      <w:rFonts w:ascii="Cambria" w:hAnsi="Cambria" w:cs="Times New Roman"/>
      <w:b/>
      <w:bCs/>
      <w:kern w:val="28"/>
      <w:sz w:val="32"/>
      <w:szCs w:val="32"/>
    </w:rPr>
  </w:style>
  <w:style w:type="paragraph" w:styleId="Index1">
    <w:name w:val="index 1"/>
    <w:basedOn w:val="Normal"/>
    <w:next w:val="Normal"/>
    <w:autoRedefine/>
    <w:uiPriority w:val="99"/>
    <w:semiHidden/>
    <w:rsid w:val="00D90A8E"/>
    <w:pPr>
      <w:ind w:left="240" w:hanging="240"/>
    </w:pPr>
  </w:style>
  <w:style w:type="paragraph" w:styleId="DocumentMap">
    <w:name w:val="Document Map"/>
    <w:basedOn w:val="Normal"/>
    <w:link w:val="DocumentMapChar"/>
    <w:uiPriority w:val="99"/>
    <w:semiHidden/>
    <w:rsid w:val="00017EB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B17007"/>
    <w:rPr>
      <w:rFonts w:cs="Times New Roman"/>
      <w:sz w:val="2"/>
    </w:rPr>
  </w:style>
  <w:style w:type="character" w:styleId="Strong">
    <w:name w:val="Strong"/>
    <w:basedOn w:val="DefaultParagraphFont"/>
    <w:uiPriority w:val="99"/>
    <w:qFormat/>
    <w:rsid w:val="001A4F7D"/>
    <w:rPr>
      <w:rFonts w:cs="Times New Roman"/>
      <w:b/>
      <w:bCs/>
    </w:rPr>
  </w:style>
  <w:style w:type="paragraph" w:styleId="NormalWeb">
    <w:name w:val="Normal (Web)"/>
    <w:basedOn w:val="Normal"/>
    <w:uiPriority w:val="99"/>
    <w:rsid w:val="00507250"/>
    <w:pPr>
      <w:spacing w:before="100" w:beforeAutospacing="1" w:after="100" w:afterAutospacing="1"/>
    </w:pPr>
  </w:style>
  <w:style w:type="table" w:styleId="TableGrid">
    <w:name w:val="Table Grid"/>
    <w:basedOn w:val="TableNormal"/>
    <w:uiPriority w:val="99"/>
    <w:rsid w:val="00E66B0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s">
    <w:name w:val="news"/>
    <w:basedOn w:val="Normal"/>
    <w:uiPriority w:val="99"/>
    <w:rsid w:val="00C159EE"/>
    <w:pPr>
      <w:spacing w:before="100" w:after="100"/>
    </w:pPr>
    <w:rPr>
      <w:rFonts w:ascii="Verdana" w:hAnsi="Verdana"/>
      <w:color w:val="000000"/>
      <w:sz w:val="17"/>
      <w:szCs w:val="20"/>
      <w:lang w:val="en-US"/>
    </w:rPr>
  </w:style>
  <w:style w:type="paragraph" w:customStyle="1" w:styleId="a1">
    <w:name w:val="Знак Знак"/>
    <w:basedOn w:val="Normal"/>
    <w:uiPriority w:val="99"/>
    <w:rsid w:val="009201BB"/>
    <w:pPr>
      <w:tabs>
        <w:tab w:val="left" w:pos="709"/>
      </w:tabs>
    </w:pPr>
    <w:rPr>
      <w:rFonts w:ascii="Tahoma" w:hAnsi="Tahoma"/>
      <w:lang w:val="pl-PL" w:eastAsia="pl-PL"/>
    </w:rPr>
  </w:style>
  <w:style w:type="paragraph" w:customStyle="1" w:styleId="NormalBold">
    <w:name w:val="Normal + Bold"/>
    <w:basedOn w:val="Normal"/>
    <w:uiPriority w:val="99"/>
    <w:rsid w:val="00632D9F"/>
    <w:pPr>
      <w:ind w:firstLine="708"/>
      <w:jc w:val="both"/>
    </w:pPr>
    <w:rPr>
      <w:b/>
    </w:rPr>
  </w:style>
  <w:style w:type="paragraph" w:styleId="CommentSubject">
    <w:name w:val="annotation subject"/>
    <w:basedOn w:val="CommentText"/>
    <w:next w:val="CommentText"/>
    <w:link w:val="CommentSubjectChar"/>
    <w:uiPriority w:val="99"/>
    <w:semiHidden/>
    <w:rsid w:val="008B6959"/>
    <w:rPr>
      <w:b/>
      <w:bCs/>
    </w:rPr>
  </w:style>
  <w:style w:type="character" w:customStyle="1" w:styleId="CommentSubjectChar">
    <w:name w:val="Comment Subject Char"/>
    <w:basedOn w:val="CommentTextChar"/>
    <w:link w:val="CommentSubject"/>
    <w:uiPriority w:val="99"/>
    <w:semiHidden/>
    <w:locked/>
    <w:rsid w:val="00B17007"/>
    <w:rPr>
      <w:b/>
      <w:bCs/>
    </w:rPr>
  </w:style>
  <w:style w:type="paragraph" w:customStyle="1" w:styleId="CharCharCharCharCharCharCharCharCharCharCharCharCharCharCharCharCharCharCharCharChar1CharCharCharCharCharCharCharCharCharCharCharChar1">
    <w:name w:val="Char Char Char Char Char Char Char Char Char Char Char Char Char Char Char Char Char Char Char Char Char1 Char Char Char Char Char Char Char Char Char Char Char Char1"/>
    <w:basedOn w:val="Normal"/>
    <w:uiPriority w:val="99"/>
    <w:rsid w:val="00BC0C49"/>
    <w:pPr>
      <w:tabs>
        <w:tab w:val="left" w:pos="709"/>
      </w:tabs>
    </w:pPr>
    <w:rPr>
      <w:rFonts w:ascii="Tahoma" w:hAnsi="Tahoma"/>
      <w:lang w:val="pl-PL" w:eastAsia="pl-PL"/>
    </w:rPr>
  </w:style>
  <w:style w:type="paragraph" w:customStyle="1" w:styleId="xl35">
    <w:name w:val="xl35"/>
    <w:basedOn w:val="Normal"/>
    <w:uiPriority w:val="99"/>
    <w:rsid w:val="00BC0C49"/>
    <w:pPr>
      <w:pBdr>
        <w:left w:val="single" w:sz="4" w:space="0" w:color="auto"/>
        <w:right w:val="single" w:sz="4" w:space="0" w:color="auto"/>
      </w:pBdr>
      <w:shd w:val="clear" w:color="auto" w:fill="C0C0C0"/>
      <w:spacing w:before="100" w:beforeAutospacing="1" w:after="100" w:afterAutospacing="1"/>
    </w:pPr>
    <w:rPr>
      <w:b/>
      <w:bCs/>
      <w:lang w:val="en-GB" w:eastAsia="en-US"/>
    </w:rPr>
  </w:style>
  <w:style w:type="paragraph" w:styleId="EndnoteText">
    <w:name w:val="endnote text"/>
    <w:basedOn w:val="Normal"/>
    <w:link w:val="EndnoteTextChar"/>
    <w:uiPriority w:val="99"/>
    <w:semiHidden/>
    <w:rsid w:val="00586A07"/>
    <w:rPr>
      <w:sz w:val="20"/>
      <w:szCs w:val="20"/>
    </w:rPr>
  </w:style>
  <w:style w:type="character" w:customStyle="1" w:styleId="EndnoteTextChar">
    <w:name w:val="Endnote Text Char"/>
    <w:basedOn w:val="DefaultParagraphFont"/>
    <w:link w:val="EndnoteText"/>
    <w:uiPriority w:val="99"/>
    <w:semiHidden/>
    <w:locked/>
    <w:rsid w:val="00B17007"/>
    <w:rPr>
      <w:rFonts w:cs="Times New Roman"/>
      <w:sz w:val="20"/>
      <w:szCs w:val="20"/>
    </w:rPr>
  </w:style>
  <w:style w:type="character" w:styleId="EndnoteReference">
    <w:name w:val="endnote reference"/>
    <w:basedOn w:val="DefaultParagraphFont"/>
    <w:uiPriority w:val="99"/>
    <w:semiHidden/>
    <w:rsid w:val="00586A07"/>
    <w:rPr>
      <w:rFonts w:cs="Times New Roman"/>
      <w:vertAlign w:val="superscript"/>
    </w:rPr>
  </w:style>
  <w:style w:type="paragraph" w:customStyle="1" w:styleId="CharCharCharChar">
    <w:name w:val="Char Char Char Char"/>
    <w:basedOn w:val="Normal"/>
    <w:uiPriority w:val="99"/>
    <w:rsid w:val="002F7471"/>
    <w:pPr>
      <w:spacing w:after="160" w:line="240" w:lineRule="exact"/>
    </w:pPr>
    <w:rPr>
      <w:rFonts w:ascii="Tahoma" w:hAnsi="Tahoma"/>
      <w:sz w:val="20"/>
      <w:szCs w:val="20"/>
      <w:lang w:val="en-US" w:eastAsia="en-US"/>
    </w:rPr>
  </w:style>
  <w:style w:type="character" w:customStyle="1" w:styleId="FontStyle17">
    <w:name w:val="Font Style17"/>
    <w:uiPriority w:val="99"/>
    <w:rsid w:val="00C65203"/>
    <w:rPr>
      <w:rFonts w:ascii="Times New Roman" w:hAnsi="Times New Roman"/>
      <w:sz w:val="22"/>
    </w:rPr>
  </w:style>
  <w:style w:type="character" w:customStyle="1" w:styleId="FontStyle25">
    <w:name w:val="Font Style25"/>
    <w:uiPriority w:val="99"/>
    <w:rsid w:val="00C65203"/>
    <w:rPr>
      <w:rFonts w:ascii="Arial" w:hAnsi="Arial"/>
      <w:sz w:val="20"/>
    </w:rPr>
  </w:style>
  <w:style w:type="paragraph" w:styleId="ListParagraph">
    <w:name w:val="List Paragraph"/>
    <w:basedOn w:val="Normal"/>
    <w:uiPriority w:val="99"/>
    <w:qFormat/>
    <w:rsid w:val="00174EA8"/>
    <w:pPr>
      <w:ind w:left="720"/>
      <w:contextualSpacing/>
    </w:pPr>
  </w:style>
  <w:style w:type="character" w:customStyle="1" w:styleId="FootnoteCharacters">
    <w:name w:val="Footnote Characters"/>
    <w:basedOn w:val="DefaultParagraphFont"/>
    <w:uiPriority w:val="99"/>
    <w:rsid w:val="0027644C"/>
    <w:rPr>
      <w:rFonts w:cs="Times New Roman"/>
      <w:vertAlign w:val="superscript"/>
    </w:rPr>
  </w:style>
  <w:style w:type="character" w:customStyle="1" w:styleId="longtext">
    <w:name w:val="long_text"/>
    <w:basedOn w:val="DefaultParagraphFont"/>
    <w:uiPriority w:val="99"/>
    <w:rsid w:val="00B722CB"/>
    <w:rPr>
      <w:rFonts w:cs="Times New Roman"/>
    </w:rPr>
  </w:style>
  <w:style w:type="table" w:styleId="TableWeb3">
    <w:name w:val="Table Web 3"/>
    <w:basedOn w:val="TableNormal"/>
    <w:uiPriority w:val="99"/>
    <w:rsid w:val="00C26BEB"/>
    <w:rPr>
      <w:rFonts w:eastAsia="Batang"/>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paragraph" w:customStyle="1" w:styleId="Style2">
    <w:name w:val="Style2"/>
    <w:basedOn w:val="Normal"/>
    <w:uiPriority w:val="99"/>
    <w:rsid w:val="00C26BEB"/>
    <w:rPr>
      <w:rFonts w:eastAsia="Batang"/>
      <w:lang w:eastAsia="ko-KR"/>
    </w:rPr>
  </w:style>
  <w:style w:type="paragraph" w:customStyle="1" w:styleId="footnot">
    <w:name w:val="footnot"/>
    <w:basedOn w:val="FootnoteText"/>
    <w:link w:val="footnotChar"/>
    <w:uiPriority w:val="99"/>
    <w:rsid w:val="0065435E"/>
    <w:pPr>
      <w:spacing w:after="60"/>
      <w:jc w:val="both"/>
    </w:pPr>
    <w:rPr>
      <w:rFonts w:ascii="Verdana" w:hAnsi="Verdana"/>
      <w:i/>
      <w:w w:val="90"/>
      <w:sz w:val="16"/>
    </w:rPr>
  </w:style>
  <w:style w:type="character" w:customStyle="1" w:styleId="footnotChar">
    <w:name w:val="footnot Char"/>
    <w:link w:val="footnot"/>
    <w:uiPriority w:val="99"/>
    <w:locked/>
    <w:rsid w:val="0065435E"/>
    <w:rPr>
      <w:rFonts w:ascii="Verdana" w:hAnsi="Verdana"/>
      <w:i/>
      <w:w w:val="90"/>
      <w:sz w:val="16"/>
      <w:lang w:val="bg-BG" w:eastAsia="bg-BG"/>
    </w:rPr>
  </w:style>
  <w:style w:type="table" w:styleId="TableContemporary">
    <w:name w:val="Table Contemporary"/>
    <w:basedOn w:val="TableNormal"/>
    <w:uiPriority w:val="99"/>
    <w:rsid w:val="00AE0517"/>
    <w:rPr>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paragraph" w:customStyle="1" w:styleId="CharCharCharCharCharCharChar">
    <w:name w:val="Char Char Знак Знак Char Знак Знак Char Char Char Знак Знак Char"/>
    <w:basedOn w:val="Normal"/>
    <w:uiPriority w:val="99"/>
    <w:rsid w:val="00D12312"/>
    <w:pPr>
      <w:tabs>
        <w:tab w:val="left" w:pos="709"/>
      </w:tabs>
    </w:pPr>
    <w:rPr>
      <w:rFonts w:ascii="Tahoma" w:hAnsi="Tahoma"/>
      <w:lang w:val="pl-PL" w:eastAsia="pl-PL"/>
    </w:rPr>
  </w:style>
  <w:style w:type="paragraph" w:customStyle="1" w:styleId="footnote">
    <w:name w:val="footnote"/>
    <w:basedOn w:val="Normal"/>
    <w:link w:val="footnoteChar"/>
    <w:uiPriority w:val="99"/>
    <w:rsid w:val="00211F7E"/>
    <w:pPr>
      <w:jc w:val="both"/>
    </w:pPr>
    <w:rPr>
      <w:rFonts w:ascii="Verdana" w:hAnsi="Verdana"/>
      <w:sz w:val="14"/>
      <w:szCs w:val="20"/>
      <w:lang w:eastAsia="en-US"/>
    </w:rPr>
  </w:style>
  <w:style w:type="character" w:customStyle="1" w:styleId="footnoteChar">
    <w:name w:val="footnote Char"/>
    <w:link w:val="footnote"/>
    <w:uiPriority w:val="99"/>
    <w:locked/>
    <w:rsid w:val="00211F7E"/>
    <w:rPr>
      <w:rFonts w:ascii="Verdana" w:hAnsi="Verdana"/>
      <w:sz w:val="14"/>
      <w:lang w:val="bg-BG" w:eastAsia="en-US"/>
    </w:rPr>
  </w:style>
  <w:style w:type="paragraph" w:customStyle="1" w:styleId="thefirstparagraph">
    <w:name w:val="the first paragraph"/>
    <w:basedOn w:val="Normal"/>
    <w:link w:val="thefirstparagraphChar"/>
    <w:uiPriority w:val="99"/>
    <w:rsid w:val="00211F7E"/>
    <w:pPr>
      <w:spacing w:after="120" w:line="260" w:lineRule="atLeast"/>
      <w:ind w:firstLine="567"/>
      <w:jc w:val="both"/>
    </w:pPr>
    <w:rPr>
      <w:rFonts w:ascii="Verdana" w:hAnsi="Verdana"/>
      <w:szCs w:val="20"/>
      <w:lang w:eastAsia="en-US"/>
    </w:rPr>
  </w:style>
  <w:style w:type="character" w:customStyle="1" w:styleId="thefirstparagraphChar">
    <w:name w:val="the first paragraph Char"/>
    <w:link w:val="thefirstparagraph"/>
    <w:uiPriority w:val="99"/>
    <w:locked/>
    <w:rsid w:val="00211F7E"/>
    <w:rPr>
      <w:rFonts w:ascii="Verdana" w:hAnsi="Verdana"/>
      <w:sz w:val="24"/>
      <w:lang w:val="bg-BG" w:eastAsia="en-US"/>
    </w:rPr>
  </w:style>
  <w:style w:type="character" w:styleId="Emphasis">
    <w:name w:val="Emphasis"/>
    <w:basedOn w:val="DefaultParagraphFont"/>
    <w:uiPriority w:val="99"/>
    <w:qFormat/>
    <w:rsid w:val="0030043D"/>
    <w:rPr>
      <w:rFonts w:cs="Times New Roman"/>
      <w:i/>
      <w:iCs/>
    </w:rPr>
  </w:style>
  <w:style w:type="character" w:customStyle="1" w:styleId="CharChar">
    <w:name w:val="Char Char"/>
    <w:uiPriority w:val="99"/>
    <w:rsid w:val="00FD1A7F"/>
    <w:rPr>
      <w:sz w:val="24"/>
      <w:lang w:val="bg-BG" w:eastAsia="bg-BG"/>
    </w:rPr>
  </w:style>
  <w:style w:type="paragraph" w:styleId="TOC4">
    <w:name w:val="toc 4"/>
    <w:basedOn w:val="Normal"/>
    <w:next w:val="Normal"/>
    <w:autoRedefine/>
    <w:uiPriority w:val="99"/>
    <w:locked/>
    <w:rsid w:val="002A7AB2"/>
    <w:pPr>
      <w:ind w:left="720"/>
    </w:pPr>
  </w:style>
  <w:style w:type="paragraph" w:styleId="TOC5">
    <w:name w:val="toc 5"/>
    <w:basedOn w:val="Normal"/>
    <w:next w:val="Normal"/>
    <w:autoRedefine/>
    <w:uiPriority w:val="99"/>
    <w:locked/>
    <w:rsid w:val="002A7AB2"/>
    <w:pPr>
      <w:ind w:left="960"/>
    </w:pPr>
  </w:style>
  <w:style w:type="paragraph" w:styleId="TOC6">
    <w:name w:val="toc 6"/>
    <w:basedOn w:val="Normal"/>
    <w:next w:val="Normal"/>
    <w:autoRedefine/>
    <w:uiPriority w:val="99"/>
    <w:locked/>
    <w:rsid w:val="002A7AB2"/>
    <w:pPr>
      <w:ind w:left="1200"/>
    </w:pPr>
  </w:style>
  <w:style w:type="paragraph" w:styleId="TOC7">
    <w:name w:val="toc 7"/>
    <w:basedOn w:val="Normal"/>
    <w:next w:val="Normal"/>
    <w:autoRedefine/>
    <w:uiPriority w:val="99"/>
    <w:locked/>
    <w:rsid w:val="002A7AB2"/>
    <w:pPr>
      <w:ind w:left="1440"/>
    </w:pPr>
  </w:style>
  <w:style w:type="paragraph" w:styleId="TOC8">
    <w:name w:val="toc 8"/>
    <w:basedOn w:val="Normal"/>
    <w:next w:val="Normal"/>
    <w:autoRedefine/>
    <w:uiPriority w:val="99"/>
    <w:locked/>
    <w:rsid w:val="002A7AB2"/>
    <w:pPr>
      <w:ind w:left="1680"/>
    </w:pPr>
  </w:style>
  <w:style w:type="paragraph" w:styleId="TOC9">
    <w:name w:val="toc 9"/>
    <w:basedOn w:val="Normal"/>
    <w:next w:val="Normal"/>
    <w:autoRedefine/>
    <w:uiPriority w:val="99"/>
    <w:locked/>
    <w:rsid w:val="002A7AB2"/>
    <w:pPr>
      <w:ind w:left="1920"/>
    </w:pPr>
  </w:style>
  <w:style w:type="character" w:customStyle="1" w:styleId="CharChar1">
    <w:name w:val="Char Char1"/>
    <w:basedOn w:val="DefaultParagraphFont"/>
    <w:uiPriority w:val="99"/>
    <w:rsid w:val="00287093"/>
    <w:rPr>
      <w:rFonts w:cs="Times New Roman"/>
      <w:sz w:val="24"/>
      <w:szCs w:val="24"/>
      <w:lang w:val="bg-BG" w:eastAsia="bg-BG" w:bidi="ar-SA"/>
    </w:rPr>
  </w:style>
  <w:style w:type="character" w:customStyle="1" w:styleId="CharChar11">
    <w:name w:val="Char Char11"/>
    <w:basedOn w:val="DefaultParagraphFont"/>
    <w:uiPriority w:val="99"/>
    <w:rsid w:val="00EC12E6"/>
    <w:rPr>
      <w:rFonts w:ascii="Arial" w:hAnsi="Arial" w:cs="Arial"/>
      <w:b/>
      <w:bCs/>
      <w:sz w:val="26"/>
      <w:szCs w:val="26"/>
      <w:lang w:val="en-AU" w:eastAsia="bg-BG" w:bidi="ar-SA"/>
    </w:rPr>
  </w:style>
  <w:style w:type="character" w:customStyle="1" w:styleId="CharChar2">
    <w:name w:val="Char Char2"/>
    <w:basedOn w:val="DefaultParagraphFont"/>
    <w:uiPriority w:val="99"/>
    <w:rsid w:val="006E4DEB"/>
    <w:rPr>
      <w:rFonts w:cs="Times New Roman"/>
      <w:sz w:val="24"/>
      <w:szCs w:val="24"/>
      <w:lang w:val="bg-BG" w:eastAsia="bg-BG" w:bidi="ar-SA"/>
    </w:rPr>
  </w:style>
  <w:style w:type="paragraph" w:customStyle="1" w:styleId="Char11">
    <w:name w:val="Char11"/>
    <w:basedOn w:val="Normal"/>
    <w:uiPriority w:val="99"/>
    <w:semiHidden/>
    <w:rsid w:val="00890890"/>
    <w:pPr>
      <w:tabs>
        <w:tab w:val="left" w:pos="709"/>
      </w:tabs>
    </w:pPr>
    <w:rPr>
      <w:rFonts w:ascii="Futura Bk" w:hAnsi="Futura Bk"/>
      <w:lang w:val="pl-PL" w:eastAsia="pl-PL"/>
    </w:rPr>
  </w:style>
  <w:style w:type="paragraph" w:styleId="NoSpacing">
    <w:name w:val="No Spacing"/>
    <w:uiPriority w:val="99"/>
    <w:qFormat/>
    <w:rsid w:val="00350AB2"/>
    <w:rPr>
      <w:sz w:val="24"/>
      <w:szCs w:val="24"/>
    </w:rPr>
  </w:style>
</w:styles>
</file>

<file path=word/webSettings.xml><?xml version="1.0" encoding="utf-8"?>
<w:webSettings xmlns:r="http://schemas.openxmlformats.org/officeDocument/2006/relationships" xmlns:w="http://schemas.openxmlformats.org/wordprocessingml/2006/main">
  <w:divs>
    <w:div w:id="313027730">
      <w:marLeft w:val="0"/>
      <w:marRight w:val="0"/>
      <w:marTop w:val="0"/>
      <w:marBottom w:val="0"/>
      <w:divBdr>
        <w:top w:val="none" w:sz="0" w:space="0" w:color="auto"/>
        <w:left w:val="none" w:sz="0" w:space="0" w:color="auto"/>
        <w:bottom w:val="none" w:sz="0" w:space="0" w:color="auto"/>
        <w:right w:val="none" w:sz="0" w:space="0" w:color="auto"/>
      </w:divBdr>
    </w:div>
    <w:div w:id="313027731">
      <w:marLeft w:val="0"/>
      <w:marRight w:val="0"/>
      <w:marTop w:val="0"/>
      <w:marBottom w:val="0"/>
      <w:divBdr>
        <w:top w:val="none" w:sz="0" w:space="0" w:color="auto"/>
        <w:left w:val="none" w:sz="0" w:space="0" w:color="auto"/>
        <w:bottom w:val="none" w:sz="0" w:space="0" w:color="auto"/>
        <w:right w:val="none" w:sz="0" w:space="0" w:color="auto"/>
      </w:divBdr>
    </w:div>
    <w:div w:id="313027732">
      <w:marLeft w:val="0"/>
      <w:marRight w:val="0"/>
      <w:marTop w:val="0"/>
      <w:marBottom w:val="0"/>
      <w:divBdr>
        <w:top w:val="none" w:sz="0" w:space="0" w:color="auto"/>
        <w:left w:val="none" w:sz="0" w:space="0" w:color="auto"/>
        <w:bottom w:val="none" w:sz="0" w:space="0" w:color="auto"/>
        <w:right w:val="none" w:sz="0" w:space="0" w:color="auto"/>
      </w:divBdr>
    </w:div>
    <w:div w:id="313027733">
      <w:marLeft w:val="0"/>
      <w:marRight w:val="0"/>
      <w:marTop w:val="0"/>
      <w:marBottom w:val="0"/>
      <w:divBdr>
        <w:top w:val="none" w:sz="0" w:space="0" w:color="auto"/>
        <w:left w:val="none" w:sz="0" w:space="0" w:color="auto"/>
        <w:bottom w:val="none" w:sz="0" w:space="0" w:color="auto"/>
        <w:right w:val="none" w:sz="0" w:space="0" w:color="auto"/>
      </w:divBdr>
    </w:div>
    <w:div w:id="313027734">
      <w:marLeft w:val="0"/>
      <w:marRight w:val="0"/>
      <w:marTop w:val="0"/>
      <w:marBottom w:val="0"/>
      <w:divBdr>
        <w:top w:val="none" w:sz="0" w:space="0" w:color="auto"/>
        <w:left w:val="none" w:sz="0" w:space="0" w:color="auto"/>
        <w:bottom w:val="none" w:sz="0" w:space="0" w:color="auto"/>
        <w:right w:val="none" w:sz="0" w:space="0" w:color="auto"/>
      </w:divBdr>
    </w:div>
    <w:div w:id="313027735">
      <w:marLeft w:val="0"/>
      <w:marRight w:val="0"/>
      <w:marTop w:val="0"/>
      <w:marBottom w:val="0"/>
      <w:divBdr>
        <w:top w:val="none" w:sz="0" w:space="0" w:color="auto"/>
        <w:left w:val="none" w:sz="0" w:space="0" w:color="auto"/>
        <w:bottom w:val="none" w:sz="0" w:space="0" w:color="auto"/>
        <w:right w:val="none" w:sz="0" w:space="0" w:color="auto"/>
      </w:divBdr>
    </w:div>
    <w:div w:id="313027736">
      <w:marLeft w:val="0"/>
      <w:marRight w:val="0"/>
      <w:marTop w:val="0"/>
      <w:marBottom w:val="0"/>
      <w:divBdr>
        <w:top w:val="none" w:sz="0" w:space="0" w:color="auto"/>
        <w:left w:val="none" w:sz="0" w:space="0" w:color="auto"/>
        <w:bottom w:val="none" w:sz="0" w:space="0" w:color="auto"/>
        <w:right w:val="none" w:sz="0" w:space="0" w:color="auto"/>
      </w:divBdr>
    </w:div>
    <w:div w:id="313027737">
      <w:marLeft w:val="0"/>
      <w:marRight w:val="0"/>
      <w:marTop w:val="0"/>
      <w:marBottom w:val="0"/>
      <w:divBdr>
        <w:top w:val="none" w:sz="0" w:space="0" w:color="auto"/>
        <w:left w:val="none" w:sz="0" w:space="0" w:color="auto"/>
        <w:bottom w:val="none" w:sz="0" w:space="0" w:color="auto"/>
        <w:right w:val="none" w:sz="0" w:space="0" w:color="auto"/>
      </w:divBdr>
    </w:div>
    <w:div w:id="313027738">
      <w:marLeft w:val="0"/>
      <w:marRight w:val="0"/>
      <w:marTop w:val="0"/>
      <w:marBottom w:val="0"/>
      <w:divBdr>
        <w:top w:val="none" w:sz="0" w:space="0" w:color="auto"/>
        <w:left w:val="none" w:sz="0" w:space="0" w:color="auto"/>
        <w:bottom w:val="none" w:sz="0" w:space="0" w:color="auto"/>
        <w:right w:val="none" w:sz="0" w:space="0" w:color="auto"/>
      </w:divBdr>
    </w:div>
    <w:div w:id="313027739">
      <w:marLeft w:val="0"/>
      <w:marRight w:val="0"/>
      <w:marTop w:val="0"/>
      <w:marBottom w:val="0"/>
      <w:divBdr>
        <w:top w:val="none" w:sz="0" w:space="0" w:color="auto"/>
        <w:left w:val="none" w:sz="0" w:space="0" w:color="auto"/>
        <w:bottom w:val="none" w:sz="0" w:space="0" w:color="auto"/>
        <w:right w:val="none" w:sz="0" w:space="0" w:color="auto"/>
      </w:divBdr>
    </w:div>
    <w:div w:id="313027740">
      <w:marLeft w:val="0"/>
      <w:marRight w:val="0"/>
      <w:marTop w:val="0"/>
      <w:marBottom w:val="0"/>
      <w:divBdr>
        <w:top w:val="none" w:sz="0" w:space="0" w:color="auto"/>
        <w:left w:val="none" w:sz="0" w:space="0" w:color="auto"/>
        <w:bottom w:val="none" w:sz="0" w:space="0" w:color="auto"/>
        <w:right w:val="none" w:sz="0" w:space="0" w:color="auto"/>
      </w:divBdr>
    </w:div>
    <w:div w:id="313027741">
      <w:marLeft w:val="0"/>
      <w:marRight w:val="0"/>
      <w:marTop w:val="0"/>
      <w:marBottom w:val="0"/>
      <w:divBdr>
        <w:top w:val="none" w:sz="0" w:space="0" w:color="auto"/>
        <w:left w:val="none" w:sz="0" w:space="0" w:color="auto"/>
        <w:bottom w:val="none" w:sz="0" w:space="0" w:color="auto"/>
        <w:right w:val="none" w:sz="0" w:space="0" w:color="auto"/>
      </w:divBdr>
    </w:div>
    <w:div w:id="313027742">
      <w:marLeft w:val="0"/>
      <w:marRight w:val="0"/>
      <w:marTop w:val="0"/>
      <w:marBottom w:val="0"/>
      <w:divBdr>
        <w:top w:val="none" w:sz="0" w:space="0" w:color="auto"/>
        <w:left w:val="none" w:sz="0" w:space="0" w:color="auto"/>
        <w:bottom w:val="none" w:sz="0" w:space="0" w:color="auto"/>
        <w:right w:val="none" w:sz="0" w:space="0" w:color="auto"/>
      </w:divBdr>
    </w:div>
    <w:div w:id="313027743">
      <w:marLeft w:val="0"/>
      <w:marRight w:val="0"/>
      <w:marTop w:val="0"/>
      <w:marBottom w:val="0"/>
      <w:divBdr>
        <w:top w:val="none" w:sz="0" w:space="0" w:color="auto"/>
        <w:left w:val="none" w:sz="0" w:space="0" w:color="auto"/>
        <w:bottom w:val="none" w:sz="0" w:space="0" w:color="auto"/>
        <w:right w:val="none" w:sz="0" w:space="0" w:color="auto"/>
      </w:divBdr>
    </w:div>
    <w:div w:id="313027744">
      <w:marLeft w:val="0"/>
      <w:marRight w:val="0"/>
      <w:marTop w:val="0"/>
      <w:marBottom w:val="0"/>
      <w:divBdr>
        <w:top w:val="none" w:sz="0" w:space="0" w:color="auto"/>
        <w:left w:val="none" w:sz="0" w:space="0" w:color="auto"/>
        <w:bottom w:val="none" w:sz="0" w:space="0" w:color="auto"/>
        <w:right w:val="none" w:sz="0" w:space="0" w:color="auto"/>
      </w:divBdr>
    </w:div>
    <w:div w:id="313027745">
      <w:marLeft w:val="0"/>
      <w:marRight w:val="0"/>
      <w:marTop w:val="0"/>
      <w:marBottom w:val="0"/>
      <w:divBdr>
        <w:top w:val="none" w:sz="0" w:space="0" w:color="auto"/>
        <w:left w:val="none" w:sz="0" w:space="0" w:color="auto"/>
        <w:bottom w:val="none" w:sz="0" w:space="0" w:color="auto"/>
        <w:right w:val="none" w:sz="0" w:space="0" w:color="auto"/>
      </w:divBdr>
    </w:div>
    <w:div w:id="313027746">
      <w:marLeft w:val="0"/>
      <w:marRight w:val="0"/>
      <w:marTop w:val="0"/>
      <w:marBottom w:val="0"/>
      <w:divBdr>
        <w:top w:val="none" w:sz="0" w:space="0" w:color="auto"/>
        <w:left w:val="none" w:sz="0" w:space="0" w:color="auto"/>
        <w:bottom w:val="none" w:sz="0" w:space="0" w:color="auto"/>
        <w:right w:val="none" w:sz="0" w:space="0" w:color="auto"/>
      </w:divBdr>
    </w:div>
    <w:div w:id="313027747">
      <w:marLeft w:val="0"/>
      <w:marRight w:val="0"/>
      <w:marTop w:val="0"/>
      <w:marBottom w:val="0"/>
      <w:divBdr>
        <w:top w:val="none" w:sz="0" w:space="0" w:color="auto"/>
        <w:left w:val="none" w:sz="0" w:space="0" w:color="auto"/>
        <w:bottom w:val="none" w:sz="0" w:space="0" w:color="auto"/>
        <w:right w:val="none" w:sz="0" w:space="0" w:color="auto"/>
      </w:divBdr>
    </w:div>
    <w:div w:id="313027748">
      <w:marLeft w:val="0"/>
      <w:marRight w:val="0"/>
      <w:marTop w:val="0"/>
      <w:marBottom w:val="0"/>
      <w:divBdr>
        <w:top w:val="none" w:sz="0" w:space="0" w:color="auto"/>
        <w:left w:val="none" w:sz="0" w:space="0" w:color="auto"/>
        <w:bottom w:val="none" w:sz="0" w:space="0" w:color="auto"/>
        <w:right w:val="none" w:sz="0" w:space="0" w:color="auto"/>
      </w:divBdr>
    </w:div>
    <w:div w:id="313027749">
      <w:marLeft w:val="0"/>
      <w:marRight w:val="0"/>
      <w:marTop w:val="0"/>
      <w:marBottom w:val="0"/>
      <w:divBdr>
        <w:top w:val="none" w:sz="0" w:space="0" w:color="auto"/>
        <w:left w:val="none" w:sz="0" w:space="0" w:color="auto"/>
        <w:bottom w:val="none" w:sz="0" w:space="0" w:color="auto"/>
        <w:right w:val="none" w:sz="0" w:space="0" w:color="auto"/>
      </w:divBdr>
    </w:div>
    <w:div w:id="313027750">
      <w:marLeft w:val="0"/>
      <w:marRight w:val="0"/>
      <w:marTop w:val="0"/>
      <w:marBottom w:val="0"/>
      <w:divBdr>
        <w:top w:val="none" w:sz="0" w:space="0" w:color="auto"/>
        <w:left w:val="none" w:sz="0" w:space="0" w:color="auto"/>
        <w:bottom w:val="none" w:sz="0" w:space="0" w:color="auto"/>
        <w:right w:val="none" w:sz="0" w:space="0" w:color="auto"/>
      </w:divBdr>
    </w:div>
    <w:div w:id="313027751">
      <w:marLeft w:val="0"/>
      <w:marRight w:val="0"/>
      <w:marTop w:val="0"/>
      <w:marBottom w:val="0"/>
      <w:divBdr>
        <w:top w:val="none" w:sz="0" w:space="0" w:color="auto"/>
        <w:left w:val="none" w:sz="0" w:space="0" w:color="auto"/>
        <w:bottom w:val="none" w:sz="0" w:space="0" w:color="auto"/>
        <w:right w:val="none" w:sz="0" w:space="0" w:color="auto"/>
      </w:divBdr>
    </w:div>
    <w:div w:id="313027752">
      <w:marLeft w:val="0"/>
      <w:marRight w:val="0"/>
      <w:marTop w:val="0"/>
      <w:marBottom w:val="0"/>
      <w:divBdr>
        <w:top w:val="none" w:sz="0" w:space="0" w:color="auto"/>
        <w:left w:val="none" w:sz="0" w:space="0" w:color="auto"/>
        <w:bottom w:val="none" w:sz="0" w:space="0" w:color="auto"/>
        <w:right w:val="none" w:sz="0" w:space="0" w:color="auto"/>
      </w:divBdr>
    </w:div>
    <w:div w:id="313027753">
      <w:marLeft w:val="0"/>
      <w:marRight w:val="0"/>
      <w:marTop w:val="0"/>
      <w:marBottom w:val="0"/>
      <w:divBdr>
        <w:top w:val="none" w:sz="0" w:space="0" w:color="auto"/>
        <w:left w:val="none" w:sz="0" w:space="0" w:color="auto"/>
        <w:bottom w:val="none" w:sz="0" w:space="0" w:color="auto"/>
        <w:right w:val="none" w:sz="0" w:space="0" w:color="auto"/>
      </w:divBdr>
    </w:div>
    <w:div w:id="313027754">
      <w:marLeft w:val="0"/>
      <w:marRight w:val="0"/>
      <w:marTop w:val="0"/>
      <w:marBottom w:val="0"/>
      <w:divBdr>
        <w:top w:val="none" w:sz="0" w:space="0" w:color="auto"/>
        <w:left w:val="none" w:sz="0" w:space="0" w:color="auto"/>
        <w:bottom w:val="none" w:sz="0" w:space="0" w:color="auto"/>
        <w:right w:val="none" w:sz="0" w:space="0" w:color="auto"/>
      </w:divBdr>
    </w:div>
    <w:div w:id="313027755">
      <w:marLeft w:val="0"/>
      <w:marRight w:val="0"/>
      <w:marTop w:val="0"/>
      <w:marBottom w:val="0"/>
      <w:divBdr>
        <w:top w:val="none" w:sz="0" w:space="0" w:color="auto"/>
        <w:left w:val="none" w:sz="0" w:space="0" w:color="auto"/>
        <w:bottom w:val="none" w:sz="0" w:space="0" w:color="auto"/>
        <w:right w:val="none" w:sz="0" w:space="0" w:color="auto"/>
      </w:divBdr>
    </w:div>
    <w:div w:id="313027756">
      <w:marLeft w:val="0"/>
      <w:marRight w:val="0"/>
      <w:marTop w:val="0"/>
      <w:marBottom w:val="0"/>
      <w:divBdr>
        <w:top w:val="none" w:sz="0" w:space="0" w:color="auto"/>
        <w:left w:val="none" w:sz="0" w:space="0" w:color="auto"/>
        <w:bottom w:val="none" w:sz="0" w:space="0" w:color="auto"/>
        <w:right w:val="none" w:sz="0" w:space="0" w:color="auto"/>
      </w:divBdr>
    </w:div>
    <w:div w:id="313027757">
      <w:marLeft w:val="0"/>
      <w:marRight w:val="0"/>
      <w:marTop w:val="0"/>
      <w:marBottom w:val="0"/>
      <w:divBdr>
        <w:top w:val="none" w:sz="0" w:space="0" w:color="auto"/>
        <w:left w:val="none" w:sz="0" w:space="0" w:color="auto"/>
        <w:bottom w:val="none" w:sz="0" w:space="0" w:color="auto"/>
        <w:right w:val="none" w:sz="0" w:space="0" w:color="auto"/>
      </w:divBdr>
    </w:div>
    <w:div w:id="313027758">
      <w:marLeft w:val="0"/>
      <w:marRight w:val="0"/>
      <w:marTop w:val="0"/>
      <w:marBottom w:val="0"/>
      <w:divBdr>
        <w:top w:val="none" w:sz="0" w:space="0" w:color="auto"/>
        <w:left w:val="none" w:sz="0" w:space="0" w:color="auto"/>
        <w:bottom w:val="none" w:sz="0" w:space="0" w:color="auto"/>
        <w:right w:val="none" w:sz="0" w:space="0" w:color="auto"/>
      </w:divBdr>
    </w:div>
    <w:div w:id="31302775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hyperlink" Target="apis://NORM|40656|0||/" TargetMode="External"/><Relationship Id="rId34" Type="http://schemas.openxmlformats.org/officeDocument/2006/relationships/image" Target="media/image15.png"/><Relationship Id="rId42" Type="http://schemas.openxmlformats.org/officeDocument/2006/relationships/oleObject" Target="embeddings/oleObject10.bin"/><Relationship Id="rId47" Type="http://schemas.openxmlformats.org/officeDocument/2006/relationships/image" Target="media/image20.png"/><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oleObject" Target="embeddings/oleObject7.bin"/><Relationship Id="rId38" Type="http://schemas.openxmlformats.org/officeDocument/2006/relationships/hyperlink" Target="apis://NORM|40656|0||/" TargetMode="External"/><Relationship Id="rId46" Type="http://schemas.openxmlformats.org/officeDocument/2006/relationships/oleObject" Target="embeddings/oleObject12.bin"/><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hyperlink" Target="apis://NORM|40640|8|29&#1072;|/" TargetMode="External"/><Relationship Id="rId29" Type="http://schemas.openxmlformats.org/officeDocument/2006/relationships/oleObject" Target="embeddings/oleObject5.bin"/><Relationship Id="rId41"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hyperlink" Target="apis://NORM|40640|8|29&#1072;|/" TargetMode="External"/><Relationship Id="rId40" Type="http://schemas.openxmlformats.org/officeDocument/2006/relationships/oleObject" Target="embeddings/oleObject9.bin"/><Relationship Id="rId45" Type="http://schemas.openxmlformats.org/officeDocument/2006/relationships/image" Target="media/image19.png"/><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hyperlink" Target="apis://NORM|4076|0||/" TargetMode="External"/><Relationship Id="rId49"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yperlink" Target="apis://NORM|4076|0||/" TargetMode="External"/><Relationship Id="rId31" Type="http://schemas.openxmlformats.org/officeDocument/2006/relationships/oleObject" Target="embeddings/oleObject6.bin"/><Relationship Id="rId44" Type="http://schemas.openxmlformats.org/officeDocument/2006/relationships/oleObject" Target="embeddings/oleObject11.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image" Target="media/image8.png"/><Relationship Id="rId27" Type="http://schemas.openxmlformats.org/officeDocument/2006/relationships/oleObject" Target="embeddings/oleObject4.bin"/><Relationship Id="rId30" Type="http://schemas.openxmlformats.org/officeDocument/2006/relationships/image" Target="media/image13.png"/><Relationship Id="rId35" Type="http://schemas.openxmlformats.org/officeDocument/2006/relationships/oleObject" Target="embeddings/oleObject8.bin"/><Relationship Id="rId43" Type="http://schemas.openxmlformats.org/officeDocument/2006/relationships/image" Target="media/image18.png"/><Relationship Id="rId48" Type="http://schemas.openxmlformats.org/officeDocument/2006/relationships/oleObject" Target="embeddings/oleObject13.bin"/><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2437</TotalTime>
  <Pages>158</Pages>
  <Words>-32766</Words>
  <Characters>-32766</Characters>
  <Application>Microsoft Office Outlook</Application>
  <DocSecurity>0</DocSecurity>
  <Lines>0</Lines>
  <Paragraphs>0</Paragraphs>
  <ScaleCrop>false</ScaleCrop>
  <Company>MoF</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ІІІ</dc:title>
  <dc:subject/>
  <dc:creator>lmalchev</dc:creator>
  <cp:keywords/>
  <dc:description/>
  <cp:lastModifiedBy>neli</cp:lastModifiedBy>
  <cp:revision>348</cp:revision>
  <cp:lastPrinted>2014-07-21T15:00:00Z</cp:lastPrinted>
  <dcterms:created xsi:type="dcterms:W3CDTF">2014-06-12T14:44:00Z</dcterms:created>
  <dcterms:modified xsi:type="dcterms:W3CDTF">2014-07-23T15:36:00Z</dcterms:modified>
</cp:coreProperties>
</file>